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1795" w:rsidRPr="0088479B" w:rsidP="0088479B">
      <w:pPr>
        <w:pStyle w:val="NormalWeb"/>
        <w:bidi w:val="0"/>
        <w:spacing w:before="0" w:beforeAutospacing="0" w:after="0" w:afterAutospacing="0"/>
        <w:ind w:right="-108"/>
        <w:jc w:val="center"/>
        <w:rPr>
          <w:rFonts w:ascii="Times New Roman" w:hAnsi="Times New Roman"/>
        </w:rPr>
      </w:pPr>
      <w:r w:rsidRPr="0088479B">
        <w:rPr>
          <w:rFonts w:ascii="Times New Roman" w:hAnsi="Times New Roman"/>
          <w:b/>
          <w:bCs/>
        </w:rPr>
        <w:t>Doložka vybraných vplyvov</w:t>
      </w: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b/>
          <w:bCs/>
        </w:rPr>
        <w:t>  </w:t>
      </w:r>
    </w:p>
    <w:p w:rsidR="00921795" w:rsidRPr="0088479B" w:rsidP="0088479B">
      <w:pPr>
        <w:pStyle w:val="NormalWeb"/>
        <w:bidi w:val="0"/>
        <w:spacing w:before="0" w:beforeAutospacing="0" w:after="0" w:afterAutospacing="0"/>
        <w:rPr>
          <w:rFonts w:ascii="Times New Roman" w:hAnsi="Times New Roman"/>
          <w:b/>
          <w:bCs/>
        </w:rPr>
      </w:pPr>
      <w:r w:rsidRPr="0088479B">
        <w:rPr>
          <w:rFonts w:ascii="Times New Roman" w:hAnsi="Times New Roman"/>
          <w:b/>
          <w:bCs/>
        </w:rPr>
        <w:t>A.1. Názov materiálu:</w:t>
      </w:r>
    </w:p>
    <w:p w:rsidR="00921795" w:rsidRPr="0088479B" w:rsidP="0088479B">
      <w:pPr>
        <w:pStyle w:val="BodyText2"/>
        <w:bidi w:val="0"/>
        <w:rPr>
          <w:rFonts w:ascii="Times New Roman" w:hAnsi="Times New Roman"/>
          <w:b w:val="0"/>
          <w:bCs w:val="0"/>
        </w:rPr>
      </w:pPr>
      <w:r w:rsidRPr="0088479B">
        <w:rPr>
          <w:rFonts w:ascii="Times New Roman" w:hAnsi="Times New Roman"/>
          <w:b w:val="0"/>
        </w:rPr>
        <w:t xml:space="preserve">Návrh zákona, ktorým sa mení a dopĺňa zákon č. 581/2004 Z. z. o zdravotných poisťovniach, dohľade nad zdravotnou starostlivosťou a o zmene a doplnení niektorých zákonov v znení neskorších predpisov </w:t>
      </w:r>
      <w:r w:rsidRPr="0088479B" w:rsidR="00C30ACF">
        <w:rPr>
          <w:rFonts w:ascii="Times New Roman" w:hAnsi="Times New Roman"/>
          <w:b w:val="0"/>
        </w:rPr>
        <w:t>a o zmene a doplnení niektorých zákonov</w:t>
      </w:r>
    </w:p>
    <w:p w:rsidR="00921795" w:rsidRPr="0088479B" w:rsidP="0088479B">
      <w:pPr>
        <w:pStyle w:val="NormalWeb"/>
        <w:bidi w:val="0"/>
        <w:spacing w:before="0" w:beforeAutospacing="0" w:after="0" w:afterAutospacing="0"/>
        <w:rPr>
          <w:rFonts w:ascii="Times New Roman" w:hAnsi="Times New Roman"/>
        </w:rPr>
      </w:pP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b/>
          <w:bCs/>
        </w:rPr>
        <w:t>        Termín začatia a ukončenia PPK:</w:t>
      </w:r>
      <w:r w:rsidRPr="0088479B" w:rsidR="00374673">
        <w:rPr>
          <w:rFonts w:ascii="Times New Roman" w:hAnsi="Times New Roman"/>
        </w:rPr>
        <w:t xml:space="preserve">  </w:t>
      </w:r>
      <w:r w:rsidRPr="0088479B" w:rsidR="00917600">
        <w:rPr>
          <w:rFonts w:ascii="Times New Roman" w:hAnsi="Times New Roman"/>
        </w:rPr>
        <w:t>11.3.</w:t>
      </w:r>
      <w:r w:rsidRPr="0088479B" w:rsidR="00374673">
        <w:rPr>
          <w:rFonts w:ascii="Times New Roman" w:hAnsi="Times New Roman"/>
        </w:rPr>
        <w:t>201</w:t>
      </w:r>
      <w:r w:rsidRPr="0088479B" w:rsidR="00917600">
        <w:rPr>
          <w:rFonts w:ascii="Times New Roman" w:hAnsi="Times New Roman"/>
        </w:rPr>
        <w:t>1</w:t>
      </w:r>
      <w:r w:rsidRPr="0088479B" w:rsidR="00374673">
        <w:rPr>
          <w:rFonts w:ascii="Times New Roman" w:hAnsi="Times New Roman"/>
        </w:rPr>
        <w:t>-</w:t>
      </w:r>
      <w:r w:rsidRPr="0088479B" w:rsidR="00917600">
        <w:rPr>
          <w:rFonts w:ascii="Times New Roman" w:hAnsi="Times New Roman"/>
        </w:rPr>
        <w:t>17.3</w:t>
      </w:r>
      <w:r w:rsidRPr="0088479B">
        <w:rPr>
          <w:rFonts w:ascii="Times New Roman" w:hAnsi="Times New Roman"/>
        </w:rPr>
        <w:t>.201</w:t>
      </w:r>
      <w:r w:rsidRPr="0088479B" w:rsidR="00917600">
        <w:rPr>
          <w:rFonts w:ascii="Times New Roman" w:hAnsi="Times New Roman"/>
        </w:rPr>
        <w:t>1</w:t>
      </w:r>
    </w:p>
    <w:p w:rsidR="00921795" w:rsidRPr="0088479B" w:rsidP="0088479B">
      <w:pPr>
        <w:pStyle w:val="NormalWeb"/>
        <w:bidi w:val="0"/>
        <w:spacing w:before="0" w:beforeAutospacing="0" w:after="0" w:afterAutospacing="0"/>
        <w:rPr>
          <w:rFonts w:ascii="Times New Roman" w:hAnsi="Times New Roman"/>
        </w:rPr>
      </w:pP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b/>
          <w:bCs/>
        </w:rPr>
        <w:t>A.2. Vplyvy:</w:t>
      </w:r>
    </w:p>
    <w:tbl>
      <w:tblPr>
        <w:tblStyle w:val="TableNormal"/>
        <w:tblW w:w="9108" w:type="dxa"/>
        <w:tblCellMar>
          <w:left w:w="0" w:type="dxa"/>
          <w:right w:w="0" w:type="dxa"/>
        </w:tblCellMar>
      </w:tblPr>
      <w:tblGrid>
        <w:gridCol w:w="4788"/>
        <w:gridCol w:w="1440"/>
        <w:gridCol w:w="1080"/>
        <w:gridCol w:w="1800"/>
      </w:tblGrid>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Pozitívne</w:t>
            </w:r>
            <w:r w:rsidRPr="0088479B">
              <w:rPr>
                <w:rFonts w:ascii="Times New Roman" w:hAnsi="Times New Roman"/>
                <w:vertAlign w:val="superscript"/>
              </w:rPr>
              <w:t>*</w:t>
            </w:r>
            <w:r w:rsidRPr="0088479B">
              <w:rPr>
                <w:rFonts w:ascii="Times New Roman" w:hAnsi="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Žiadne</w:t>
            </w:r>
            <w:r w:rsidRPr="0088479B">
              <w:rPr>
                <w:rFonts w:ascii="Times New Roman" w:hAnsi="Times New Roman"/>
                <w:vertAlign w:val="superscript"/>
              </w:rPr>
              <w:t>*</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Negatívne</w:t>
            </w:r>
            <w:r w:rsidRPr="0088479B">
              <w:rPr>
                <w:rFonts w:ascii="Times New Roman" w:hAnsi="Times New Roman"/>
                <w:vertAlign w:val="superscript"/>
              </w:rPr>
              <w:t>*</w:t>
            </w:r>
          </w:p>
        </w:tc>
      </w:tr>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1. Vplyvy na rozpočet verejnej správy</w:t>
            </w: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i/>
                <w:iCs/>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sidR="005966D5">
              <w:rPr>
                <w:rFonts w:ascii="Times New Roman" w:hAnsi="Times New Roman"/>
              </w:rPr>
              <w:t>X</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sidR="008524D1">
              <w:rPr>
                <w:rFonts w:ascii="Times New Roman" w:hAnsi="Times New Roman"/>
              </w:rPr>
              <w:t>X</w:t>
            </w:r>
            <w:r w:rsidRPr="0088479B">
              <w:rPr>
                <w:rFonts w:ascii="Times New Roman" w:hAnsi="Times New Roman"/>
              </w:rPr>
              <w:t>  </w:t>
            </w:r>
          </w:p>
        </w:tc>
      </w:tr>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2. Vplyvy na podnikateľské prostredie – dochádza k zvýšeniu regulačného zaťaženia?</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X</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p>
        </w:tc>
      </w:tr>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 xml:space="preserve">3. Sociálne vplyvy </w:t>
            </w: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 vplyvy  na hospodárenie obyvateľstva,</w:t>
            </w: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-sociálnu exklúziu,</w:t>
            </w:r>
          </w:p>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 rovnosť príležitostí a rodovú rovnosť a vplyvy na zamestnanosť</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sidR="005966D5">
              <w:rPr>
                <w:rFonts w:ascii="Times New Roman" w:hAnsi="Times New Roman"/>
              </w:rPr>
              <w:t>X</w:t>
            </w:r>
            <w:r w:rsidRPr="0088479B">
              <w:rPr>
                <w:rFonts w:ascii="Times New Roman" w:hAnsi="Times New Roman"/>
              </w:rPr>
              <w:t> </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r>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4. Vplyvy na životné prostredie</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r>
      <w:tr>
        <w:tblPrEx>
          <w:tblW w:w="9108" w:type="dxa"/>
          <w:tblCellMar>
            <w:left w:w="0" w:type="dxa"/>
            <w:right w:w="0" w:type="dxa"/>
          </w:tblCellMar>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rPr>
                <w:rFonts w:ascii="Times New Roman" w:hAnsi="Times New Roman"/>
              </w:rPr>
            </w:pPr>
            <w:r w:rsidRPr="0088479B">
              <w:rPr>
                <w:rFonts w:ascii="Times New Roman" w:hAnsi="Times New Roman"/>
              </w:rPr>
              <w:t>5. Vplyvy na informatizáciu spoločnosti</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r w:rsidRPr="0088479B" w:rsidR="0033107A">
              <w:rPr>
                <w:rFonts w:ascii="Times New Roman" w:hAnsi="Times New Roman"/>
              </w:rPr>
              <w:t>X</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921795" w:rsidRPr="0088479B" w:rsidP="0088479B">
            <w:pPr>
              <w:pStyle w:val="NormalWeb"/>
              <w:bidi w:val="0"/>
              <w:spacing w:before="0" w:beforeAutospacing="0" w:after="0" w:afterAutospacing="0"/>
              <w:jc w:val="center"/>
              <w:rPr>
                <w:rFonts w:ascii="Times New Roman" w:hAnsi="Times New Roman"/>
              </w:rPr>
            </w:pPr>
            <w:r w:rsidRPr="0088479B">
              <w:rPr>
                <w:rFonts w:ascii="Times New Roman" w:hAnsi="Times New Roman"/>
              </w:rPr>
              <w:t> </w:t>
            </w:r>
          </w:p>
        </w:tc>
      </w:tr>
    </w:tbl>
    <w:p w:rsidR="00921795" w:rsidRPr="0088479B" w:rsidP="0088479B">
      <w:pPr>
        <w:pStyle w:val="NormalWeb"/>
        <w:bidi w:val="0"/>
        <w:spacing w:before="0" w:beforeAutospacing="0" w:after="0" w:afterAutospacing="0"/>
        <w:jc w:val="both"/>
        <w:rPr>
          <w:rFonts w:ascii="Times New Roman" w:hAnsi="Times New Roman"/>
        </w:rPr>
      </w:pPr>
      <w:r w:rsidRPr="0088479B">
        <w:rPr>
          <w:rFonts w:ascii="Times New Roman" w:hAnsi="Times New Roman"/>
        </w:rPr>
        <w:t>  </w:t>
      </w:r>
    </w:p>
    <w:p w:rsidR="00921795" w:rsidRPr="0088479B" w:rsidP="0088479B">
      <w:pPr>
        <w:pStyle w:val="NormalWeb"/>
        <w:bidi w:val="0"/>
        <w:spacing w:before="0" w:beforeAutospacing="0" w:after="0" w:afterAutospacing="0"/>
        <w:jc w:val="both"/>
        <w:rPr>
          <w:rFonts w:ascii="Times New Roman" w:hAnsi="Times New Roman"/>
          <w:b/>
          <w:bCs/>
        </w:rPr>
      </w:pPr>
      <w:r w:rsidRPr="0088479B">
        <w:rPr>
          <w:rFonts w:ascii="Times New Roman" w:hAnsi="Times New Roman"/>
          <w:b/>
          <w:bCs/>
        </w:rPr>
        <w:t>A.3. Poznámky</w:t>
      </w:r>
    </w:p>
    <w:p w:rsidR="00921795" w:rsidRPr="0088479B" w:rsidP="0088479B">
      <w:pPr>
        <w:pStyle w:val="NormalWeb"/>
        <w:bidi w:val="0"/>
        <w:spacing w:before="0" w:beforeAutospacing="0" w:after="0" w:afterAutospacing="0"/>
        <w:jc w:val="both"/>
        <w:rPr>
          <w:rFonts w:ascii="Times New Roman" w:hAnsi="Times New Roman"/>
        </w:rPr>
      </w:pPr>
    </w:p>
    <w:p w:rsidR="00921795" w:rsidRPr="0088479B" w:rsidP="0088479B">
      <w:pPr>
        <w:pStyle w:val="NormalWeb"/>
        <w:bidi w:val="0"/>
        <w:spacing w:before="0" w:beforeAutospacing="0" w:after="0" w:afterAutospacing="0"/>
        <w:jc w:val="both"/>
        <w:rPr>
          <w:rFonts w:ascii="Times New Roman" w:hAnsi="Times New Roman"/>
        </w:rPr>
      </w:pPr>
      <w:r w:rsidRPr="0088479B">
        <w:rPr>
          <w:rFonts w:ascii="Times New Roman" w:hAnsi="Times New Roman"/>
          <w:b/>
          <w:bCs/>
        </w:rPr>
        <w:t>A.4. Alternatívne riešenia</w:t>
      </w:r>
    </w:p>
    <w:p w:rsidR="00921795" w:rsidRPr="0088479B" w:rsidP="0088479B">
      <w:pPr>
        <w:pStyle w:val="NormalWeb"/>
        <w:bidi w:val="0"/>
        <w:spacing w:before="0" w:beforeAutospacing="0" w:after="0" w:afterAutospacing="0"/>
        <w:jc w:val="both"/>
        <w:rPr>
          <w:rFonts w:ascii="Times New Roman" w:hAnsi="Times New Roman"/>
        </w:rPr>
      </w:pPr>
      <w:r w:rsidRPr="0088479B">
        <w:rPr>
          <w:rFonts w:ascii="Times New Roman" w:hAnsi="Times New Roman"/>
          <w:b/>
          <w:bCs/>
        </w:rPr>
        <w:t>    </w:t>
      </w:r>
      <w:r w:rsidRPr="0088479B">
        <w:rPr>
          <w:rFonts w:ascii="Times New Roman" w:hAnsi="Times New Roman"/>
        </w:rPr>
        <w:t>Vzhľadom na charakter zmien nebolo možné uvažovať s alternatívnymi riešeniami.</w:t>
      </w:r>
    </w:p>
    <w:p w:rsidR="00921795" w:rsidRPr="0088479B" w:rsidP="0088479B">
      <w:pPr>
        <w:pStyle w:val="NormalWeb"/>
        <w:bidi w:val="0"/>
        <w:spacing w:before="0" w:beforeAutospacing="0" w:after="0" w:afterAutospacing="0"/>
        <w:jc w:val="both"/>
        <w:rPr>
          <w:rFonts w:ascii="Times New Roman" w:hAnsi="Times New Roman"/>
        </w:rPr>
      </w:pPr>
    </w:p>
    <w:p w:rsidR="00921795" w:rsidRPr="0088479B" w:rsidP="0088479B">
      <w:pPr>
        <w:pStyle w:val="NormalWeb"/>
        <w:bidi w:val="0"/>
        <w:spacing w:before="0" w:beforeAutospacing="0" w:after="0" w:afterAutospacing="0"/>
        <w:rPr>
          <w:rFonts w:ascii="Times New Roman" w:hAnsi="Times New Roman"/>
          <w:b/>
          <w:bCs/>
        </w:rPr>
      </w:pPr>
      <w:r w:rsidRPr="0088479B">
        <w:rPr>
          <w:rFonts w:ascii="Times New Roman" w:hAnsi="Times New Roman"/>
          <w:b/>
          <w:bCs/>
        </w:rPr>
        <w:t xml:space="preserve">A.5. Stanovisko gestorov </w:t>
      </w:r>
    </w:p>
    <w:p w:rsidR="003F0F37" w:rsidRPr="0088479B" w:rsidP="0088479B">
      <w:pPr>
        <w:pStyle w:val="NormalWeb"/>
        <w:bidi w:val="0"/>
        <w:spacing w:before="0" w:beforeAutospacing="0" w:after="0" w:afterAutospacing="0"/>
        <w:jc w:val="both"/>
        <w:rPr>
          <w:rFonts w:ascii="Times New Roman" w:hAnsi="Times New Roman"/>
          <w:bCs/>
        </w:rPr>
      </w:pPr>
      <w:r w:rsidRPr="0088479B" w:rsidR="00D13FBA">
        <w:rPr>
          <w:rFonts w:ascii="Times New Roman" w:hAnsi="Times New Roman"/>
          <w:bCs/>
        </w:rPr>
        <w:t>V doložke vybraných vplyvov v tabuľke A.2 vplyvy žiadame v riadku vplyvy na rozpočet verejnej správy doplniť označenie, že predložený materiál má aj negatívne vplyvy na rozpočet verejnej správy</w:t>
      </w:r>
      <w:r w:rsidRPr="0088479B" w:rsidR="00F72A53">
        <w:rPr>
          <w:rFonts w:ascii="Times New Roman" w:hAnsi="Times New Roman"/>
          <w:bCs/>
        </w:rPr>
        <w:t>, a to z toho dôvodu, že predpokladané zvýšenie zdrojov verejného zdravotného poistenia bude následne použité vo výdavkoch verejného zdravotného poistenia a zároveň predpokladáme ďalšie negatívne vplyvy vyplývajúce zo zmien v predloženom materiáli.</w:t>
      </w:r>
    </w:p>
    <w:p w:rsidR="00F72A53" w:rsidRPr="0088479B" w:rsidP="0088479B">
      <w:pPr>
        <w:pStyle w:val="NormalWeb"/>
        <w:bidi w:val="0"/>
        <w:spacing w:before="0" w:beforeAutospacing="0" w:after="0" w:afterAutospacing="0"/>
        <w:jc w:val="both"/>
        <w:rPr>
          <w:rFonts w:ascii="Times New Roman" w:hAnsi="Times New Roman"/>
          <w:bCs/>
        </w:rPr>
      </w:pPr>
      <w:r w:rsidRPr="0088479B" w:rsidR="0094444A">
        <w:rPr>
          <w:rFonts w:ascii="Times New Roman" w:hAnsi="Times New Roman"/>
          <w:bCs/>
        </w:rPr>
        <w:t>V analýze vplyvov na rozpočet verejnej správy, na zamestnanosť vo verejnej správe a financovanie návrhu žiadame doplniť nasledovné kvantifikácie vplyvov na rozpočet verejnej správy.</w:t>
      </w:r>
    </w:p>
    <w:p w:rsidR="0094444A"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 xml:space="preserve">V čl. I v bode 5. </w:t>
      </w:r>
      <w:r w:rsidR="0093159D">
        <w:rPr>
          <w:rFonts w:ascii="Times New Roman" w:hAnsi="Times New Roman"/>
          <w:bCs/>
        </w:rPr>
        <w:t>s</w:t>
      </w:r>
      <w:r w:rsidRPr="0088479B">
        <w:rPr>
          <w:rFonts w:ascii="Times New Roman" w:hAnsi="Times New Roman"/>
          <w:bCs/>
        </w:rPr>
        <w:t>a upravuje výpočet maximálnej výšky výdavkov na prevádzkové činnosti zdravotných poisťovní</w:t>
      </w:r>
      <w:r w:rsidRPr="0088479B" w:rsidR="00CC7ACA">
        <w:rPr>
          <w:rFonts w:ascii="Times New Roman" w:hAnsi="Times New Roman"/>
          <w:bCs/>
        </w:rPr>
        <w:t>, pričom v Osobitnej časti dôvodovej správy sa uvádza, že menšie zdravotné poisťovne budú môcť použiť na prevádzkové výdavky relatívne viac prostriedkov v porovnaní so zdravotnými poisťovňami s veľkým počtom poistencov. V súvislosti s novou úpravou žiadame v doložke vybraných vplyvov doplniť kvantifikáciu ako sa zmení celkové množstvo verejného</w:t>
      </w:r>
      <w:r w:rsidRPr="0088479B" w:rsidR="00007BE1">
        <w:rPr>
          <w:rFonts w:ascii="Times New Roman" w:hAnsi="Times New Roman"/>
          <w:bCs/>
        </w:rPr>
        <w:t xml:space="preserve"> zdravotného poistenia vynakladaného na prevádzkové činnosti oproti súčasnému stavu. Zároveň kvôli zrozumiteľnosti odporúčame k výpočtu maximálneho stropu výdavkov zdravotných poisťovní na prevádzkové činnosti doplniť v predmetnej časti materiálu aj vzorec na tento výpočet.</w:t>
      </w:r>
    </w:p>
    <w:p w:rsidR="00007BE1"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 xml:space="preserve">V čl. I v bode 35. </w:t>
      </w:r>
      <w:r w:rsidRPr="0088479B" w:rsidR="00471ED5">
        <w:rPr>
          <w:rFonts w:ascii="Times New Roman" w:hAnsi="Times New Roman"/>
          <w:bCs/>
        </w:rPr>
        <w:t>s</w:t>
      </w:r>
      <w:r w:rsidRPr="0088479B">
        <w:rPr>
          <w:rFonts w:ascii="Times New Roman" w:hAnsi="Times New Roman"/>
          <w:bCs/>
        </w:rPr>
        <w:t>a navrhuje</w:t>
      </w:r>
      <w:r w:rsidRPr="0088479B" w:rsidR="00626154">
        <w:rPr>
          <w:rFonts w:ascii="Times New Roman" w:hAnsi="Times New Roman"/>
          <w:bCs/>
        </w:rPr>
        <w:t xml:space="preserve"> zrušenie možnosti udelenia pokuty úradom zdravotnej poisťovni za porušenie povinnosti podľa § 11 ods. 10 zákona v sume 2 mil. eur. Nakoľko výnosy z pokút sú príjmom štátneho rozpočtu zrušenie udelenia pokuty má dopad na budúce možné príjmy rozpočtu verejnej správy.</w:t>
      </w:r>
    </w:p>
    <w:p w:rsidR="00626154"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 xml:space="preserve">V čl. II v bode 6. </w:t>
      </w:r>
      <w:r w:rsidRPr="0088479B" w:rsidR="00471ED5">
        <w:rPr>
          <w:rFonts w:ascii="Times New Roman" w:hAnsi="Times New Roman"/>
          <w:bCs/>
        </w:rPr>
        <w:t>s</w:t>
      </w:r>
      <w:r w:rsidRPr="0088479B">
        <w:rPr>
          <w:rFonts w:ascii="Times New Roman" w:hAnsi="Times New Roman"/>
          <w:bCs/>
        </w:rPr>
        <w:t>a umožňuje zdravotnej poisťovni uplatniť si poplatok za vydanie výkazu nedoplatkov, pričom predmetné príjmy</w:t>
      </w:r>
      <w:r w:rsidRPr="0088479B" w:rsidR="00991C05">
        <w:rPr>
          <w:rFonts w:ascii="Times New Roman" w:hAnsi="Times New Roman"/>
          <w:bCs/>
        </w:rPr>
        <w:t xml:space="preserve"> budú príjmami zdravotných poisťovní. Uvedená zmena má vplyv na príjmy zdravotných poisťovní, ako aj na príjmy verejného zdravotného poistenia. Predmetnú kvantifikáciu žiadame rozdeliť samostatne na príjmy Všeobecnej zdravotnej poisťovne, a.s., ktoré sú súčasťou verejného zdravotného poistenia, a tým aj súčasťou rozpočtu verejnej správy, a na príjmy súkromných zdravotných poisťovní</w:t>
      </w:r>
      <w:r w:rsidRPr="0088479B" w:rsidR="00074490">
        <w:rPr>
          <w:rFonts w:ascii="Times New Roman" w:hAnsi="Times New Roman"/>
          <w:bCs/>
        </w:rPr>
        <w:t>, ktoré nie sú súčasťou verejného zdravotného poistenia, ale ovplyvňujú súkromné príjmy týchto poisťovní. Uvedené príjmy verejného zdravotného poistenia rovnako žiadame zapracovať aj na strane výdavkov verejného zdravotného poistenia. Kvantifikáciu predmetných príjmov súkromných poisťovní a následných výdavkov krytých uvedeným</w:t>
      </w:r>
      <w:r w:rsidRPr="0088479B" w:rsidR="00C91EC1">
        <w:rPr>
          <w:rFonts w:ascii="Times New Roman" w:hAnsi="Times New Roman"/>
          <w:bCs/>
        </w:rPr>
        <w:t xml:space="preserve"> zdrojom žiadame uviesť len ako informáciu v textovej časti 2.3.1. Popis návrhu, prípadne v časti 2.3.4. Výpočty vplyvov na verejné financie. Na základe vyššie uvedeného žiadame v časti 2.1 Zhrnutie vplyvov na rozpočet verejnej správy namiesto textu „vplyv na zdravotné poisťovne“</w:t>
      </w:r>
      <w:r w:rsidRPr="0088479B" w:rsidR="00FD15E4">
        <w:rPr>
          <w:rFonts w:ascii="Times New Roman" w:hAnsi="Times New Roman"/>
          <w:bCs/>
        </w:rPr>
        <w:t xml:space="preserve"> uvádzať „vplyv na verejné zdravotné poistenie“.</w:t>
      </w:r>
      <w:r w:rsidRPr="0088479B" w:rsidR="005B2E79">
        <w:rPr>
          <w:rFonts w:ascii="Times New Roman" w:hAnsi="Times New Roman"/>
          <w:bCs/>
        </w:rPr>
        <w:t xml:space="preserve"> Podotýkame, že príjmy z odplaty za postúpenú pohľadávku na poistnom vrátane príjmov súkromných zdravotných poisťovní sú súčasťou verejného zdravotného poistenia.</w:t>
      </w:r>
    </w:p>
    <w:p w:rsidR="005B2E79"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V čl. V sa dopĺňa povinnosť Sociálnej poisťovne predkladať špecifické údaje Úradu pre dohľad nad zdravotnou starostlivosťou</w:t>
      </w:r>
      <w:r w:rsidRPr="0088479B" w:rsidR="0000327E">
        <w:rPr>
          <w:rFonts w:ascii="Times New Roman" w:hAnsi="Times New Roman"/>
          <w:bCs/>
        </w:rPr>
        <w:t xml:space="preserve">. V súvislosti s novou  činnosťou Sociálnej poisťovne žiadame v doložke vybraných </w:t>
      </w:r>
      <w:r w:rsidRPr="0088479B" w:rsidR="00C653F7">
        <w:rPr>
          <w:rFonts w:ascii="Times New Roman" w:hAnsi="Times New Roman"/>
          <w:bCs/>
        </w:rPr>
        <w:t xml:space="preserve">vplyvov </w:t>
      </w:r>
      <w:r w:rsidRPr="0088479B" w:rsidR="00C9314B">
        <w:rPr>
          <w:rFonts w:ascii="Times New Roman" w:hAnsi="Times New Roman"/>
          <w:bCs/>
        </w:rPr>
        <w:t>doplniť kvantifikáciu zvýšených výdavkov Sociálnej poisťovne súvisiacich so zabezpečením predmetnej povinnosti.</w:t>
      </w:r>
    </w:p>
    <w:p w:rsidR="00C9314B"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 xml:space="preserve">V časti </w:t>
      </w:r>
      <w:r w:rsidRPr="0088479B" w:rsidR="002170B0">
        <w:rPr>
          <w:rFonts w:ascii="Times New Roman" w:hAnsi="Times New Roman"/>
          <w:bCs/>
        </w:rPr>
        <w:t>2.1. Zhrnutie vplyvov na rozpočet verejnej správy v návrhu v</w:t>
      </w:r>
      <w:r w:rsidRPr="0088479B" w:rsidR="00471ED5">
        <w:rPr>
          <w:rFonts w:ascii="Times New Roman" w:hAnsi="Times New Roman"/>
          <w:bCs/>
        </w:rPr>
        <w:t> </w:t>
      </w:r>
      <w:r w:rsidRPr="0088479B" w:rsidR="002170B0">
        <w:rPr>
          <w:rFonts w:ascii="Times New Roman" w:hAnsi="Times New Roman"/>
          <w:bCs/>
        </w:rPr>
        <w:t>tabuľke</w:t>
      </w:r>
      <w:r w:rsidRPr="0088479B" w:rsidR="00471ED5">
        <w:rPr>
          <w:rFonts w:ascii="Times New Roman" w:hAnsi="Times New Roman"/>
          <w:bCs/>
        </w:rPr>
        <w:t xml:space="preserve"> č. 1 žiadame doplniť Príjmy verejnej správy celkom, nakoľko je v príjmovej časti tabuľky kvantifikovaný pozitívny vplyv.</w:t>
      </w:r>
    </w:p>
    <w:p w:rsidR="00471ED5"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Nesúhlasíme s vyjadrením v</w:t>
      </w:r>
      <w:r w:rsidRPr="0088479B" w:rsidR="00453F54">
        <w:rPr>
          <w:rFonts w:ascii="Times New Roman" w:hAnsi="Times New Roman"/>
          <w:bCs/>
        </w:rPr>
        <w:t> </w:t>
      </w:r>
      <w:r w:rsidRPr="0088479B">
        <w:rPr>
          <w:rFonts w:ascii="Times New Roman" w:hAnsi="Times New Roman"/>
          <w:bCs/>
        </w:rPr>
        <w:t>časti 2.2</w:t>
      </w:r>
      <w:r w:rsidRPr="0088479B" w:rsidR="00730B7D">
        <w:rPr>
          <w:rFonts w:ascii="Times New Roman" w:hAnsi="Times New Roman"/>
          <w:bCs/>
        </w:rPr>
        <w:t xml:space="preserve">. </w:t>
      </w:r>
      <w:r w:rsidRPr="0088479B" w:rsidR="00453F54">
        <w:rPr>
          <w:rFonts w:ascii="Times New Roman" w:hAnsi="Times New Roman"/>
          <w:bCs/>
        </w:rPr>
        <w:t>Financovanie návrhu, že „návrh nespôsobuje úbytok príjmov alebo zvýšenie výdavkov“ a žiadame ho upraviť v súlade s vyššie požadovanými kvantifikáciami.</w:t>
      </w:r>
    </w:p>
    <w:p w:rsidR="00453F54" w:rsidRPr="0088479B" w:rsidP="0088479B">
      <w:pPr>
        <w:pStyle w:val="NormalWeb"/>
        <w:bidi w:val="0"/>
        <w:spacing w:before="0" w:beforeAutospacing="0" w:after="0" w:afterAutospacing="0"/>
        <w:jc w:val="both"/>
        <w:rPr>
          <w:rFonts w:ascii="Times New Roman" w:hAnsi="Times New Roman"/>
          <w:bCs/>
        </w:rPr>
      </w:pPr>
      <w:r w:rsidRPr="0088479B">
        <w:rPr>
          <w:rFonts w:ascii="Times New Roman" w:hAnsi="Times New Roman"/>
          <w:bCs/>
        </w:rPr>
        <w:t xml:space="preserve">Zároveň v čl. I v bode 19. </w:t>
      </w:r>
      <w:r w:rsidR="00933AA9">
        <w:rPr>
          <w:rFonts w:ascii="Times New Roman" w:hAnsi="Times New Roman"/>
          <w:bCs/>
        </w:rPr>
        <w:t>s</w:t>
      </w:r>
      <w:r w:rsidRPr="0088479B">
        <w:rPr>
          <w:rFonts w:ascii="Times New Roman" w:hAnsi="Times New Roman"/>
          <w:bCs/>
        </w:rPr>
        <w:t xml:space="preserve">a úpravou znenia odseku 5 v § 15 súčasného zákona ruší povinnosť zdravotných poisťovní viesť v účtovníctve oddelenú analytickú evidenciu pre verejné zdravotné poistenie a osobitne </w:t>
      </w:r>
      <w:r w:rsidRPr="0088479B" w:rsidR="0007567C">
        <w:rPr>
          <w:rFonts w:ascii="Times New Roman" w:hAnsi="Times New Roman"/>
          <w:bCs/>
        </w:rPr>
        <w:t>pre prevádzkovú činnosti tak, </w:t>
      </w:r>
      <w:r w:rsidRPr="0088479B">
        <w:rPr>
          <w:rFonts w:ascii="Times New Roman" w:hAnsi="Times New Roman"/>
          <w:bCs/>
        </w:rPr>
        <w:t>aby</w:t>
      </w:r>
      <w:r w:rsidRPr="0088479B" w:rsidR="0007567C">
        <w:rPr>
          <w:rFonts w:ascii="Times New Roman" w:hAnsi="Times New Roman"/>
          <w:bCs/>
        </w:rPr>
        <w:t xml:space="preserve"> sa celkové náklady a výnosy viedli osobitne pre verejné zdravotné poistenie a osobitne pre prevádzkové činnosti</w:t>
      </w:r>
      <w:r w:rsidRPr="0088479B" w:rsidR="000A20D2">
        <w:rPr>
          <w:rFonts w:ascii="Times New Roman" w:hAnsi="Times New Roman"/>
          <w:bCs/>
        </w:rPr>
        <w:t>, a aby</w:t>
      </w:r>
      <w:r w:rsidRPr="0088479B" w:rsidR="0007567C">
        <w:rPr>
          <w:rFonts w:ascii="Times New Roman" w:hAnsi="Times New Roman"/>
          <w:bCs/>
        </w:rPr>
        <w:t xml:space="preserve"> bolo možné zistiť</w:t>
      </w:r>
      <w:r w:rsidRPr="0088479B" w:rsidR="000A20D2">
        <w:rPr>
          <w:rFonts w:ascii="Times New Roman" w:hAnsi="Times New Roman"/>
          <w:bCs/>
        </w:rPr>
        <w:t xml:space="preserve"> hospodársky výsledok za každú činnosť samostatne. Pôvodný odsek 5 v § 15 zákona žiadame zachovať a navrhovaný text v bode 19. predloženého materiálu vložiť ako dodatočný odsek 6 v § 15 zákona, pričom sa nasledujúce odseky prečíslujú.</w:t>
      </w:r>
    </w:p>
    <w:p w:rsidR="00C653F7" w:rsidRPr="0088479B" w:rsidP="0088479B">
      <w:pPr>
        <w:pStyle w:val="NormalWeb"/>
        <w:bidi w:val="0"/>
        <w:spacing w:before="0" w:beforeAutospacing="0" w:after="0" w:afterAutospacing="0"/>
        <w:jc w:val="both"/>
        <w:rPr>
          <w:rFonts w:ascii="Times New Roman" w:hAnsi="Times New Roman"/>
          <w:bCs/>
        </w:rPr>
      </w:pPr>
    </w:p>
    <w:p w:rsidR="003F0F37" w:rsidRPr="0088479B" w:rsidP="0088479B">
      <w:pPr>
        <w:bidi w:val="0"/>
        <w:rPr>
          <w:rFonts w:ascii="Times New Roman" w:hAnsi="Times New Roman"/>
          <w:lang w:val="sk-SK"/>
        </w:rPr>
      </w:pPr>
      <w:r w:rsidRPr="0088479B">
        <w:rPr>
          <w:rFonts w:ascii="Times New Roman" w:hAnsi="Times New Roman"/>
          <w:lang w:val="sk-SK"/>
        </w:rPr>
        <w:t>V doložke vplyvov žiadame vyznačiť pozitívne vplyvy na informatizáciu spoločnosti a zároveň žiadame vypracovať analýzu vplyvov na informatizáciu spoločnosti, a to nasledovne:</w:t>
      </w:r>
    </w:p>
    <w:p w:rsidR="003F0F37" w:rsidRPr="0088479B" w:rsidP="0088479B">
      <w:pPr>
        <w:numPr>
          <w:numId w:val="4"/>
        </w:numPr>
        <w:bidi w:val="0"/>
        <w:rPr>
          <w:rFonts w:ascii="Times New Roman" w:hAnsi="Times New Roman"/>
          <w:lang w:val="sk-SK"/>
        </w:rPr>
      </w:pPr>
      <w:r w:rsidRPr="0088479B">
        <w:rPr>
          <w:rFonts w:ascii="Times New Roman" w:hAnsi="Times New Roman"/>
          <w:b/>
          <w:lang w:val="sk-SK"/>
        </w:rPr>
        <w:t>V časti 6.1.</w:t>
      </w:r>
      <w:r w:rsidRPr="0088479B">
        <w:rPr>
          <w:rFonts w:ascii="Times New Roman" w:hAnsi="Times New Roman"/>
          <w:lang w:val="sk-SK"/>
        </w:rPr>
        <w:t xml:space="preserve"> analýzy navrhujeme doplniť vetu: „Áno, písomná forma komunikácie medzi zdravotnými poisťovňami a úradom v súvislosti s prijatými a potvrdenými prihláškami na verejné zdravotné poistenie sa nahrádza formou elektronickou. Úroveň III. (obojsmerná interakcia).“. </w:t>
      </w:r>
    </w:p>
    <w:p w:rsidR="003F0F37" w:rsidRPr="0088479B" w:rsidP="0088479B">
      <w:pPr>
        <w:numPr>
          <w:numId w:val="4"/>
        </w:numPr>
        <w:bidi w:val="0"/>
        <w:rPr>
          <w:rFonts w:ascii="Times New Roman" w:hAnsi="Times New Roman"/>
          <w:color w:val="000000"/>
          <w:lang w:val="sk-SK"/>
        </w:rPr>
      </w:pPr>
      <w:r w:rsidRPr="0088479B">
        <w:rPr>
          <w:rFonts w:ascii="Times New Roman" w:hAnsi="Times New Roman"/>
          <w:color w:val="000000"/>
          <w:lang w:val="sk-SK"/>
        </w:rPr>
        <w:t xml:space="preserve">V prípade, ak sa na základe uvedenej novely predmetného zákona zverejňujú v Obchodnom vestníku oproti doterajšej právnej úprave nové informácie, potom je potrebné </w:t>
      </w:r>
      <w:r w:rsidRPr="0088479B" w:rsidR="00EA42FA">
        <w:rPr>
          <w:rFonts w:ascii="Times New Roman" w:hAnsi="Times New Roman"/>
          <w:b/>
          <w:color w:val="000000"/>
          <w:lang w:val="sk-SK"/>
        </w:rPr>
        <w:t>v</w:t>
      </w:r>
      <w:r w:rsidRPr="0088479B">
        <w:rPr>
          <w:rFonts w:ascii="Times New Roman" w:hAnsi="Times New Roman"/>
          <w:b/>
          <w:color w:val="000000"/>
          <w:lang w:val="sk-SK"/>
        </w:rPr>
        <w:t> časti 6.1. analýzy</w:t>
      </w:r>
      <w:r w:rsidRPr="0088479B">
        <w:rPr>
          <w:rFonts w:ascii="Times New Roman" w:hAnsi="Times New Roman"/>
          <w:color w:val="000000"/>
          <w:lang w:val="sk-SK"/>
        </w:rPr>
        <w:t xml:space="preserve"> doplniť </w:t>
      </w:r>
      <w:r w:rsidRPr="0088479B" w:rsidR="00EA42FA">
        <w:rPr>
          <w:rFonts w:ascii="Times New Roman" w:hAnsi="Times New Roman"/>
          <w:color w:val="000000"/>
          <w:lang w:val="sk-SK"/>
        </w:rPr>
        <w:t xml:space="preserve">ďalšiu </w:t>
      </w:r>
      <w:r w:rsidRPr="0088479B">
        <w:rPr>
          <w:rFonts w:ascii="Times New Roman" w:hAnsi="Times New Roman"/>
          <w:color w:val="000000"/>
          <w:lang w:val="sk-SK"/>
        </w:rPr>
        <w:t>vetu</w:t>
      </w:r>
      <w:r w:rsidRPr="0088479B" w:rsidR="00EA42FA">
        <w:rPr>
          <w:rFonts w:ascii="Times New Roman" w:hAnsi="Times New Roman"/>
          <w:color w:val="000000"/>
          <w:lang w:val="sk-SK"/>
        </w:rPr>
        <w:t xml:space="preserve"> v znení</w:t>
      </w:r>
      <w:r w:rsidRPr="0088479B">
        <w:rPr>
          <w:rFonts w:ascii="Times New Roman" w:hAnsi="Times New Roman"/>
          <w:color w:val="000000"/>
          <w:lang w:val="sk-SK"/>
        </w:rPr>
        <w:t>: „Áno, zverejňovaním ...............(napíšete čoho) v Obchodnom vestníku</w:t>
      </w:r>
      <w:r w:rsidRPr="0088479B" w:rsidR="00EA42FA">
        <w:rPr>
          <w:rFonts w:ascii="Times New Roman" w:hAnsi="Times New Roman"/>
          <w:color w:val="000000"/>
          <w:lang w:val="sk-SK"/>
        </w:rPr>
        <w:t>. Úroveň</w:t>
      </w:r>
      <w:r w:rsidRPr="0088479B">
        <w:rPr>
          <w:rFonts w:ascii="Times New Roman" w:hAnsi="Times New Roman"/>
          <w:color w:val="000000"/>
          <w:lang w:val="sk-SK"/>
        </w:rPr>
        <w:t xml:space="preserve"> I. (informatívna úroveň).</w:t>
      </w:r>
      <w:r w:rsidRPr="0088479B" w:rsidR="00EA42FA">
        <w:rPr>
          <w:rFonts w:ascii="Times New Roman" w:hAnsi="Times New Roman"/>
          <w:color w:val="000000"/>
          <w:lang w:val="sk-SK"/>
        </w:rPr>
        <w:t>“.</w:t>
      </w:r>
      <w:r w:rsidRPr="0088479B">
        <w:rPr>
          <w:rFonts w:ascii="Times New Roman" w:hAnsi="Times New Roman"/>
          <w:color w:val="000000"/>
          <w:lang w:val="sk-SK"/>
        </w:rPr>
        <w:t xml:space="preserve">  </w:t>
      </w:r>
    </w:p>
    <w:p w:rsidR="00EA6F06" w:rsidRPr="0088479B" w:rsidP="0088479B">
      <w:pPr>
        <w:bidi w:val="0"/>
        <w:ind w:left="720"/>
        <w:rPr>
          <w:rFonts w:ascii="Times New Roman" w:hAnsi="Times New Roman"/>
          <w:color w:val="000000"/>
          <w:lang w:val="sk-SK"/>
        </w:rPr>
      </w:pPr>
    </w:p>
    <w:p w:rsidR="003F0F37" w:rsidRPr="0088479B" w:rsidP="0088479B">
      <w:pPr>
        <w:bidi w:val="0"/>
        <w:ind w:left="720"/>
        <w:rPr>
          <w:rFonts w:ascii="Times New Roman" w:hAnsi="Times New Roman"/>
          <w:lang w:val="sk-SK"/>
        </w:rPr>
      </w:pPr>
      <w:r w:rsidRPr="0088479B">
        <w:rPr>
          <w:rFonts w:ascii="Times New Roman" w:hAnsi="Times New Roman"/>
          <w:lang w:val="sk-SK"/>
        </w:rPr>
        <w:t>Ostatné časti analýzy navrhujeme vyplniť slovom „Nie“.</w:t>
      </w:r>
    </w:p>
    <w:p w:rsidR="005D6367" w:rsidRPr="0088479B" w:rsidP="0088479B">
      <w:pPr>
        <w:bidi w:val="0"/>
        <w:rPr>
          <w:rFonts w:ascii="Times New Roman" w:hAnsi="Times New Roman"/>
          <w:lang w:val="sk-SK"/>
        </w:rPr>
      </w:pPr>
    </w:p>
    <w:p w:rsidR="005D6367" w:rsidRPr="0088479B" w:rsidP="00C126F0">
      <w:pPr>
        <w:pStyle w:val="NormalWeb"/>
        <w:bidi w:val="0"/>
        <w:spacing w:before="0" w:beforeAutospacing="0" w:after="0" w:afterAutospacing="0"/>
        <w:jc w:val="both"/>
        <w:rPr>
          <w:rFonts w:ascii="Times New Roman" w:hAnsi="Times New Roman"/>
        </w:rPr>
      </w:pPr>
      <w:r w:rsidRPr="0088479B">
        <w:rPr>
          <w:rFonts w:ascii="Times New Roman" w:hAnsi="Times New Roman"/>
        </w:rPr>
        <w:t xml:space="preserve">Ministerstvo práce, sociálnych vecí a rodiny SR súhlasí s doložkou vybraných vplyvov v časti sociálne vplyvy pripravenou k predloženému návrhu. </w:t>
      </w:r>
    </w:p>
    <w:p w:rsidR="005D6367" w:rsidRPr="0088479B" w:rsidP="00C126F0">
      <w:pPr>
        <w:pStyle w:val="PlainText"/>
        <w:bidi w:val="0"/>
        <w:jc w:val="both"/>
        <w:rPr>
          <w:rFonts w:ascii="Times New Roman" w:hAnsi="Times New Roman"/>
          <w:sz w:val="24"/>
          <w:szCs w:val="24"/>
        </w:rPr>
      </w:pPr>
      <w:r w:rsidRPr="0088479B">
        <w:rPr>
          <w:rFonts w:ascii="Times New Roman" w:hAnsi="Times New Roman"/>
          <w:sz w:val="24"/>
          <w:szCs w:val="24"/>
        </w:rPr>
        <w:t xml:space="preserve">Ministerstvo životného prostredia SR súhlasí s predloženou doložkou vybraných vplyvov </w:t>
      </w:r>
      <w:r w:rsidRPr="0088479B">
        <w:rPr>
          <w:rFonts w:ascii="Times New Roman" w:hAnsi="Times New Roman"/>
          <w:b/>
          <w:bCs/>
          <w:sz w:val="24"/>
          <w:szCs w:val="24"/>
        </w:rPr>
        <w:t>bez pripomienok</w:t>
      </w:r>
      <w:r w:rsidRPr="0088479B">
        <w:rPr>
          <w:rFonts w:ascii="Times New Roman" w:hAnsi="Times New Roman"/>
          <w:sz w:val="24"/>
          <w:szCs w:val="24"/>
        </w:rPr>
        <w:t>.</w:t>
      </w:r>
    </w:p>
    <w:p w:rsidR="005D6367" w:rsidP="00C126F0">
      <w:pPr>
        <w:pStyle w:val="PlainText"/>
        <w:bidi w:val="0"/>
        <w:jc w:val="both"/>
        <w:rPr>
          <w:rFonts w:ascii="Times New Roman" w:hAnsi="Times New Roman"/>
          <w:sz w:val="24"/>
          <w:szCs w:val="24"/>
        </w:rPr>
      </w:pPr>
    </w:p>
    <w:p w:rsidR="00190DB9" w:rsidRPr="00190DB9" w:rsidP="00C126F0">
      <w:pPr>
        <w:pStyle w:val="PlainText"/>
        <w:bidi w:val="0"/>
        <w:jc w:val="both"/>
        <w:rPr>
          <w:rFonts w:ascii="Times New Roman" w:hAnsi="Times New Roman"/>
          <w:sz w:val="24"/>
          <w:szCs w:val="24"/>
        </w:rPr>
      </w:pPr>
      <w:r>
        <w:rPr>
          <w:rFonts w:ascii="Times New Roman" w:hAnsi="Times New Roman"/>
          <w:sz w:val="24"/>
          <w:szCs w:val="24"/>
        </w:rPr>
        <w:t>Ministerstvo vnútra Slovenskej republiky -</w:t>
      </w:r>
      <w:r w:rsidRPr="00190DB9">
        <w:rPr>
          <w:rFonts w:ascii="Times New Roman" w:hAnsi="Times New Roman"/>
          <w:sz w:val="24"/>
          <w:szCs w:val="24"/>
        </w:rPr>
        <w:t xml:space="preserve"> „Návrh zákona, ktorým sa mení a dopĺňa zákon č. 581/2004 Z. z. o zdravotných poisťovniach, dohľade nad zdravotnou starostlivosťou a o zmene a doplnení niektorých zákonov v znení neskorších predpisov a o zmene a doplnení niektorých zákonov“ nemáme pripomienky a súhlasíme s doložkou vybraných vplyvov a vypracovanou analýzou.</w:t>
      </w:r>
    </w:p>
    <w:p w:rsidR="00190DB9" w:rsidRPr="00190DB9" w:rsidP="00C126F0">
      <w:pPr>
        <w:pStyle w:val="PlainText"/>
        <w:bidi w:val="0"/>
        <w:jc w:val="both"/>
        <w:rPr>
          <w:rFonts w:ascii="Times New Roman" w:hAnsi="Times New Roman"/>
          <w:sz w:val="24"/>
          <w:szCs w:val="24"/>
        </w:rPr>
      </w:pPr>
      <w:r w:rsidRPr="00190DB9">
        <w:rPr>
          <w:rFonts w:ascii="Times New Roman" w:hAnsi="Times New Roman"/>
          <w:sz w:val="24"/>
          <w:szCs w:val="24"/>
        </w:rPr>
        <w:t xml:space="preserve"> </w:t>
      </w:r>
    </w:p>
    <w:p w:rsidR="006669F1" w:rsidP="006669F1">
      <w:pPr>
        <w:pStyle w:val="PlainText"/>
        <w:bidi w:val="0"/>
        <w:jc w:val="both"/>
        <w:rPr>
          <w:rFonts w:ascii="Times New Roman" w:hAnsi="Times New Roman"/>
          <w:sz w:val="24"/>
          <w:szCs w:val="24"/>
        </w:rPr>
      </w:pPr>
      <w:r w:rsidRPr="00190DB9" w:rsidR="00190DB9">
        <w:rPr>
          <w:rFonts w:ascii="Times New Roman" w:hAnsi="Times New Roman"/>
          <w:sz w:val="24"/>
          <w:szCs w:val="24"/>
        </w:rPr>
        <w:t>Pozitívny vplyv na PP sa prejaví vo forme zníženia bariér pre vstup nových subjektov na trh poskytovateľov zdravotného poistenia. Navrhované naviazanie limitu prevádzkových výdavkov zdravotnej poisťovne na počet poistencov odstráni diskrimináciu menších poisťovní a uľahčí prípadný vstup nových poisťovní na trh, čo sa prejaví v ozdravení PP.</w:t>
      </w:r>
      <w:r>
        <w:rPr>
          <w:rFonts w:ascii="Times New Roman" w:hAnsi="Times New Roman"/>
          <w:sz w:val="24"/>
          <w:szCs w:val="24"/>
        </w:rPr>
        <w:t xml:space="preserve"> </w:t>
      </w:r>
    </w:p>
    <w:p w:rsidR="006669F1" w:rsidP="006669F1">
      <w:pPr>
        <w:pStyle w:val="PlainText"/>
        <w:bidi w:val="0"/>
        <w:jc w:val="both"/>
        <w:rPr>
          <w:rFonts w:ascii="Times New Roman" w:hAnsi="Times New Roman"/>
          <w:sz w:val="24"/>
          <w:szCs w:val="24"/>
        </w:rPr>
      </w:pPr>
    </w:p>
    <w:p w:rsidR="00921795" w:rsidRPr="0088479B" w:rsidP="006669F1">
      <w:pPr>
        <w:pStyle w:val="PlainText"/>
        <w:bidi w:val="0"/>
        <w:jc w:val="center"/>
        <w:rPr>
          <w:rFonts w:ascii="Times New Roman" w:hAnsi="Times New Roman"/>
          <w:sz w:val="24"/>
          <w:szCs w:val="24"/>
        </w:rPr>
      </w:pPr>
      <w:r w:rsidRPr="006669F1" w:rsidR="00190DB9">
        <w:rPr>
          <w:rFonts w:ascii="Times New Roman" w:hAnsi="Times New Roman"/>
          <w:sz w:val="24"/>
          <w:szCs w:val="24"/>
        </w:rPr>
        <w:t>Ministerstvo zdravotníctva Slovenskej republiky pripomienky zapracovalo</w:t>
      </w:r>
      <w:r w:rsidRPr="006669F1" w:rsidR="00933AA9">
        <w:rPr>
          <w:rFonts w:ascii="Times New Roman" w:hAnsi="Times New Roman"/>
          <w:sz w:val="24"/>
          <w:szCs w:val="24"/>
        </w:rPr>
        <w:t xml:space="preserve"> okrem pripomienky MF k § 15 ods. 5 viesť oddelenú účtovnú evidenciu z dôvodu neopod</w:t>
      </w:r>
      <w:r w:rsidRPr="006669F1" w:rsidR="006669F1">
        <w:rPr>
          <w:rFonts w:ascii="Times New Roman" w:hAnsi="Times New Roman"/>
          <w:sz w:val="24"/>
          <w:szCs w:val="24"/>
        </w:rPr>
        <w:t>statnenosti</w:t>
      </w:r>
      <w:r w:rsidRPr="006669F1" w:rsidR="00190DB9">
        <w:rPr>
          <w:rFonts w:ascii="Times New Roman" w:hAnsi="Times New Roman"/>
          <w:sz w:val="24"/>
          <w:szCs w:val="24"/>
        </w:rPr>
        <w:t>.</w:t>
      </w:r>
      <w:r w:rsidRPr="0088479B" w:rsidR="00E612CF">
        <w:rPr>
          <w:rFonts w:ascii="Times New Roman" w:hAnsi="Times New Roman"/>
          <w:b/>
          <w:bCs/>
          <w:sz w:val="24"/>
          <w:szCs w:val="24"/>
        </w:rPr>
        <w:br w:type="page"/>
      </w:r>
      <w:r w:rsidRPr="0088479B">
        <w:rPr>
          <w:rFonts w:ascii="Times New Roman" w:hAnsi="Times New Roman"/>
          <w:b/>
          <w:bCs/>
          <w:sz w:val="24"/>
          <w:szCs w:val="24"/>
        </w:rPr>
        <w:t>Vplyvy na rozpočet verejnej správy,</w:t>
      </w:r>
    </w:p>
    <w:p w:rsidR="00921795" w:rsidRPr="0088479B" w:rsidP="0088479B">
      <w:pPr>
        <w:bidi w:val="0"/>
        <w:jc w:val="center"/>
        <w:rPr>
          <w:rFonts w:ascii="Times New Roman" w:hAnsi="Times New Roman"/>
          <w:lang w:val="sk-SK"/>
        </w:rPr>
      </w:pPr>
      <w:r w:rsidRPr="0088479B">
        <w:rPr>
          <w:rFonts w:ascii="Times New Roman" w:hAnsi="Times New Roman"/>
          <w:b/>
          <w:bCs/>
          <w:lang w:val="sk-SK"/>
        </w:rPr>
        <w:t>na zamestnanosť vo verejnej správe a financovanie návrhu</w:t>
      </w:r>
    </w:p>
    <w:p w:rsidR="00921795" w:rsidRPr="0088479B" w:rsidP="0088479B">
      <w:pPr>
        <w:bidi w:val="0"/>
        <w:rPr>
          <w:rFonts w:ascii="Times New Roman" w:hAnsi="Times New Roman"/>
          <w:lang w:val="sk-SK"/>
        </w:rPr>
      </w:pPr>
      <w:r w:rsidRPr="0088479B">
        <w:rPr>
          <w:rFonts w:ascii="Times New Roman" w:hAnsi="Times New Roman"/>
          <w:lang w:val="sk-SK"/>
        </w:rPr>
        <w:t> </w:t>
      </w:r>
    </w:p>
    <w:p w:rsidR="00921795" w:rsidRPr="0088479B" w:rsidP="0088479B">
      <w:pPr>
        <w:bidi w:val="0"/>
        <w:rPr>
          <w:rFonts w:ascii="Times New Roman" w:hAnsi="Times New Roman"/>
          <w:lang w:val="sk-SK"/>
        </w:rPr>
      </w:pPr>
      <w:r w:rsidRPr="0088479B">
        <w:rPr>
          <w:rFonts w:ascii="Times New Roman" w:hAnsi="Times New Roman"/>
          <w:b/>
          <w:bCs/>
          <w:lang w:val="sk-SK"/>
        </w:rPr>
        <w:t>2.1. Zhrnutie vplyvov na rozpočet verejnej správy v návrhu</w:t>
      </w:r>
    </w:p>
    <w:p w:rsidR="00921795" w:rsidRPr="0088479B" w:rsidP="0088479B">
      <w:pPr>
        <w:bidi w:val="0"/>
        <w:jc w:val="right"/>
        <w:rPr>
          <w:rFonts w:ascii="Times New Roman" w:hAnsi="Times New Roman"/>
          <w:lang w:val="sk-SK"/>
        </w:rPr>
      </w:pPr>
      <w:r w:rsidRPr="0088479B">
        <w:rPr>
          <w:rFonts w:ascii="Times New Roman" w:hAnsi="Times New Roman"/>
          <w:lang w:val="sk-SK"/>
        </w:rPr>
        <w:t xml:space="preserve">Tabuľka č. 1 </w:t>
      </w:r>
    </w:p>
    <w:tbl>
      <w:tblPr>
        <w:tblStyle w:val="TableNormal"/>
        <w:tblW w:w="9993" w:type="dxa"/>
        <w:tblCellMar>
          <w:left w:w="0" w:type="dxa"/>
          <w:right w:w="0" w:type="dxa"/>
        </w:tblCellMar>
      </w:tblPr>
      <w:tblGrid>
        <w:gridCol w:w="4661"/>
        <w:gridCol w:w="1505"/>
        <w:gridCol w:w="1417"/>
        <w:gridCol w:w="1276"/>
        <w:gridCol w:w="1134"/>
      </w:tblGrid>
      <w:tr>
        <w:tblPrEx>
          <w:tblW w:w="9993" w:type="dxa"/>
          <w:tblCellMar>
            <w:left w:w="0" w:type="dxa"/>
            <w:right w:w="0" w:type="dxa"/>
          </w:tblCellMar>
        </w:tblPrEx>
        <w:trPr>
          <w:cantSplit/>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bookmarkStart w:id="0" w:name="OLE_LINK1"/>
            <w:bookmarkEnd w:id="0"/>
            <w:r w:rsidRPr="0088479B">
              <w:rPr>
                <w:rFonts w:ascii="Times New Roman" w:hAnsi="Times New Roman"/>
                <w:b/>
                <w:bCs/>
                <w:color w:val="FFFFFF"/>
                <w:lang w:val="sk-SK"/>
              </w:rPr>
              <w:t xml:space="preserve">Vplyvy na </w:t>
            </w:r>
            <w:r w:rsidRPr="0088479B">
              <w:rPr>
                <w:rFonts w:ascii="Times New Roman" w:hAnsi="Times New Roman"/>
                <w:b/>
                <w:bCs/>
                <w:lang w:val="sk-SK"/>
              </w:rPr>
              <w:t>rozpočet verejnej správy</w:t>
            </w:r>
          </w:p>
        </w:tc>
        <w:tc>
          <w:tcPr>
            <w:tcW w:w="5332"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 xml:space="preserve">Vplyv na rozpočet verejnej správy </w:t>
            </w:r>
            <w:r w:rsidRPr="0088479B">
              <w:rPr>
                <w:rFonts w:ascii="Times New Roman" w:hAnsi="Times New Roman"/>
                <w:b/>
                <w:bCs/>
                <w:lang w:val="sk-SK"/>
              </w:rPr>
              <w:t>(v eurách)</w:t>
            </w:r>
          </w:p>
        </w:tc>
      </w:tr>
      <w:tr>
        <w:tblPrEx>
          <w:tblW w:w="9993" w:type="dxa"/>
          <w:tblCellMar>
            <w:left w:w="0" w:type="dxa"/>
            <w:right w:w="0" w:type="dxa"/>
          </w:tblCellMar>
        </w:tblPrEx>
        <w:trPr>
          <w:cantSplit/>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921795" w:rsidRPr="0088479B" w:rsidP="0088479B">
            <w:pPr>
              <w:bidi w:val="0"/>
              <w:rPr>
                <w:rFonts w:ascii="Times New Roman" w:hAnsi="Times New Roman"/>
                <w:lang w:val="sk-SK"/>
              </w:rPr>
            </w:pPr>
          </w:p>
        </w:tc>
        <w:tc>
          <w:tcPr>
            <w:tcW w:w="1505"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201</w:t>
            </w:r>
            <w:r w:rsidRPr="0088479B" w:rsidR="0021094B">
              <w:rPr>
                <w:rFonts w:ascii="Times New Roman" w:hAnsi="Times New Roman"/>
                <w:b/>
                <w:bCs/>
                <w:color w:val="FFFFFF"/>
                <w:lang w:val="sk-SK"/>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sidR="0021094B">
              <w:rPr>
                <w:rFonts w:ascii="Times New Roman" w:hAnsi="Times New Roman"/>
                <w:b/>
                <w:bCs/>
                <w:color w:val="FFFFFF"/>
                <w:lang w:val="sk-SK"/>
              </w:rPr>
              <w:t>2012</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sidR="0021094B">
              <w:rPr>
                <w:rFonts w:ascii="Times New Roman" w:hAnsi="Times New Roman"/>
                <w:b/>
                <w:bCs/>
                <w:color w:val="FFFFFF"/>
                <w:lang w:val="sk-SK"/>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201</w:t>
            </w:r>
            <w:r w:rsidRPr="0088479B" w:rsidR="0021094B">
              <w:rPr>
                <w:rFonts w:ascii="Times New Roman" w:hAnsi="Times New Roman"/>
                <w:b/>
                <w:bCs/>
                <w:color w:val="FFFFFF"/>
                <w:lang w:val="sk-SK"/>
              </w:rPr>
              <w:t>4</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A1277" w:rsidRPr="00030891" w:rsidP="0088479B">
            <w:pPr>
              <w:bidi w:val="0"/>
              <w:rPr>
                <w:rFonts w:ascii="Times New Roman" w:hAnsi="Times New Roman"/>
                <w:sz w:val="20"/>
                <w:szCs w:val="20"/>
                <w:lang w:val="sk-SK"/>
              </w:rPr>
            </w:pPr>
            <w:r w:rsidRPr="00030891">
              <w:rPr>
                <w:rFonts w:ascii="Times New Roman" w:hAnsi="Times New Roman"/>
                <w:b/>
                <w:bCs/>
                <w:sz w:val="20"/>
                <w:szCs w:val="20"/>
                <w:lang w:val="sk-SK"/>
              </w:rPr>
              <w:t>Príjmy verejnej správy celkom</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A1277"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A1277" w:rsidRPr="00030891" w:rsidP="006238E4">
            <w:pPr>
              <w:bidi w:val="0"/>
              <w:jc w:val="right"/>
              <w:rPr>
                <w:rFonts w:ascii="Times New Roman" w:hAnsi="Times New Roman"/>
                <w:b/>
                <w:bCs/>
                <w:sz w:val="20"/>
                <w:szCs w:val="20"/>
                <w:lang w:val="sk-SK"/>
              </w:rPr>
            </w:pPr>
            <w:r>
              <w:rPr>
                <w:rFonts w:ascii="Times New Roman" w:hAnsi="Times New Roman"/>
                <w:b/>
                <w:bCs/>
                <w:sz w:val="20"/>
                <w:szCs w:val="20"/>
                <w:lang w:val="sk-SK"/>
              </w:rPr>
              <w:t>41 500 000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A1277" w:rsidRPr="00030891" w:rsidP="006238E4">
            <w:pPr>
              <w:bidi w:val="0"/>
              <w:jc w:val="right"/>
              <w:rPr>
                <w:rFonts w:ascii="Times New Roman" w:hAnsi="Times New Roman"/>
                <w:b/>
                <w:bCs/>
                <w:sz w:val="20"/>
                <w:szCs w:val="20"/>
                <w:lang w:val="sk-SK"/>
              </w:rPr>
            </w:pPr>
            <w:r>
              <w:rPr>
                <w:rFonts w:ascii="Times New Roman" w:hAnsi="Times New Roman"/>
                <w:b/>
                <w:bCs/>
                <w:sz w:val="20"/>
                <w:szCs w:val="20"/>
                <w:lang w:val="sk-SK"/>
              </w:rPr>
              <w:t>700 000</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A1277" w:rsidRPr="00030891" w:rsidP="006238E4">
            <w:pPr>
              <w:bidi w:val="0"/>
              <w:jc w:val="right"/>
              <w:rPr>
                <w:rFonts w:ascii="Times New Roman" w:hAnsi="Times New Roman"/>
                <w:b/>
                <w:bCs/>
                <w:sz w:val="20"/>
                <w:szCs w:val="20"/>
                <w:lang w:val="sk-SK"/>
              </w:rPr>
            </w:pPr>
            <w:r>
              <w:rPr>
                <w:rFonts w:ascii="Times New Roman" w:hAnsi="Times New Roman"/>
                <w:b/>
                <w:bCs/>
                <w:sz w:val="20"/>
                <w:szCs w:val="20"/>
                <w:lang w:val="sk-SK"/>
              </w:rPr>
              <w:t>500 000</w:t>
            </w:r>
          </w:p>
        </w:tc>
      </w:tr>
      <w:tr>
        <w:tblPrEx>
          <w:tblW w:w="9993"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rPr>
                <w:rFonts w:ascii="Times New Roman" w:hAnsi="Times New Roman"/>
                <w:sz w:val="20"/>
                <w:szCs w:val="20"/>
                <w:lang w:val="sk-SK"/>
              </w:rPr>
            </w:pPr>
            <w:r w:rsidRPr="00030891">
              <w:rPr>
                <w:rFonts w:ascii="Times New Roman" w:hAnsi="Times New Roman"/>
                <w:sz w:val="20"/>
                <w:szCs w:val="20"/>
                <w:lang w:val="sk-SK"/>
              </w:rPr>
              <w:t>v tom: za každý subjekt verejnej správy zvlášť</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rPr>
                <w:rFonts w:ascii="Times New Roman" w:hAnsi="Times New Roman"/>
                <w:sz w:val="20"/>
                <w:szCs w:val="20"/>
                <w:lang w:val="sk-SK"/>
              </w:rPr>
            </w:pPr>
            <w:r w:rsidRPr="00030891">
              <w:rPr>
                <w:rFonts w:ascii="Times New Roman" w:hAnsi="Times New Roman"/>
                <w:b/>
                <w:bCs/>
                <w:i/>
                <w:iCs/>
                <w:sz w:val="20"/>
                <w:szCs w:val="20"/>
                <w:lang w:val="sk-SK"/>
              </w:rPr>
              <w:t xml:space="preserve">z toho: </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i/>
                <w:iCs/>
                <w:sz w:val="20"/>
                <w:szCs w:val="20"/>
                <w:lang w:val="sk-SK"/>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i/>
                <w:iCs/>
                <w:sz w:val="20"/>
                <w:szCs w:val="20"/>
                <w:lang w:val="sk-SK"/>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i/>
                <w:iCs/>
                <w:sz w:val="20"/>
                <w:szCs w:val="20"/>
                <w:lang w:val="sk-SK"/>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i/>
                <w:iCs/>
                <w:sz w:val="20"/>
                <w:szCs w:val="20"/>
                <w:lang w:val="sk-SK"/>
              </w:rPr>
              <w:t> </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rPr>
                <w:rFonts w:ascii="Times New Roman" w:hAnsi="Times New Roman"/>
                <w:sz w:val="20"/>
                <w:szCs w:val="20"/>
                <w:lang w:val="sk-SK"/>
              </w:rPr>
            </w:pPr>
            <w:r w:rsidRPr="00030891">
              <w:rPr>
                <w:rFonts w:ascii="Times New Roman" w:hAnsi="Times New Roman"/>
                <w:b/>
                <w:bCs/>
                <w:i/>
                <w:iCs/>
                <w:sz w:val="20"/>
                <w:szCs w:val="20"/>
                <w:lang w:val="sk-SK"/>
              </w:rPr>
              <w:t>- vplyv na ŠR</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rPr>
                <w:rFonts w:ascii="Times New Roman" w:hAnsi="Times New Roman"/>
                <w:sz w:val="20"/>
                <w:szCs w:val="20"/>
                <w:lang w:val="sk-SK"/>
              </w:rPr>
            </w:pPr>
            <w:r w:rsidRPr="00030891">
              <w:rPr>
                <w:rFonts w:ascii="Times New Roman" w:hAnsi="Times New Roman"/>
                <w:b/>
                <w:bCs/>
                <w:i/>
                <w:iCs/>
                <w:sz w:val="20"/>
                <w:szCs w:val="20"/>
                <w:lang w:val="sk-SK"/>
              </w:rPr>
              <w:t>- vplyv na územnú samosprávu</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1094B" w:rsidRPr="00030891" w:rsidP="009256C0">
            <w:pPr>
              <w:bidi w:val="0"/>
              <w:rPr>
                <w:rFonts w:ascii="Times New Roman" w:hAnsi="Times New Roman"/>
                <w:b/>
                <w:bCs/>
                <w:i/>
                <w:iCs/>
                <w:sz w:val="20"/>
                <w:szCs w:val="20"/>
                <w:lang w:val="sk-SK"/>
              </w:rPr>
            </w:pPr>
            <w:r w:rsidRPr="00030891">
              <w:rPr>
                <w:rFonts w:ascii="Times New Roman" w:hAnsi="Times New Roman"/>
                <w:b/>
                <w:bCs/>
                <w:i/>
                <w:iCs/>
                <w:sz w:val="20"/>
                <w:szCs w:val="20"/>
                <w:lang w:val="sk-SK"/>
              </w:rPr>
              <w:t xml:space="preserve">- vplyv na </w:t>
            </w:r>
            <w:r w:rsidRPr="00030891" w:rsidR="009256C0">
              <w:rPr>
                <w:rFonts w:ascii="Times New Roman" w:hAnsi="Times New Roman"/>
                <w:b/>
                <w:bCs/>
                <w:i/>
                <w:iCs/>
                <w:sz w:val="20"/>
                <w:szCs w:val="20"/>
                <w:lang w:val="sk-SK"/>
              </w:rPr>
              <w:t xml:space="preserve">verejné </w:t>
            </w:r>
            <w:r w:rsidRPr="00030891">
              <w:rPr>
                <w:rFonts w:ascii="Times New Roman" w:hAnsi="Times New Roman"/>
                <w:b/>
                <w:bCs/>
                <w:i/>
                <w:iCs/>
                <w:sz w:val="20"/>
                <w:szCs w:val="20"/>
                <w:lang w:val="sk-SK"/>
              </w:rPr>
              <w:t>z</w:t>
            </w:r>
            <w:r w:rsidRPr="00030891" w:rsidR="009256C0">
              <w:rPr>
                <w:rFonts w:ascii="Times New Roman" w:hAnsi="Times New Roman"/>
                <w:b/>
                <w:bCs/>
                <w:i/>
                <w:iCs/>
                <w:sz w:val="20"/>
                <w:szCs w:val="20"/>
                <w:lang w:val="sk-SK"/>
              </w:rPr>
              <w:t>dravotné poistenie</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1094B" w:rsidRPr="00030891" w:rsidP="0088479B">
            <w:pPr>
              <w:bidi w:val="0"/>
              <w:jc w:val="right"/>
              <w:rPr>
                <w:rFonts w:ascii="Times New Roman" w:hAnsi="Times New Roman"/>
                <w:b/>
                <w:bCs/>
                <w:sz w:val="20"/>
                <w:szCs w:val="20"/>
                <w:lang w:val="sk-SK"/>
              </w:rPr>
            </w:pPr>
            <w:r w:rsidRPr="00030891" w:rsidR="00C331D2">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1094B" w:rsidRPr="00030891" w:rsidP="0088479B">
            <w:pPr>
              <w:bidi w:val="0"/>
              <w:jc w:val="right"/>
              <w:rPr>
                <w:rFonts w:ascii="Times New Roman" w:hAnsi="Times New Roman"/>
                <w:b/>
                <w:bCs/>
                <w:sz w:val="20"/>
                <w:szCs w:val="20"/>
                <w:lang w:val="sk-SK"/>
              </w:rPr>
            </w:pPr>
            <w:r w:rsidRPr="00030891" w:rsidR="00C331D2">
              <w:rPr>
                <w:rFonts w:ascii="Times New Roman" w:hAnsi="Times New Roman"/>
                <w:b/>
                <w:bCs/>
                <w:sz w:val="20"/>
                <w:szCs w:val="20"/>
                <w:lang w:val="sk-SK"/>
              </w:rPr>
              <w:t>40 000 000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1094B" w:rsidRPr="00030891" w:rsidP="0088479B">
            <w:pPr>
              <w:bidi w:val="0"/>
              <w:jc w:val="right"/>
              <w:rPr>
                <w:rFonts w:ascii="Times New Roman" w:hAnsi="Times New Roman"/>
                <w:b/>
                <w:bCs/>
                <w:sz w:val="20"/>
                <w:szCs w:val="20"/>
                <w:lang w:val="sk-SK"/>
              </w:rPr>
            </w:pPr>
            <w:r w:rsidRPr="00030891" w:rsidR="00C331D2">
              <w:rPr>
                <w:rFonts w:ascii="Times New Roman" w:hAnsi="Times New Roman"/>
                <w:b/>
                <w:bCs/>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21094B" w:rsidRPr="00030891" w:rsidP="0088479B">
            <w:pPr>
              <w:bidi w:val="0"/>
              <w:jc w:val="right"/>
              <w:rPr>
                <w:rFonts w:ascii="Times New Roman" w:hAnsi="Times New Roman"/>
                <w:b/>
                <w:bCs/>
                <w:sz w:val="20"/>
                <w:szCs w:val="20"/>
                <w:lang w:val="sk-SK"/>
              </w:rPr>
            </w:pPr>
            <w:r w:rsidRPr="00030891" w:rsidR="00C331D2">
              <w:rPr>
                <w:rFonts w:ascii="Times New Roman" w:hAnsi="Times New Roman"/>
                <w:b/>
                <w:bCs/>
                <w:sz w:val="20"/>
                <w:szCs w:val="20"/>
                <w:lang w:val="sk-SK"/>
              </w:rPr>
              <w:t>0</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30891" w:rsidRPr="00030891" w:rsidP="009256C0">
            <w:pPr>
              <w:bidi w:val="0"/>
              <w:rPr>
                <w:rFonts w:ascii="Times New Roman" w:hAnsi="Times New Roman"/>
                <w:b/>
                <w:bCs/>
                <w:i/>
                <w:iCs/>
                <w:sz w:val="20"/>
                <w:szCs w:val="20"/>
                <w:lang w:val="sk-SK"/>
              </w:rPr>
            </w:pPr>
            <w:r>
              <w:rPr>
                <w:rFonts w:ascii="Times New Roman" w:hAnsi="Times New Roman"/>
                <w:b/>
                <w:bCs/>
                <w:i/>
                <w:iCs/>
                <w:sz w:val="20"/>
                <w:szCs w:val="20"/>
                <w:lang w:val="sk-SK"/>
              </w:rPr>
              <w:t>- zavedenie poplatku za vydanie VN</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30891" w:rsidRPr="00030891" w:rsidP="0088479B">
            <w:pPr>
              <w:bidi w:val="0"/>
              <w:jc w:val="right"/>
              <w:rPr>
                <w:rFonts w:ascii="Times New Roman" w:hAnsi="Times New Roman"/>
                <w:b/>
                <w:bCs/>
                <w:sz w:val="20"/>
                <w:szCs w:val="20"/>
                <w:lang w:val="sk-SK"/>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30891" w:rsidRPr="00030891" w:rsidP="001F4B01">
            <w:pPr>
              <w:bidi w:val="0"/>
              <w:jc w:val="right"/>
              <w:rPr>
                <w:rFonts w:ascii="Times New Roman" w:hAnsi="Times New Roman"/>
                <w:b/>
                <w:bCs/>
                <w:sz w:val="20"/>
                <w:szCs w:val="20"/>
                <w:lang w:val="sk-SK"/>
              </w:rPr>
            </w:pPr>
            <w:r w:rsidR="001722EF">
              <w:rPr>
                <w:rFonts w:ascii="Times New Roman" w:hAnsi="Times New Roman"/>
                <w:b/>
                <w:bCs/>
                <w:sz w:val="20"/>
                <w:szCs w:val="20"/>
                <w:lang w:val="sk-SK"/>
              </w:rPr>
              <w:t>1</w:t>
            </w:r>
            <w:r w:rsidR="001F4B01">
              <w:rPr>
                <w:rFonts w:ascii="Times New Roman" w:hAnsi="Times New Roman"/>
                <w:b/>
                <w:bCs/>
                <w:sz w:val="20"/>
                <w:szCs w:val="20"/>
                <w:lang w:val="sk-SK"/>
              </w:rPr>
              <w:t xml:space="preserve"> </w:t>
            </w:r>
            <w:r w:rsidR="001722EF">
              <w:rPr>
                <w:rFonts w:ascii="Times New Roman" w:hAnsi="Times New Roman"/>
                <w:b/>
                <w:bCs/>
                <w:sz w:val="20"/>
                <w:szCs w:val="20"/>
                <w:lang w:val="sk-SK"/>
              </w:rPr>
              <w:t>500</w:t>
            </w:r>
            <w:r w:rsidR="00A35DAE">
              <w:rPr>
                <w:rFonts w:ascii="Times New Roman" w:hAnsi="Times New Roman"/>
                <w:b/>
                <w:bCs/>
                <w:sz w:val="20"/>
                <w:szCs w:val="20"/>
                <w:lang w:val="sk-SK"/>
              </w:rPr>
              <w:t xml:space="preserve"> </w:t>
            </w:r>
            <w:r w:rsidR="001722EF">
              <w:rPr>
                <w:rFonts w:ascii="Times New Roman" w:hAnsi="Times New Roman"/>
                <w:b/>
                <w:bCs/>
                <w:sz w:val="20"/>
                <w:szCs w:val="20"/>
                <w:lang w:val="sk-SK"/>
              </w:rPr>
              <w:t>000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30891" w:rsidRPr="00030891" w:rsidP="001F4B01">
            <w:pPr>
              <w:bidi w:val="0"/>
              <w:jc w:val="right"/>
              <w:rPr>
                <w:rFonts w:ascii="Times New Roman" w:hAnsi="Times New Roman"/>
                <w:b/>
                <w:bCs/>
                <w:sz w:val="20"/>
                <w:szCs w:val="20"/>
                <w:lang w:val="sk-SK"/>
              </w:rPr>
            </w:pPr>
            <w:r w:rsidR="001F4B01">
              <w:rPr>
                <w:rFonts w:ascii="Times New Roman" w:hAnsi="Times New Roman"/>
                <w:b/>
                <w:bCs/>
                <w:sz w:val="20"/>
                <w:szCs w:val="20"/>
                <w:lang w:val="sk-SK"/>
              </w:rPr>
              <w:t>7</w:t>
            </w:r>
            <w:r w:rsidR="001722EF">
              <w:rPr>
                <w:rFonts w:ascii="Times New Roman" w:hAnsi="Times New Roman"/>
                <w:b/>
                <w:bCs/>
                <w:sz w:val="20"/>
                <w:szCs w:val="20"/>
                <w:lang w:val="sk-SK"/>
              </w:rPr>
              <w:t>00</w:t>
            </w:r>
            <w:r w:rsidR="001F4B01">
              <w:rPr>
                <w:rFonts w:ascii="Times New Roman" w:hAnsi="Times New Roman"/>
                <w:b/>
                <w:bCs/>
                <w:sz w:val="20"/>
                <w:szCs w:val="20"/>
                <w:lang w:val="sk-SK"/>
              </w:rPr>
              <w:t xml:space="preserve"> </w:t>
            </w:r>
            <w:r w:rsidR="001722EF">
              <w:rPr>
                <w:rFonts w:ascii="Times New Roman" w:hAnsi="Times New Roman"/>
                <w:b/>
                <w:bCs/>
                <w:sz w:val="20"/>
                <w:szCs w:val="20"/>
                <w:lang w:val="sk-SK"/>
              </w:rPr>
              <w:t>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30891" w:rsidRPr="00030891" w:rsidP="001F4B01">
            <w:pPr>
              <w:bidi w:val="0"/>
              <w:jc w:val="right"/>
              <w:rPr>
                <w:rFonts w:ascii="Times New Roman" w:hAnsi="Times New Roman"/>
                <w:b/>
                <w:bCs/>
                <w:sz w:val="20"/>
                <w:szCs w:val="20"/>
                <w:lang w:val="sk-SK"/>
              </w:rPr>
            </w:pPr>
            <w:r w:rsidR="001722EF">
              <w:rPr>
                <w:rFonts w:ascii="Times New Roman" w:hAnsi="Times New Roman"/>
                <w:b/>
                <w:bCs/>
                <w:sz w:val="20"/>
                <w:szCs w:val="20"/>
                <w:lang w:val="sk-SK"/>
              </w:rPr>
              <w:t>500</w:t>
            </w:r>
            <w:r w:rsidR="001F4B01">
              <w:rPr>
                <w:rFonts w:ascii="Times New Roman" w:hAnsi="Times New Roman"/>
                <w:b/>
                <w:bCs/>
                <w:sz w:val="20"/>
                <w:szCs w:val="20"/>
                <w:lang w:val="sk-SK"/>
              </w:rPr>
              <w:t xml:space="preserve"> </w:t>
            </w:r>
            <w:r w:rsidR="001722EF">
              <w:rPr>
                <w:rFonts w:ascii="Times New Roman" w:hAnsi="Times New Roman"/>
                <w:b/>
                <w:bCs/>
                <w:sz w:val="20"/>
                <w:szCs w:val="20"/>
                <w:lang w:val="sk-SK"/>
              </w:rPr>
              <w:t>000</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83BB8" w:rsidRPr="00030891" w:rsidP="0088479B">
            <w:pPr>
              <w:bidi w:val="0"/>
              <w:rPr>
                <w:rFonts w:ascii="Times New Roman" w:hAnsi="Times New Roman"/>
                <w:sz w:val="20"/>
                <w:szCs w:val="20"/>
                <w:lang w:val="sk-SK"/>
              </w:rPr>
            </w:pPr>
            <w:r w:rsidRPr="00030891">
              <w:rPr>
                <w:rFonts w:ascii="Times New Roman" w:hAnsi="Times New Roman"/>
                <w:b/>
                <w:bCs/>
                <w:sz w:val="20"/>
                <w:szCs w:val="20"/>
                <w:lang w:val="sk-SK"/>
              </w:rPr>
              <w:t>Výdavky verejnej správy celkom</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A83BB8" w:rsidRPr="00C40439" w:rsidP="00C40439">
            <w:pPr>
              <w:bidi w:val="0"/>
              <w:jc w:val="right"/>
              <w:rPr>
                <w:rFonts w:ascii="Calibri" w:hAnsi="Calibri"/>
                <w:color w:val="000000"/>
                <w:sz w:val="22"/>
                <w:szCs w:val="22"/>
              </w:rPr>
            </w:pPr>
            <w:r>
              <w:rPr>
                <w:rFonts w:ascii="Calibri" w:hAnsi="Calibri"/>
                <w:color w:val="000000"/>
                <w:sz w:val="22"/>
                <w:szCs w:val="22"/>
              </w:rPr>
              <w:t>-1398235</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A83BB8">
            <w:pPr>
              <w:bidi w:val="0"/>
              <w:jc w:val="right"/>
              <w:rPr>
                <w:rFonts w:ascii="Times New Roman" w:hAnsi="Times New Roman"/>
                <w:color w:val="000000"/>
                <w:sz w:val="20"/>
                <w:szCs w:val="20"/>
              </w:rPr>
            </w:pPr>
            <w:r>
              <w:rPr>
                <w:rFonts w:ascii="Times New Roman" w:hAnsi="Times New Roman"/>
                <w:color w:val="000000"/>
                <w:sz w:val="20"/>
                <w:szCs w:val="20"/>
              </w:rPr>
              <w:t>38 065 373</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A83BB8">
            <w:pPr>
              <w:bidi w:val="0"/>
              <w:jc w:val="right"/>
              <w:rPr>
                <w:rFonts w:ascii="Times New Roman" w:hAnsi="Times New Roman"/>
                <w:color w:val="000000"/>
                <w:sz w:val="20"/>
                <w:szCs w:val="20"/>
              </w:rPr>
            </w:pPr>
            <w:r>
              <w:rPr>
                <w:rFonts w:ascii="Times New Roman" w:hAnsi="Times New Roman"/>
                <w:color w:val="000000"/>
                <w:sz w:val="20"/>
                <w:szCs w:val="20"/>
              </w:rPr>
              <w:t>-3037293</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A83BB8">
            <w:pPr>
              <w:bidi w:val="0"/>
              <w:jc w:val="right"/>
              <w:rPr>
                <w:rFonts w:ascii="Times New Roman" w:hAnsi="Times New Roman"/>
                <w:color w:val="000000"/>
                <w:sz w:val="20"/>
                <w:szCs w:val="20"/>
              </w:rPr>
            </w:pPr>
            <w:r>
              <w:rPr>
                <w:rFonts w:ascii="Times New Roman" w:hAnsi="Times New Roman"/>
                <w:color w:val="000000"/>
                <w:sz w:val="20"/>
                <w:szCs w:val="20"/>
              </w:rPr>
              <w:t>-3625126</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2629A" w:rsidRPr="00030891" w:rsidP="0012629A">
            <w:pPr>
              <w:bidi w:val="0"/>
              <w:rPr>
                <w:rFonts w:ascii="Times New Roman" w:hAnsi="Times New Roman"/>
                <w:bCs/>
                <w:i/>
                <w:sz w:val="20"/>
                <w:szCs w:val="20"/>
                <w:lang w:val="sk-SK"/>
              </w:rPr>
            </w:pPr>
            <w:r>
              <w:rPr>
                <w:rFonts w:ascii="Times New Roman" w:hAnsi="Times New Roman"/>
                <w:bCs/>
                <w:i/>
                <w:sz w:val="20"/>
                <w:szCs w:val="20"/>
                <w:lang w:val="sk-SK"/>
              </w:rPr>
              <w:t>- zavedenie nového vzorca na VZP</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12629A" w:rsidRPr="006575FE" w:rsidP="006575FE">
            <w:pPr>
              <w:bidi w:val="0"/>
              <w:jc w:val="right"/>
              <w:rPr>
                <w:rFonts w:ascii="Calibri" w:hAnsi="Calibri"/>
                <w:color w:val="000000"/>
                <w:sz w:val="22"/>
                <w:szCs w:val="22"/>
              </w:rPr>
            </w:pPr>
            <w:r w:rsidR="006575FE">
              <w:rPr>
                <w:rFonts w:ascii="Calibri" w:hAnsi="Calibri"/>
                <w:color w:val="000000"/>
                <w:sz w:val="22"/>
                <w:szCs w:val="22"/>
              </w:rPr>
              <w:t>145738</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12629A" w:rsidRPr="008141CB" w:rsidP="008141CB">
            <w:pPr>
              <w:bidi w:val="0"/>
              <w:jc w:val="right"/>
              <w:rPr>
                <w:rFonts w:ascii="Calibri" w:hAnsi="Calibri"/>
                <w:color w:val="000000"/>
                <w:sz w:val="22"/>
                <w:szCs w:val="22"/>
              </w:rPr>
            </w:pPr>
            <w:r w:rsidR="008141CB">
              <w:rPr>
                <w:rFonts w:ascii="Calibri" w:hAnsi="Calibri"/>
                <w:color w:val="000000"/>
                <w:sz w:val="22"/>
                <w:szCs w:val="22"/>
              </w:rPr>
              <w:t>427 741</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12629A" w:rsidRPr="008E70B4" w:rsidP="008E70B4">
            <w:pPr>
              <w:bidi w:val="0"/>
              <w:jc w:val="right"/>
              <w:rPr>
                <w:rFonts w:ascii="Calibri" w:hAnsi="Calibri"/>
                <w:color w:val="000000"/>
                <w:sz w:val="22"/>
                <w:szCs w:val="22"/>
              </w:rPr>
            </w:pPr>
            <w:r w:rsidR="008E70B4">
              <w:rPr>
                <w:rFonts w:ascii="Calibri" w:hAnsi="Calibri"/>
                <w:color w:val="000000"/>
                <w:sz w:val="22"/>
                <w:szCs w:val="22"/>
              </w:rPr>
              <w:t>400 607</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12629A" w:rsidRPr="008E70B4" w:rsidP="008E70B4">
            <w:pPr>
              <w:bidi w:val="0"/>
              <w:jc w:val="right"/>
              <w:rPr>
                <w:rFonts w:ascii="Calibri" w:hAnsi="Calibri"/>
                <w:color w:val="000000"/>
                <w:sz w:val="22"/>
                <w:szCs w:val="22"/>
              </w:rPr>
            </w:pPr>
            <w:r w:rsidR="008E70B4">
              <w:rPr>
                <w:rFonts w:ascii="Calibri" w:hAnsi="Calibri"/>
                <w:color w:val="000000"/>
                <w:sz w:val="22"/>
                <w:szCs w:val="22"/>
              </w:rPr>
              <w:t>337 584</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8E70B4" w:rsidRPr="00030891" w:rsidP="006238E4">
            <w:pPr>
              <w:bidi w:val="0"/>
              <w:rPr>
                <w:rFonts w:ascii="Times New Roman" w:hAnsi="Times New Roman"/>
                <w:bCs/>
                <w:i/>
                <w:sz w:val="20"/>
                <w:szCs w:val="20"/>
                <w:lang w:val="sk-SK"/>
              </w:rPr>
            </w:pPr>
            <w:r>
              <w:rPr>
                <w:rFonts w:ascii="Times New Roman" w:hAnsi="Times New Roman"/>
                <w:bCs/>
                <w:i/>
                <w:sz w:val="20"/>
                <w:szCs w:val="20"/>
                <w:lang w:val="sk-SK"/>
              </w:rPr>
              <w:t xml:space="preserve"> </w:t>
            </w:r>
            <w:r w:rsidRPr="00030891">
              <w:rPr>
                <w:rFonts w:ascii="Times New Roman" w:hAnsi="Times New Roman"/>
                <w:bCs/>
                <w:i/>
                <w:sz w:val="20"/>
                <w:szCs w:val="20"/>
                <w:lang w:val="sk-SK"/>
              </w:rPr>
              <w:t>zavedenie nového vzorca na správu ZP</w:t>
            </w:r>
            <w:r>
              <w:rPr>
                <w:rFonts w:ascii="Times New Roman" w:hAnsi="Times New Roman"/>
                <w:bCs/>
                <w:i/>
                <w:sz w:val="20"/>
                <w:szCs w:val="20"/>
                <w:lang w:val="sk-SK"/>
              </w:rPr>
              <w:t xml:space="preserve"> pre VšZP</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0B4" w:rsidRPr="00C40439" w:rsidP="00C40439">
            <w:pPr>
              <w:bidi w:val="0"/>
              <w:jc w:val="right"/>
              <w:rPr>
                <w:rFonts w:ascii="Calibri" w:hAnsi="Calibri"/>
                <w:color w:val="000000"/>
                <w:sz w:val="22"/>
                <w:szCs w:val="22"/>
              </w:rPr>
            </w:pPr>
            <w:r>
              <w:rPr>
                <w:rFonts w:ascii="Calibri" w:hAnsi="Calibri"/>
                <w:color w:val="000000"/>
                <w:sz w:val="22"/>
                <w:szCs w:val="22"/>
              </w:rPr>
              <w:t>-1543973</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0B4" w:rsidRPr="008E70B4">
            <w:pPr>
              <w:bidi w:val="0"/>
              <w:jc w:val="right"/>
              <w:rPr>
                <w:rFonts w:ascii="Times New Roman" w:hAnsi="Times New Roman"/>
                <w:color w:val="000000"/>
                <w:sz w:val="20"/>
                <w:szCs w:val="20"/>
              </w:rPr>
            </w:pPr>
            <w:r w:rsidRPr="008E70B4">
              <w:rPr>
                <w:rFonts w:ascii="Times New Roman" w:hAnsi="Times New Roman"/>
                <w:color w:val="000000"/>
                <w:sz w:val="20"/>
                <w:szCs w:val="20"/>
              </w:rPr>
              <w:t>-3 862 368</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0B4" w:rsidRPr="008E70B4">
            <w:pPr>
              <w:bidi w:val="0"/>
              <w:jc w:val="right"/>
              <w:rPr>
                <w:rFonts w:ascii="Times New Roman" w:hAnsi="Times New Roman"/>
                <w:color w:val="000000"/>
                <w:sz w:val="20"/>
                <w:szCs w:val="20"/>
              </w:rPr>
            </w:pPr>
            <w:r w:rsidRPr="008E70B4">
              <w:rPr>
                <w:rFonts w:ascii="Times New Roman" w:hAnsi="Times New Roman"/>
                <w:color w:val="000000"/>
                <w:sz w:val="20"/>
                <w:szCs w:val="20"/>
              </w:rPr>
              <w:t>-4 137 900</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8E70B4" w:rsidRPr="008E70B4">
            <w:pPr>
              <w:bidi w:val="0"/>
              <w:jc w:val="right"/>
              <w:rPr>
                <w:rFonts w:ascii="Times New Roman" w:hAnsi="Times New Roman"/>
                <w:color w:val="000000"/>
                <w:sz w:val="20"/>
                <w:szCs w:val="20"/>
              </w:rPr>
            </w:pPr>
            <w:r w:rsidRPr="008E70B4">
              <w:rPr>
                <w:rFonts w:ascii="Times New Roman" w:hAnsi="Times New Roman"/>
                <w:color w:val="000000"/>
                <w:sz w:val="20"/>
                <w:szCs w:val="20"/>
              </w:rPr>
              <w:t>-4 462 710</w:t>
            </w: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rPr>
                <w:rFonts w:ascii="Times New Roman" w:hAnsi="Times New Roman"/>
                <w:bCs/>
                <w:i/>
                <w:sz w:val="20"/>
                <w:szCs w:val="20"/>
                <w:lang w:val="sk-SK"/>
              </w:rPr>
            </w:pPr>
            <w:r>
              <w:rPr>
                <w:rFonts w:ascii="Times New Roman" w:hAnsi="Times New Roman"/>
                <w:bCs/>
                <w:i/>
                <w:sz w:val="20"/>
                <w:szCs w:val="20"/>
                <w:lang w:val="sk-SK"/>
              </w:rPr>
              <w:t xml:space="preserve">- </w:t>
            </w:r>
            <w:r w:rsidRPr="001722EF">
              <w:rPr>
                <w:rFonts w:ascii="Times New Roman" w:hAnsi="Times New Roman"/>
                <w:bCs/>
                <w:i/>
                <w:sz w:val="20"/>
                <w:szCs w:val="20"/>
                <w:lang w:val="sk-SK"/>
              </w:rPr>
              <w:t>zrušenie možnosti udelenia pokuty úradom</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b/>
                <w:bCs/>
                <w:sz w:val="20"/>
                <w:szCs w:val="20"/>
                <w:lang w:val="sk-SK"/>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P="0088479B">
            <w:pPr>
              <w:bidi w:val="0"/>
              <w:jc w:val="right"/>
              <w:rPr>
                <w:rFonts w:ascii="Times New Roman" w:hAnsi="Times New Roman"/>
                <w:color w:val="000000"/>
                <w:sz w:val="20"/>
                <w:szCs w:val="20"/>
                <w:lang w:val="sk-SK" w:eastAsia="sk-SK"/>
              </w:rPr>
            </w:pPr>
            <w:r>
              <w:rPr>
                <w:rFonts w:ascii="Times New Roman" w:hAnsi="Times New Roman"/>
                <w:color w:val="000000"/>
                <w:sz w:val="20"/>
                <w:szCs w:val="20"/>
                <w:lang w:val="sk-SK" w:eastAsia="sk-SK"/>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P="0088479B">
            <w:pPr>
              <w:bidi w:val="0"/>
              <w:jc w:val="right"/>
              <w:rPr>
                <w:rFonts w:ascii="Times New Roman" w:hAnsi="Times New Roman"/>
                <w:color w:val="000000"/>
                <w:sz w:val="20"/>
                <w:szCs w:val="20"/>
                <w:lang w:val="sk-SK" w:eastAsia="sk-SK"/>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A6219D" w:rsidP="0088479B">
            <w:pPr>
              <w:bidi w:val="0"/>
              <w:jc w:val="right"/>
              <w:rPr>
                <w:rFonts w:ascii="Times New Roman" w:hAnsi="Times New Roman"/>
                <w:color w:val="000000"/>
                <w:sz w:val="20"/>
                <w:szCs w:val="20"/>
                <w:lang w:val="sk-SK" w:eastAsia="sk-SK"/>
              </w:rPr>
            </w:pPr>
          </w:p>
        </w:tc>
      </w:tr>
      <w:tr>
        <w:tblPrEx>
          <w:tblW w:w="9993"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B2034B" w:rsidP="0088479B">
            <w:pPr>
              <w:bidi w:val="0"/>
              <w:rPr>
                <w:rFonts w:ascii="Times New Roman" w:hAnsi="Times New Roman"/>
                <w:bCs/>
                <w:i/>
                <w:sz w:val="20"/>
                <w:szCs w:val="20"/>
                <w:lang w:val="sk-SK"/>
              </w:rPr>
            </w:pPr>
            <w:r w:rsidRPr="00B2034B">
              <w:rPr>
                <w:rFonts w:ascii="Times New Roman" w:hAnsi="Times New Roman" w:cs="Calibri"/>
                <w:i/>
                <w:sz w:val="20"/>
                <w:szCs w:val="20"/>
                <w:lang w:val="sk-SK"/>
              </w:rPr>
              <w:t xml:space="preserve">- použitie uvoľnených </w:t>
            </w:r>
            <w:r>
              <w:rPr>
                <w:rFonts w:ascii="Times New Roman" w:hAnsi="Times New Roman" w:cs="Calibri"/>
                <w:i/>
                <w:sz w:val="20"/>
                <w:szCs w:val="20"/>
                <w:lang w:val="sk-SK"/>
              </w:rPr>
              <w:t xml:space="preserve"> </w:t>
            </w:r>
            <w:r w:rsidRPr="00B2034B">
              <w:rPr>
                <w:rFonts w:ascii="Times New Roman" w:hAnsi="Times New Roman" w:cs="Calibri"/>
                <w:i/>
                <w:sz w:val="20"/>
                <w:szCs w:val="20"/>
                <w:lang w:val="sk-SK"/>
              </w:rPr>
              <w:t>zdrojov zdravotných poisťovní na nákup zdravotnej starostlivosti</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b/>
                <w:bCs/>
                <w:sz w:val="20"/>
                <w:szCs w:val="20"/>
                <w:lang w:val="sk-SK"/>
              </w:rPr>
            </w:pP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B224CE">
            <w:pPr>
              <w:bidi w:val="0"/>
              <w:jc w:val="right"/>
              <w:rPr>
                <w:rFonts w:ascii="Times New Roman" w:hAnsi="Times New Roman"/>
                <w:b/>
                <w:bCs/>
                <w:sz w:val="20"/>
                <w:szCs w:val="20"/>
                <w:lang w:val="sk-SK"/>
              </w:rPr>
            </w:pPr>
            <w:r>
              <w:rPr>
                <w:rFonts w:ascii="Times New Roman" w:hAnsi="Times New Roman"/>
                <w:b/>
                <w:bCs/>
                <w:sz w:val="20"/>
                <w:szCs w:val="20"/>
                <w:lang w:val="sk-SK"/>
              </w:rPr>
              <w:t>41 500 000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6238E4">
            <w:pPr>
              <w:bidi w:val="0"/>
              <w:jc w:val="right"/>
              <w:rPr>
                <w:rFonts w:ascii="Times New Roman" w:hAnsi="Times New Roman"/>
                <w:b/>
                <w:bCs/>
                <w:sz w:val="20"/>
                <w:szCs w:val="20"/>
                <w:lang w:val="sk-SK"/>
              </w:rPr>
            </w:pPr>
            <w:r>
              <w:rPr>
                <w:rFonts w:ascii="Times New Roman" w:hAnsi="Times New Roman"/>
                <w:b/>
                <w:bCs/>
                <w:sz w:val="20"/>
                <w:szCs w:val="20"/>
                <w:lang w:val="sk-SK"/>
              </w:rPr>
              <w:t>700 000</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6238E4">
            <w:pPr>
              <w:bidi w:val="0"/>
              <w:jc w:val="right"/>
              <w:rPr>
                <w:rFonts w:ascii="Times New Roman" w:hAnsi="Times New Roman"/>
                <w:b/>
                <w:bCs/>
                <w:sz w:val="20"/>
                <w:szCs w:val="20"/>
                <w:lang w:val="sk-SK"/>
              </w:rPr>
            </w:pPr>
            <w:r>
              <w:rPr>
                <w:rFonts w:ascii="Times New Roman" w:hAnsi="Times New Roman"/>
                <w:b/>
                <w:bCs/>
                <w:sz w:val="20"/>
                <w:szCs w:val="20"/>
                <w:lang w:val="sk-SK"/>
              </w:rPr>
              <w:t>500 000</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rPr>
                <w:rFonts w:ascii="Times New Roman" w:hAnsi="Times New Roman"/>
                <w:sz w:val="20"/>
                <w:szCs w:val="20"/>
                <w:lang w:val="sk-SK"/>
              </w:rPr>
            </w:pPr>
            <w:r w:rsidRPr="00030891">
              <w:rPr>
                <w:rFonts w:ascii="Times New Roman" w:hAnsi="Times New Roman"/>
                <w:b/>
                <w:bCs/>
                <w:sz w:val="20"/>
                <w:szCs w:val="20"/>
                <w:lang w:val="sk-SK"/>
              </w:rPr>
              <w:t xml:space="preserve">Celková zamestnanosť </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rPr>
                <w:rFonts w:ascii="Times New Roman" w:hAnsi="Times New Roman"/>
                <w:sz w:val="20"/>
                <w:szCs w:val="20"/>
                <w:lang w:val="sk-SK"/>
              </w:rPr>
            </w:pPr>
            <w:r w:rsidRPr="00030891">
              <w:rPr>
                <w:rFonts w:ascii="Times New Roman" w:hAnsi="Times New Roman"/>
                <w:b/>
                <w:bCs/>
                <w:i/>
                <w:iCs/>
                <w:sz w:val="20"/>
                <w:szCs w:val="20"/>
                <w:lang w:val="sk-SK"/>
              </w:rPr>
              <w:t>- z toho vplyv na ŠR</w:t>
            </w:r>
            <w:r w:rsidRPr="00030891">
              <w:rPr>
                <w:rFonts w:ascii="Times New Roman" w:hAnsi="Times New Roman"/>
                <w:sz w:val="20"/>
                <w:szCs w:val="20"/>
                <w:lang w:val="sk-SK"/>
              </w:rPr>
              <w:t xml:space="preserve"> </w:t>
            </w: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sz w:val="20"/>
                <w:szCs w:val="20"/>
                <w:lang w:val="sk-SK"/>
              </w:rPr>
              <w:t>0</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rPr>
                <w:rFonts w:ascii="Times New Roman" w:hAnsi="Times New Roman"/>
                <w:sz w:val="20"/>
                <w:szCs w:val="20"/>
                <w:lang w:val="sk-SK"/>
              </w:rPr>
            </w:pPr>
            <w:r w:rsidRPr="00030891">
              <w:rPr>
                <w:rFonts w:ascii="Times New Roman" w:hAnsi="Times New Roman"/>
                <w:b/>
                <w:bCs/>
                <w:sz w:val="20"/>
                <w:szCs w:val="20"/>
                <w:lang w:val="sk-SK"/>
              </w:rPr>
              <w:t>Financovanie zabezpečené v rozpočte</w:t>
            </w:r>
          </w:p>
        </w:tc>
        <w:tc>
          <w:tcPr>
            <w:tcW w:w="150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r w:rsidRPr="00030891">
              <w:rPr>
                <w:rFonts w:ascii="Times New Roman" w:hAnsi="Times New Roman"/>
                <w:b/>
                <w:bCs/>
                <w:sz w:val="20"/>
                <w:szCs w:val="20"/>
                <w:lang w:val="sk-SK"/>
              </w:rPr>
              <w:t>0</w:t>
            </w:r>
          </w:p>
        </w:tc>
      </w:tr>
      <w:tr>
        <w:tblPrEx>
          <w:tblW w:w="9993"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rPr>
                <w:rFonts w:ascii="Times New Roman" w:hAnsi="Times New Roman"/>
                <w:sz w:val="20"/>
                <w:szCs w:val="20"/>
                <w:lang w:val="sk-SK"/>
              </w:rPr>
            </w:pPr>
          </w:p>
        </w:tc>
        <w:tc>
          <w:tcPr>
            <w:tcW w:w="1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B55DDB" w:rsidRPr="00030891" w:rsidP="0088479B">
            <w:pPr>
              <w:bidi w:val="0"/>
              <w:jc w:val="right"/>
              <w:rPr>
                <w:rFonts w:ascii="Times New Roman" w:hAnsi="Times New Roman"/>
                <w:sz w:val="20"/>
                <w:szCs w:val="20"/>
                <w:lang w:val="sk-SK"/>
              </w:rPr>
            </w:pPr>
          </w:p>
        </w:tc>
      </w:tr>
      <w:tr>
        <w:tblPrEx>
          <w:tblW w:w="9993" w:type="dxa"/>
          <w:tblCellMar>
            <w:left w:w="0" w:type="dxa"/>
            <w:right w:w="0" w:type="dxa"/>
          </w:tblCellMar>
        </w:tblPrEx>
        <w:tc>
          <w:tcPr>
            <w:tcW w:w="4661" w:type="dxa"/>
            <w:tcBorders>
              <w:top w:val="nil"/>
              <w:left w:val="nil"/>
              <w:bottom w:val="nil"/>
              <w:right w:val="nil"/>
            </w:tcBorders>
            <w:textDirection w:val="lrTb"/>
            <w:vAlign w:val="center"/>
          </w:tcPr>
          <w:p w:rsidR="00B55DDB" w:rsidRPr="0088479B" w:rsidP="0088479B">
            <w:pPr>
              <w:bidi w:val="0"/>
              <w:rPr>
                <w:rFonts w:ascii="Times New Roman" w:hAnsi="Times New Roman"/>
                <w:lang w:val="sk-SK"/>
              </w:rPr>
            </w:pPr>
          </w:p>
        </w:tc>
        <w:tc>
          <w:tcPr>
            <w:tcW w:w="1505" w:type="dxa"/>
            <w:tcBorders>
              <w:top w:val="nil"/>
              <w:left w:val="nil"/>
              <w:bottom w:val="nil"/>
              <w:right w:val="nil"/>
            </w:tcBorders>
            <w:textDirection w:val="lrTb"/>
            <w:vAlign w:val="center"/>
          </w:tcPr>
          <w:p w:rsidR="00B55DDB" w:rsidRPr="0088479B" w:rsidP="0088479B">
            <w:pPr>
              <w:bidi w:val="0"/>
              <w:rPr>
                <w:rFonts w:ascii="Times New Roman" w:hAnsi="Times New Roman"/>
                <w:lang w:val="sk-SK"/>
              </w:rPr>
            </w:pPr>
          </w:p>
        </w:tc>
        <w:tc>
          <w:tcPr>
            <w:tcW w:w="1417" w:type="dxa"/>
            <w:tcBorders>
              <w:top w:val="nil"/>
              <w:left w:val="nil"/>
              <w:bottom w:val="nil"/>
              <w:right w:val="nil"/>
            </w:tcBorders>
            <w:textDirection w:val="lrTb"/>
            <w:vAlign w:val="center"/>
          </w:tcPr>
          <w:p w:rsidR="00B55DDB" w:rsidRPr="0088479B" w:rsidP="0088479B">
            <w:pPr>
              <w:bidi w:val="0"/>
              <w:rPr>
                <w:rFonts w:ascii="Times New Roman" w:hAnsi="Times New Roman"/>
                <w:lang w:val="sk-SK"/>
              </w:rPr>
            </w:pPr>
          </w:p>
        </w:tc>
        <w:tc>
          <w:tcPr>
            <w:tcW w:w="1276" w:type="dxa"/>
            <w:tcBorders>
              <w:top w:val="nil"/>
              <w:left w:val="nil"/>
              <w:bottom w:val="nil"/>
              <w:right w:val="nil"/>
            </w:tcBorders>
            <w:textDirection w:val="lrTb"/>
            <w:vAlign w:val="center"/>
          </w:tcPr>
          <w:p w:rsidR="00B55DDB" w:rsidRPr="0088479B" w:rsidP="0088479B">
            <w:pPr>
              <w:bidi w:val="0"/>
              <w:rPr>
                <w:rFonts w:ascii="Times New Roman" w:hAnsi="Times New Roman"/>
                <w:lang w:val="sk-SK"/>
              </w:rPr>
            </w:pPr>
          </w:p>
        </w:tc>
        <w:tc>
          <w:tcPr>
            <w:tcW w:w="1134" w:type="dxa"/>
            <w:tcBorders>
              <w:top w:val="nil"/>
              <w:left w:val="nil"/>
              <w:bottom w:val="nil"/>
              <w:right w:val="nil"/>
            </w:tcBorders>
            <w:textDirection w:val="lrTb"/>
            <w:vAlign w:val="center"/>
          </w:tcPr>
          <w:p w:rsidR="00B55DDB" w:rsidRPr="0088479B" w:rsidP="0088479B">
            <w:pPr>
              <w:bidi w:val="0"/>
              <w:rPr>
                <w:rFonts w:ascii="Times New Roman" w:hAnsi="Times New Roman"/>
                <w:lang w:val="sk-SK"/>
              </w:rPr>
            </w:pPr>
          </w:p>
        </w:tc>
      </w:tr>
    </w:tbl>
    <w:p w:rsidR="00921795" w:rsidRPr="0088479B" w:rsidP="0088479B">
      <w:pPr>
        <w:bidi w:val="0"/>
        <w:rPr>
          <w:rFonts w:ascii="Times New Roman" w:hAnsi="Times New Roman"/>
          <w:lang w:val="sk-SK"/>
        </w:rPr>
      </w:pPr>
      <w:r w:rsidRPr="0088479B">
        <w:rPr>
          <w:rFonts w:ascii="Times New Roman" w:hAnsi="Times New Roman"/>
          <w:b/>
          <w:bCs/>
          <w:lang w:val="sk-SK"/>
        </w:rPr>
        <w:t>2.2. Financovanie návrhu</w:t>
      </w:r>
    </w:p>
    <w:p w:rsidR="00921795" w:rsidRPr="0088479B" w:rsidP="0088479B">
      <w:pPr>
        <w:bidi w:val="0"/>
        <w:jc w:val="right"/>
        <w:rPr>
          <w:rFonts w:ascii="Times New Roman" w:hAnsi="Times New Roman"/>
          <w:lang w:val="sk-SK"/>
        </w:rPr>
      </w:pPr>
      <w:r w:rsidRPr="0088479B">
        <w:rPr>
          <w:rFonts w:ascii="Times New Roman" w:hAnsi="Times New Roman"/>
          <w:lang w:val="sk-SK"/>
        </w:rPr>
        <w:t>Tabuľka č. 2</w:t>
      </w:r>
    </w:p>
    <w:tbl>
      <w:tblPr>
        <w:tblStyle w:val="TableNormal"/>
        <w:tblW w:w="9993" w:type="dxa"/>
        <w:tblCellMar>
          <w:left w:w="0" w:type="dxa"/>
          <w:right w:w="0" w:type="dxa"/>
        </w:tblCellMar>
      </w:tblPr>
      <w:tblGrid>
        <w:gridCol w:w="4748"/>
        <w:gridCol w:w="1418"/>
        <w:gridCol w:w="1417"/>
        <w:gridCol w:w="1276"/>
        <w:gridCol w:w="1134"/>
      </w:tblGrid>
      <w:tr>
        <w:tblPrEx>
          <w:tblW w:w="9993" w:type="dxa"/>
          <w:tblCellMar>
            <w:left w:w="0" w:type="dxa"/>
            <w:right w:w="0" w:type="dxa"/>
          </w:tblCellMar>
        </w:tblPrEx>
        <w:trPr>
          <w:cantSplit/>
          <w:trHeight w:val="70"/>
        </w:trPr>
        <w:tc>
          <w:tcPr>
            <w:tcW w:w="474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Financovanie</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 xml:space="preserve">Vplyv na rozpočet verejnej správy </w:t>
            </w:r>
            <w:r w:rsidRPr="0088479B">
              <w:rPr>
                <w:rFonts w:ascii="Times New Roman" w:hAnsi="Times New Roman"/>
                <w:b/>
                <w:bCs/>
                <w:lang w:val="sk-SK"/>
              </w:rPr>
              <w:t>(v eurách)</w:t>
            </w:r>
          </w:p>
        </w:tc>
      </w:tr>
      <w:tr>
        <w:tblPrEx>
          <w:tblW w:w="9993" w:type="dxa"/>
          <w:tblCellMar>
            <w:left w:w="0" w:type="dxa"/>
            <w:right w:w="0" w:type="dxa"/>
          </w:tblCellMar>
        </w:tblPrEx>
        <w:trPr>
          <w:cantSplit/>
          <w:trHeight w:val="70"/>
        </w:trPr>
        <w:tc>
          <w:tcPr>
            <w:tcW w:w="4748" w:type="dxa"/>
            <w:vMerge/>
            <w:tcBorders>
              <w:top w:val="single" w:sz="4" w:space="0" w:color="000000"/>
              <w:left w:val="single" w:sz="4" w:space="0" w:color="000000"/>
              <w:bottom w:val="single" w:sz="4" w:space="0" w:color="000000"/>
              <w:right w:val="single" w:sz="4" w:space="0" w:color="000000"/>
            </w:tcBorders>
            <w:textDirection w:val="lrTb"/>
            <w:vAlign w:val="center"/>
          </w:tcPr>
          <w:p w:rsidR="00921795" w:rsidRPr="0088479B" w:rsidP="0088479B">
            <w:pPr>
              <w:bidi w:val="0"/>
              <w:rPr>
                <w:rFonts w:ascii="Times New Roman" w:hAnsi="Times New Roman"/>
                <w:lang w:val="sk-SK"/>
              </w:rPr>
            </w:pPr>
          </w:p>
        </w:tc>
        <w:tc>
          <w:tcPr>
            <w:tcW w:w="141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lang w:val="sk-SK"/>
              </w:rPr>
              <w:t>201</w:t>
            </w:r>
            <w:r w:rsidRPr="0088479B" w:rsidR="00880B5E">
              <w:rPr>
                <w:rFonts w:ascii="Times New Roman" w:hAnsi="Times New Roman"/>
                <w:lang w:val="sk-SK"/>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201</w:t>
            </w:r>
            <w:r w:rsidRPr="0088479B" w:rsidR="00880B5E">
              <w:rPr>
                <w:rFonts w:ascii="Times New Roman" w:hAnsi="Times New Roman"/>
                <w:b/>
                <w:bCs/>
                <w:color w:val="FFFFFF"/>
                <w:lang w:val="sk-SK"/>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201</w:t>
            </w:r>
            <w:r w:rsidRPr="0088479B" w:rsidR="00880B5E">
              <w:rPr>
                <w:rFonts w:ascii="Times New Roman" w:hAnsi="Times New Roman"/>
                <w:b/>
                <w:bCs/>
                <w:color w:val="FFFFFF"/>
                <w:lang w:val="sk-SK"/>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21795" w:rsidRPr="0088479B" w:rsidP="0088479B">
            <w:pPr>
              <w:bidi w:val="0"/>
              <w:jc w:val="center"/>
              <w:rPr>
                <w:rFonts w:ascii="Times New Roman" w:hAnsi="Times New Roman"/>
                <w:lang w:val="sk-SK"/>
              </w:rPr>
            </w:pPr>
            <w:r w:rsidRPr="0088479B">
              <w:rPr>
                <w:rFonts w:ascii="Times New Roman" w:hAnsi="Times New Roman"/>
                <w:b/>
                <w:bCs/>
                <w:color w:val="FFFFFF"/>
                <w:lang w:val="sk-SK"/>
              </w:rPr>
              <w:t>201</w:t>
            </w:r>
            <w:r w:rsidRPr="0088479B" w:rsidR="00880B5E">
              <w:rPr>
                <w:rFonts w:ascii="Times New Roman" w:hAnsi="Times New Roman"/>
                <w:b/>
                <w:bCs/>
                <w:color w:val="FFFFFF"/>
                <w:lang w:val="sk-SK"/>
              </w:rPr>
              <w:t>4</w:t>
            </w:r>
          </w:p>
        </w:tc>
      </w:tr>
      <w:tr>
        <w:tblPrEx>
          <w:tblW w:w="9993"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A153B" w:rsidRPr="002547B7" w:rsidP="0088479B">
            <w:pPr>
              <w:bidi w:val="0"/>
              <w:rPr>
                <w:rFonts w:ascii="Times New Roman" w:hAnsi="Times New Roman"/>
                <w:sz w:val="20"/>
                <w:szCs w:val="20"/>
                <w:lang w:val="sk-SK"/>
              </w:rPr>
            </w:pPr>
            <w:r w:rsidRPr="002547B7">
              <w:rPr>
                <w:rFonts w:ascii="Times New Roman" w:hAnsi="Times New Roman"/>
                <w:b/>
                <w:bCs/>
                <w:sz w:val="20"/>
                <w:szCs w:val="20"/>
                <w:lang w:val="sk-SK"/>
              </w:rPr>
              <w:t>Celkový vplyv na rozpočet verejnej správy ( - príjmy, + výdavky)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A153B" w:rsidRPr="00030891" w:rsidP="006238E4">
            <w:pPr>
              <w:bidi w:val="0"/>
              <w:jc w:val="right"/>
              <w:rPr>
                <w:rFonts w:ascii="Times New Roman" w:hAnsi="Times New Roman"/>
                <w:sz w:val="20"/>
                <w:szCs w:val="20"/>
                <w:lang w:val="sk-SK"/>
              </w:rPr>
            </w:pPr>
            <w:r>
              <w:rPr>
                <w:rFonts w:ascii="Calibri" w:hAnsi="Calibri"/>
                <w:color w:val="000000"/>
                <w:sz w:val="22"/>
                <w:szCs w:val="22"/>
              </w:rPr>
              <w:t>1543973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EA153B"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3 862 368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EA153B"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4 137 900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EA153B"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4 462 710</w:t>
            </w:r>
          </w:p>
        </w:tc>
      </w:tr>
      <w:tr>
        <w:tblPrEx>
          <w:tblW w:w="9993"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rPr>
                <w:rFonts w:ascii="Times New Roman" w:hAnsi="Times New Roman"/>
                <w:sz w:val="20"/>
                <w:szCs w:val="20"/>
                <w:lang w:val="sk-SK"/>
              </w:rPr>
            </w:pPr>
            <w:r w:rsidRPr="002547B7">
              <w:rPr>
                <w:rFonts w:ascii="Times New Roman" w:hAnsi="Times New Roman"/>
                <w:sz w:val="20"/>
                <w:szCs w:val="20"/>
                <w:lang w:val="sk-SK"/>
              </w:rPr>
              <w:t>  z toho vplyv na ŠR</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Pr>
                <w:rFonts w:ascii="Times New Roman" w:hAnsi="Times New Roman"/>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r>
      <w:tr>
        <w:tblPrEx>
          <w:tblW w:w="9993" w:type="dxa"/>
          <w:tblCellMar>
            <w:left w:w="0" w:type="dxa"/>
            <w:right w:w="0" w:type="dxa"/>
          </w:tblCellMar>
        </w:tblPrEx>
        <w:trPr>
          <w:trHeight w:val="151"/>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3BB8" w:rsidRPr="002547B7" w:rsidP="001638C0">
            <w:pPr>
              <w:bidi w:val="0"/>
              <w:rPr>
                <w:rFonts w:ascii="Times New Roman" w:hAnsi="Times New Roman"/>
                <w:sz w:val="20"/>
                <w:szCs w:val="20"/>
                <w:lang w:val="sk-SK"/>
              </w:rPr>
            </w:pPr>
            <w:r w:rsidRPr="002547B7">
              <w:rPr>
                <w:rFonts w:ascii="Times New Roman" w:hAnsi="Times New Roman"/>
                <w:sz w:val="20"/>
                <w:szCs w:val="20"/>
                <w:lang w:val="sk-SK"/>
              </w:rPr>
              <w:t xml:space="preserve">  financovanie zabezpečené v rozpočte </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A83BB8" w:rsidRPr="002547B7" w:rsidP="0088479B">
            <w:pPr>
              <w:bidi w:val="0"/>
              <w:jc w:val="right"/>
              <w:rPr>
                <w:rFonts w:ascii="Times New Roman" w:hAnsi="Times New Roman"/>
                <w:sz w:val="20"/>
                <w:szCs w:val="20"/>
                <w:lang w:val="sk-SK"/>
              </w:rPr>
            </w:pPr>
            <w:r w:rsidRPr="002547B7">
              <w:rPr>
                <w:rFonts w:ascii="Times New Roman" w:hAnsi="Times New Roman"/>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A83BB8"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3 862 368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A83BB8"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4 137 900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A83BB8" w:rsidRPr="008E70B4" w:rsidP="0025568A">
            <w:pPr>
              <w:bidi w:val="0"/>
              <w:jc w:val="right"/>
              <w:rPr>
                <w:rFonts w:ascii="Times New Roman" w:hAnsi="Times New Roman"/>
                <w:color w:val="000000"/>
                <w:sz w:val="20"/>
                <w:szCs w:val="20"/>
              </w:rPr>
            </w:pPr>
            <w:r w:rsidRPr="008E70B4">
              <w:rPr>
                <w:rFonts w:ascii="Times New Roman" w:hAnsi="Times New Roman"/>
                <w:color w:val="000000"/>
                <w:sz w:val="20"/>
                <w:szCs w:val="20"/>
              </w:rPr>
              <w:t>4 462 710</w:t>
            </w:r>
          </w:p>
        </w:tc>
      </w:tr>
      <w:tr>
        <w:tblPrEx>
          <w:tblW w:w="9993" w:type="dxa"/>
          <w:tblCellMar>
            <w:left w:w="0" w:type="dxa"/>
            <w:right w:w="0" w:type="dxa"/>
          </w:tblCellMar>
        </w:tblPrEx>
        <w:trPr>
          <w:trHeight w:val="135"/>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rPr>
                <w:rFonts w:ascii="Times New Roman" w:hAnsi="Times New Roman"/>
                <w:sz w:val="20"/>
                <w:szCs w:val="20"/>
                <w:lang w:val="sk-SK"/>
              </w:rPr>
            </w:pPr>
            <w:r w:rsidRPr="002547B7">
              <w:rPr>
                <w:rFonts w:ascii="Times New Roman" w:hAnsi="Times New Roman"/>
                <w:sz w:val="20"/>
                <w:szCs w:val="20"/>
                <w:lang w:val="sk-SK"/>
              </w:rPr>
              <w:t>  ostatné zdroje financovania</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Pr>
                <w:rFonts w:ascii="Times New Roman" w:hAnsi="Times New Roman"/>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Pr>
                <w:rFonts w:ascii="Times New Roman" w:hAnsi="Times New Roman"/>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r>
      <w:tr>
        <w:tblPrEx>
          <w:tblW w:w="9993" w:type="dxa"/>
          <w:tblCellMar>
            <w:left w:w="0" w:type="dxa"/>
            <w:right w:w="0" w:type="dxa"/>
          </w:tblCellMar>
        </w:tblPrEx>
        <w:trPr>
          <w:trHeight w:val="70"/>
        </w:trPr>
        <w:tc>
          <w:tcPr>
            <w:tcW w:w="474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rPr>
                <w:rFonts w:ascii="Times New Roman" w:hAnsi="Times New Roman"/>
                <w:sz w:val="20"/>
                <w:szCs w:val="20"/>
                <w:lang w:val="sk-SK"/>
              </w:rPr>
            </w:pPr>
            <w:r w:rsidRPr="002547B7">
              <w:rPr>
                <w:rFonts w:ascii="Times New Roman" w:hAnsi="Times New Roman"/>
                <w:b/>
                <w:bCs/>
                <w:sz w:val="20"/>
                <w:szCs w:val="20"/>
                <w:lang w:val="sk-SK"/>
              </w:rPr>
              <w:t>Rozpočtovo nekrytý vplyv / úspora</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Pr>
                <w:rFonts w:ascii="Times New Roman" w:hAnsi="Times New Roman"/>
                <w:b/>
                <w:bCs/>
                <w:sz w:val="20"/>
                <w:szCs w:val="20"/>
                <w:lang w:val="sk-SK"/>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921795" w:rsidRPr="002547B7" w:rsidP="0088479B">
            <w:pPr>
              <w:bidi w:val="0"/>
              <w:jc w:val="right"/>
              <w:rPr>
                <w:rFonts w:ascii="Times New Roman" w:hAnsi="Times New Roman"/>
                <w:sz w:val="20"/>
                <w:szCs w:val="20"/>
                <w:lang w:val="sk-SK"/>
              </w:rPr>
            </w:pPr>
            <w:r w:rsidRPr="002547B7" w:rsidR="00C331D2">
              <w:rPr>
                <w:rFonts w:ascii="Times New Roman" w:hAnsi="Times New Roman"/>
                <w:sz w:val="20"/>
                <w:szCs w:val="20"/>
                <w:lang w:val="sk-SK"/>
              </w:rPr>
              <w:t>0</w:t>
            </w:r>
          </w:p>
        </w:tc>
      </w:tr>
      <w:tr>
        <w:tblPrEx>
          <w:tblW w:w="9993" w:type="dxa"/>
          <w:tblCellMar>
            <w:left w:w="0" w:type="dxa"/>
            <w:right w:w="0" w:type="dxa"/>
          </w:tblCellMar>
        </w:tblPrEx>
        <w:tc>
          <w:tcPr>
            <w:tcW w:w="4748" w:type="dxa"/>
            <w:tcBorders>
              <w:top w:val="nil"/>
              <w:left w:val="nil"/>
              <w:bottom w:val="nil"/>
              <w:right w:val="nil"/>
            </w:tcBorders>
            <w:textDirection w:val="lrTb"/>
            <w:vAlign w:val="center"/>
          </w:tcPr>
          <w:p w:rsidR="00921795" w:rsidRPr="0088479B" w:rsidP="0088479B">
            <w:pPr>
              <w:bidi w:val="0"/>
              <w:rPr>
                <w:rFonts w:ascii="Times New Roman" w:hAnsi="Times New Roman"/>
                <w:lang w:val="sk-SK"/>
              </w:rPr>
            </w:pPr>
          </w:p>
        </w:tc>
        <w:tc>
          <w:tcPr>
            <w:tcW w:w="1418" w:type="dxa"/>
            <w:tcBorders>
              <w:top w:val="nil"/>
              <w:left w:val="nil"/>
              <w:bottom w:val="nil"/>
              <w:right w:val="nil"/>
            </w:tcBorders>
            <w:textDirection w:val="lrTb"/>
            <w:vAlign w:val="center"/>
          </w:tcPr>
          <w:p w:rsidR="00921795" w:rsidRPr="0088479B" w:rsidP="0088479B">
            <w:pPr>
              <w:bidi w:val="0"/>
              <w:rPr>
                <w:rFonts w:ascii="Times New Roman" w:hAnsi="Times New Roman"/>
                <w:lang w:val="sk-SK"/>
              </w:rPr>
            </w:pPr>
          </w:p>
        </w:tc>
        <w:tc>
          <w:tcPr>
            <w:tcW w:w="1417" w:type="dxa"/>
            <w:tcBorders>
              <w:top w:val="nil"/>
              <w:left w:val="nil"/>
              <w:bottom w:val="nil"/>
              <w:right w:val="nil"/>
            </w:tcBorders>
            <w:textDirection w:val="lrTb"/>
            <w:vAlign w:val="center"/>
          </w:tcPr>
          <w:p w:rsidR="00921795" w:rsidRPr="0088479B" w:rsidP="0088479B">
            <w:pPr>
              <w:bidi w:val="0"/>
              <w:rPr>
                <w:rFonts w:ascii="Times New Roman" w:hAnsi="Times New Roman"/>
                <w:lang w:val="sk-SK"/>
              </w:rPr>
            </w:pPr>
          </w:p>
        </w:tc>
        <w:tc>
          <w:tcPr>
            <w:tcW w:w="1276" w:type="dxa"/>
            <w:tcBorders>
              <w:top w:val="nil"/>
              <w:left w:val="nil"/>
              <w:bottom w:val="nil"/>
              <w:right w:val="nil"/>
            </w:tcBorders>
            <w:textDirection w:val="lrTb"/>
            <w:vAlign w:val="center"/>
          </w:tcPr>
          <w:p w:rsidR="00921795" w:rsidRPr="0088479B" w:rsidP="0088479B">
            <w:pPr>
              <w:bidi w:val="0"/>
              <w:rPr>
                <w:rFonts w:ascii="Times New Roman" w:hAnsi="Times New Roman"/>
                <w:lang w:val="sk-SK"/>
              </w:rPr>
            </w:pPr>
          </w:p>
        </w:tc>
        <w:tc>
          <w:tcPr>
            <w:tcW w:w="1134" w:type="dxa"/>
            <w:tcBorders>
              <w:top w:val="nil"/>
              <w:left w:val="nil"/>
              <w:bottom w:val="nil"/>
              <w:right w:val="nil"/>
            </w:tcBorders>
            <w:textDirection w:val="lrTb"/>
            <w:vAlign w:val="center"/>
          </w:tcPr>
          <w:p w:rsidR="00921795" w:rsidRPr="0088479B" w:rsidP="0088479B">
            <w:pPr>
              <w:bidi w:val="0"/>
              <w:rPr>
                <w:rFonts w:ascii="Times New Roman" w:hAnsi="Times New Roman"/>
                <w:lang w:val="sk-SK"/>
              </w:rPr>
            </w:pPr>
          </w:p>
        </w:tc>
      </w:tr>
    </w:tbl>
    <w:p w:rsidR="00921795" w:rsidRPr="0088479B" w:rsidP="0088479B">
      <w:pPr>
        <w:bidi w:val="0"/>
        <w:rPr>
          <w:rFonts w:ascii="Times New Roman" w:hAnsi="Times New Roman"/>
          <w:lang w:val="sk-SK"/>
        </w:rPr>
      </w:pPr>
      <w:r w:rsidRPr="0088479B">
        <w:rPr>
          <w:rFonts w:ascii="Times New Roman" w:hAnsi="Times New Roman"/>
          <w:b/>
          <w:bCs/>
          <w:lang w:val="sk-SK"/>
        </w:rPr>
        <w:t>Návrh na riešenie úbytku príjmov alebo zvýšených výdavkov podľa § 33 ods. 1 zákona č. 523/2004 Z. z. o rozpočtových pravidlách verejnej správy:</w:t>
      </w:r>
    </w:p>
    <w:p w:rsidR="00921795" w:rsidRPr="0088479B" w:rsidP="0088479B">
      <w:pPr>
        <w:pBdr>
          <w:top w:val="single" w:sz="4" w:space="1" w:color="000000"/>
          <w:left w:val="single" w:sz="4" w:space="4" w:color="000000"/>
          <w:bottom w:val="single" w:sz="4" w:space="1" w:color="000000"/>
          <w:right w:val="single" w:sz="4" w:space="4" w:color="000000"/>
        </w:pBdr>
        <w:bidi w:val="0"/>
        <w:rPr>
          <w:rFonts w:ascii="Times New Roman" w:hAnsi="Times New Roman"/>
          <w:lang w:val="sk-SK"/>
        </w:rPr>
      </w:pPr>
      <w:r w:rsidRPr="0088479B">
        <w:rPr>
          <w:rFonts w:ascii="Times New Roman" w:hAnsi="Times New Roman"/>
          <w:b/>
          <w:bCs/>
          <w:lang w:val="sk-SK"/>
        </w:rPr>
        <w:t> </w:t>
      </w:r>
    </w:p>
    <w:p w:rsidR="00B2034B" w:rsidRPr="00B2034B" w:rsidP="0088479B">
      <w:pPr>
        <w:pBdr>
          <w:top w:val="single" w:sz="4" w:space="1" w:color="000000"/>
          <w:left w:val="single" w:sz="4" w:space="4" w:color="000000"/>
          <w:bottom w:val="single" w:sz="4" w:space="1" w:color="000000"/>
          <w:right w:val="single" w:sz="4" w:space="4" w:color="000000"/>
        </w:pBdr>
        <w:bidi w:val="0"/>
        <w:rPr>
          <w:rFonts w:ascii="Times New Roman" w:hAnsi="Times New Roman" w:cs="Calibri"/>
          <w:lang w:val="sk-SK"/>
        </w:rPr>
      </w:pPr>
      <w:r w:rsidRPr="00B2034B" w:rsidR="00E15814">
        <w:rPr>
          <w:rFonts w:ascii="Times New Roman" w:hAnsi="Times New Roman"/>
          <w:lang w:val="sk-SK"/>
        </w:rPr>
        <w:t>N</w:t>
      </w:r>
      <w:r w:rsidRPr="00B2034B" w:rsidR="00E15814">
        <w:rPr>
          <w:rFonts w:ascii="Times New Roman" w:hAnsi="Times New Roman" w:cs="Calibri"/>
          <w:lang w:val="sk-SK"/>
        </w:rPr>
        <w:t>ávrh predpokladá zvýšenie niektorých výdavkov v rámci verejnej správy, ktoré by však mali byť kryté novými príjmami, resp. vlastnými zdrojmi dotknutých subjektov v rámci verejnej správy</w:t>
      </w:r>
      <w:r w:rsidRPr="00B2034B">
        <w:rPr>
          <w:rFonts w:ascii="Times New Roman" w:hAnsi="Times New Roman" w:cs="Calibri"/>
          <w:lang w:val="sk-SK"/>
        </w:rPr>
        <w:t>.</w:t>
      </w:r>
    </w:p>
    <w:p w:rsidR="00921795" w:rsidRPr="0088479B" w:rsidP="0088479B">
      <w:pPr>
        <w:pBdr>
          <w:top w:val="single" w:sz="4" w:space="1" w:color="000000"/>
          <w:left w:val="single" w:sz="4" w:space="4" w:color="000000"/>
          <w:bottom w:val="single" w:sz="4" w:space="1" w:color="000000"/>
          <w:right w:val="single" w:sz="4" w:space="4" w:color="000000"/>
        </w:pBdr>
        <w:bidi w:val="0"/>
        <w:rPr>
          <w:rFonts w:ascii="Times New Roman" w:hAnsi="Times New Roman"/>
          <w:lang w:val="sk-SK"/>
        </w:rPr>
      </w:pPr>
    </w:p>
    <w:p w:rsidR="005966D5" w:rsidRPr="0088479B" w:rsidP="0088479B">
      <w:pPr>
        <w:bidi w:val="0"/>
        <w:rPr>
          <w:rFonts w:ascii="Times New Roman" w:hAnsi="Times New Roman"/>
          <w:b/>
          <w:bCs/>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2.3. Popis a charakteristika návrhu</w:t>
      </w:r>
    </w:p>
    <w:p w:rsidR="00921795" w:rsidRPr="0088479B" w:rsidP="0088479B">
      <w:pPr>
        <w:bidi w:val="0"/>
        <w:rPr>
          <w:rFonts w:ascii="Times New Roman" w:hAnsi="Times New Roman"/>
          <w:lang w:val="sk-SK"/>
        </w:rPr>
      </w:pPr>
      <w:r w:rsidRPr="0088479B">
        <w:rPr>
          <w:rFonts w:ascii="Times New Roman" w:hAnsi="Times New Roman"/>
          <w:lang w:val="sk-SK"/>
        </w:rPr>
        <w:t> </w:t>
      </w:r>
    </w:p>
    <w:p w:rsidR="00921795" w:rsidRPr="0088479B" w:rsidP="0088479B">
      <w:pPr>
        <w:bidi w:val="0"/>
        <w:rPr>
          <w:rFonts w:ascii="Times New Roman" w:hAnsi="Times New Roman"/>
          <w:lang w:val="sk-SK"/>
        </w:rPr>
      </w:pPr>
      <w:r w:rsidRPr="0088479B">
        <w:rPr>
          <w:rFonts w:ascii="Times New Roman" w:hAnsi="Times New Roman"/>
          <w:b/>
          <w:bCs/>
          <w:lang w:val="sk-SK"/>
        </w:rPr>
        <w:t>2.3.1. Popis návrhu:</w:t>
      </w:r>
    </w:p>
    <w:p w:rsidR="00176DD7" w:rsidRPr="0088479B" w:rsidP="0088479B">
      <w:pPr>
        <w:widowControl w:val="0"/>
        <w:autoSpaceDE w:val="0"/>
        <w:bidi w:val="0"/>
        <w:ind w:firstLine="709"/>
        <w:rPr>
          <w:rFonts w:ascii="Times New Roman" w:hAnsi="Times New Roman"/>
          <w:lang w:val="sk-SK"/>
        </w:rPr>
      </w:pPr>
      <w:r w:rsidRPr="0088479B">
        <w:rPr>
          <w:rFonts w:ascii="Times New Roman" w:hAnsi="Times New Roman"/>
          <w:lang w:val="sk-SK"/>
        </w:rPr>
        <w:t>Predložený návrh zákona vychádza z Programového vyhlásenia vlády SR, schváleného v auguste 2010. Vláda sa v ňom zaviazala umožniť zdravotným poisťovniam tvorbu zisku za presne stanovených podmienok.</w:t>
      </w:r>
    </w:p>
    <w:p w:rsidR="00176DD7" w:rsidRPr="0088479B" w:rsidP="0088479B">
      <w:pPr>
        <w:widowControl w:val="0"/>
        <w:autoSpaceDE w:val="0"/>
        <w:bidi w:val="0"/>
        <w:ind w:firstLine="709"/>
        <w:rPr>
          <w:rFonts w:ascii="Times New Roman" w:hAnsi="Times New Roman"/>
          <w:lang w:val="sk-SK"/>
        </w:rPr>
      </w:pPr>
      <w:r w:rsidRPr="0088479B">
        <w:rPr>
          <w:rFonts w:ascii="Times New Roman" w:hAnsi="Times New Roman"/>
          <w:lang w:val="sk-SK"/>
        </w:rPr>
        <w:t>V návrhu zákona sa navrhujú dve podmienky. Prvou z nich je povinné použitie zisku na tvorbu rezervného fondu až do výšky 20 % splateného základného imania. Druhou podmienkou je povinná tvorba technických rezerv na úhradu plánovanej zdravotnej starostlivosti pre poistencov zaradených v čakacích zoznamoch. Zdravotná poisťovňa tak nemôže dosahovať zisk na úkor svojich poistencov tým, že by ich odsúvala do poradovníkov namiesto toho, aby im uhradila zdravotnú starostlivosť bez čakania.</w:t>
      </w:r>
    </w:p>
    <w:p w:rsidR="00176DD7" w:rsidRPr="0088479B" w:rsidP="0088479B">
      <w:pPr>
        <w:widowControl w:val="0"/>
        <w:autoSpaceDE w:val="0"/>
        <w:bidi w:val="0"/>
        <w:ind w:firstLine="709"/>
        <w:rPr>
          <w:rFonts w:ascii="Times New Roman" w:hAnsi="Times New Roman"/>
          <w:lang w:val="sk-SK"/>
        </w:rPr>
      </w:pPr>
      <w:r w:rsidRPr="0088479B">
        <w:rPr>
          <w:rFonts w:ascii="Times New Roman" w:hAnsi="Times New Roman"/>
          <w:lang w:val="sk-SK"/>
        </w:rPr>
        <w:t>Z rok 2010 zdravotné poisťovne mali takýto hospodársky výsledok v eurách:</w:t>
      </w:r>
    </w:p>
    <w:tbl>
      <w:tblPr>
        <w:tblStyle w:val="TableNormal"/>
        <w:tblpPr w:leftFromText="141" w:rightFromText="141"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5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88479B">
            <w:pPr>
              <w:widowControl w:val="0"/>
              <w:autoSpaceDE w:val="0"/>
              <w:bidi w:val="0"/>
              <w:rPr>
                <w:rFonts w:ascii="Times New Roman" w:hAnsi="Times New Roman"/>
                <w:lang w:val="sk-SK"/>
              </w:rPr>
            </w:pPr>
            <w:r w:rsidRPr="0088479B">
              <w:rPr>
                <w:rFonts w:ascii="Times New Roman" w:hAnsi="Times New Roman"/>
                <w:lang w:val="sk-SK"/>
              </w:rPr>
              <w:t>VšZP</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88479B">
            <w:pPr>
              <w:widowControl w:val="0"/>
              <w:autoSpaceDE w:val="0"/>
              <w:bidi w:val="0"/>
              <w:rPr>
                <w:rFonts w:ascii="Times New Roman" w:hAnsi="Times New Roman"/>
                <w:lang w:val="sk-SK"/>
              </w:rPr>
            </w:pPr>
            <w:r w:rsidRPr="0088479B">
              <w:rPr>
                <w:rFonts w:ascii="Times New Roman" w:hAnsi="Times New Roman"/>
                <w:lang w:val="sk-SK"/>
              </w:rPr>
              <w:t>Dôvera</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88479B">
            <w:pPr>
              <w:widowControl w:val="0"/>
              <w:autoSpaceDE w:val="0"/>
              <w:bidi w:val="0"/>
              <w:rPr>
                <w:rFonts w:ascii="Times New Roman" w:hAnsi="Times New Roman"/>
                <w:lang w:val="sk-SK"/>
              </w:rPr>
            </w:pPr>
            <w:r w:rsidRPr="0088479B">
              <w:rPr>
                <w:rFonts w:ascii="Times New Roman" w:hAnsi="Times New Roman"/>
                <w:lang w:val="sk-SK"/>
              </w:rPr>
              <w:t>Union</w:t>
            </w:r>
          </w:p>
        </w:tc>
      </w:tr>
      <w:tr>
        <w:tblPrEx>
          <w:tblW w:w="0" w:type="auto"/>
          <w:tblLook w:val="01E0"/>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88479B">
            <w:pPr>
              <w:widowControl w:val="0"/>
              <w:autoSpaceDE w:val="0"/>
              <w:bidi w:val="0"/>
              <w:rPr>
                <w:rFonts w:ascii="Times New Roman" w:hAnsi="Times New Roman"/>
                <w:lang w:val="sk-SK"/>
              </w:rPr>
            </w:pPr>
            <w:r w:rsidRPr="0088479B">
              <w:rPr>
                <w:rFonts w:ascii="Times New Roman" w:hAnsi="Times New Roman"/>
                <w:lang w:val="sk-SK"/>
              </w:rPr>
              <w:t>-69 666794,00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88479B">
            <w:pPr>
              <w:widowControl w:val="0"/>
              <w:autoSpaceDE w:val="0"/>
              <w:bidi w:val="0"/>
              <w:rPr>
                <w:rFonts w:ascii="Times New Roman" w:hAnsi="Times New Roman"/>
                <w:lang w:val="sk-SK"/>
              </w:rPr>
            </w:pPr>
            <w:r w:rsidRPr="0088479B">
              <w:rPr>
                <w:rFonts w:ascii="Times New Roman" w:hAnsi="Times New Roman"/>
                <w:lang w:val="sk-SK"/>
              </w:rPr>
              <w:t>9 171 177,00</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176DD7" w:rsidRPr="0088479B" w:rsidP="00B52DF5">
            <w:pPr>
              <w:widowControl w:val="0"/>
              <w:numPr>
                <w:numId w:val="4"/>
              </w:numPr>
              <w:autoSpaceDE w:val="0"/>
              <w:bidi w:val="0"/>
              <w:rPr>
                <w:rFonts w:ascii="Times New Roman" w:hAnsi="Times New Roman"/>
                <w:lang w:val="sk-SK"/>
              </w:rPr>
            </w:pPr>
            <w:r w:rsidR="00B52DF5">
              <w:rPr>
                <w:rFonts w:ascii="Times New Roman" w:hAnsi="Times New Roman"/>
                <w:lang w:val="sk-SK"/>
              </w:rPr>
              <w:t>2</w:t>
            </w:r>
            <w:r w:rsidRPr="0088479B">
              <w:rPr>
                <w:rFonts w:ascii="Times New Roman" w:hAnsi="Times New Roman"/>
                <w:lang w:val="sk-SK"/>
              </w:rPr>
              <w:t> 248 596,00</w:t>
            </w:r>
          </w:p>
        </w:tc>
      </w:tr>
    </w:tbl>
    <w:p w:rsidR="00176DD7" w:rsidRPr="0088479B" w:rsidP="0088479B">
      <w:pPr>
        <w:widowControl w:val="0"/>
        <w:autoSpaceDE w:val="0"/>
        <w:bidi w:val="0"/>
        <w:ind w:firstLine="709"/>
        <w:rPr>
          <w:rFonts w:ascii="Times New Roman" w:hAnsi="Times New Roman"/>
          <w:lang w:val="sk-SK"/>
        </w:rPr>
      </w:pPr>
    </w:p>
    <w:p w:rsidR="00176DD7" w:rsidRPr="0088479B" w:rsidP="0088479B">
      <w:pPr>
        <w:widowControl w:val="0"/>
        <w:autoSpaceDE w:val="0"/>
        <w:bidi w:val="0"/>
        <w:ind w:firstLine="709"/>
        <w:rPr>
          <w:rFonts w:ascii="Times New Roman" w:hAnsi="Times New Roman"/>
          <w:lang w:val="sk-SK"/>
        </w:rPr>
      </w:pPr>
    </w:p>
    <w:p w:rsidR="00176DD7" w:rsidRPr="0088479B" w:rsidP="0088479B">
      <w:pPr>
        <w:widowControl w:val="0"/>
        <w:autoSpaceDE w:val="0"/>
        <w:bidi w:val="0"/>
        <w:ind w:firstLine="708"/>
        <w:rPr>
          <w:rFonts w:ascii="Times New Roman" w:hAnsi="Times New Roman"/>
          <w:lang w:val="sk-SK"/>
        </w:rPr>
      </w:pPr>
    </w:p>
    <w:p w:rsidR="00176DD7" w:rsidRPr="0088479B" w:rsidP="0088479B">
      <w:pPr>
        <w:widowControl w:val="0"/>
        <w:autoSpaceDE w:val="0"/>
        <w:bidi w:val="0"/>
        <w:ind w:firstLine="708"/>
        <w:rPr>
          <w:rFonts w:ascii="Times New Roman" w:hAnsi="Times New Roman"/>
          <w:lang w:val="sk-SK"/>
        </w:rPr>
      </w:pPr>
    </w:p>
    <w:p w:rsidR="00176DD7" w:rsidRPr="0088479B" w:rsidP="0088479B">
      <w:pPr>
        <w:widowControl w:val="0"/>
        <w:autoSpaceDE w:val="0"/>
        <w:bidi w:val="0"/>
        <w:ind w:firstLine="708"/>
        <w:rPr>
          <w:rFonts w:ascii="Times New Roman" w:hAnsi="Times New Roman"/>
          <w:lang w:val="sk-SK"/>
        </w:rPr>
      </w:pPr>
      <w:r w:rsidRPr="0088479B">
        <w:rPr>
          <w:rFonts w:ascii="Times New Roman" w:hAnsi="Times New Roman"/>
          <w:lang w:val="sk-SK"/>
        </w:rPr>
        <w:t>Návrh zákona prináša komplexnú právnu úpravu prevodu poistného kmeňa. Nedostatočnosť právnej úpravy viedla pri odchode Európskej zdravotnej poisťovne, a.s. z poistného trhu k praktickým problémom, ktoré nevyriešila ani následná novelizácia zákona. Navrhuje sa možnosť odplatného prevodu poistného kmeňa: v prípade dobrovoľného prevodu však majú poistenci právo nesúhlasiť s prevodom vlastnej prihlášky do inej zdravotnej poisťovne. Navrhovaná úprava upravuje situácie, pri ktorých Úrad nad zdravotnou starostlivosťou (ďalej len „úrad“) nariaďuje prevod poistného kmeňa, či už ako súčasť nútenej správy nad poisťovňou alebo pri jej odchode z trhu. Podrobná regulácia prevodu poistného kmeňa má do budúcnosti zabrániť nejednoznačným výkladom zákona.</w:t>
      </w:r>
      <w:r w:rsidRPr="0088479B" w:rsidR="0037153B">
        <w:rPr>
          <w:rFonts w:ascii="Times New Roman" w:hAnsi="Times New Roman"/>
          <w:lang w:val="sk-SK"/>
        </w:rPr>
        <w:t xml:space="preserve"> Nie je možné vyčísliť cenu za prevod poistného kmeňa, túto určia zdravotné poisťovne, ktoré sa budú uchádzať o prevod poistného kmeňa.</w:t>
      </w:r>
    </w:p>
    <w:p w:rsidR="00176DD7" w:rsidRPr="0088479B" w:rsidP="0088479B">
      <w:pPr>
        <w:widowControl w:val="0"/>
        <w:autoSpaceDE w:val="0"/>
        <w:bidi w:val="0"/>
        <w:ind w:firstLine="708"/>
        <w:rPr>
          <w:rFonts w:ascii="Times New Roman" w:hAnsi="Times New Roman"/>
          <w:lang w:val="sk-SK"/>
        </w:rPr>
      </w:pPr>
      <w:r w:rsidRPr="0088479B">
        <w:rPr>
          <w:rFonts w:ascii="Times New Roman" w:hAnsi="Times New Roman"/>
          <w:lang w:val="sk-SK"/>
        </w:rPr>
        <w:t>Ďalším vládnym záväzkom je zníženie bariér pre vstup nových subjektov na trh poskytovateľov zdravotného poistenia. Navrhované naviazanie limitu prevádzkových výdavkov zdravotnej poisťovne na počet poistencov odstráni diskrimináciu menších poisťovní a uľahčí prípadný vstup nových poisťovní na trh.</w:t>
      </w:r>
    </w:p>
    <w:p w:rsidR="00176DD7" w:rsidRPr="0088479B" w:rsidP="0088479B">
      <w:pPr>
        <w:widowControl w:val="0"/>
        <w:autoSpaceDE w:val="0"/>
        <w:bidi w:val="0"/>
        <w:ind w:firstLine="708"/>
        <w:rPr>
          <w:rFonts w:ascii="Times New Roman" w:hAnsi="Times New Roman"/>
          <w:lang w:val="sk-SK"/>
        </w:rPr>
      </w:pPr>
      <w:r w:rsidRPr="0088479B">
        <w:rPr>
          <w:rFonts w:ascii="Times New Roman" w:hAnsi="Times New Roman"/>
          <w:lang w:val="sk-SK"/>
        </w:rPr>
        <w:t>Vláda sa zaviazala prehodnotiť a reštrukturalizovať minimálnu sieť poskytovateľov zdravotnej starostlivosti s dôrazom na zrovnoprávnenie postavenia všetkých poskytovateľov bez ohľadu na vlastníka a právnu formu. Zrušenie koncovej siete poskytovateľov a „anonymizácia“ pevnej siete poskytovateľov predstavujú dôležitý krok k rovnoprávnosti poskytovateľov ústavnej zdravotnej starostlivosti.</w:t>
      </w:r>
      <w:r w:rsidRPr="0088479B" w:rsidR="0037153B">
        <w:rPr>
          <w:rFonts w:ascii="Times New Roman" w:hAnsi="Times New Roman"/>
          <w:lang w:val="sk-SK"/>
        </w:rPr>
        <w:t xml:space="preserve"> Očakáva sa úspora finančných prostriedkov, ktoré nie je možné v súčasnosti vyčísliť.</w:t>
      </w:r>
    </w:p>
    <w:p w:rsidR="00176DD7" w:rsidRPr="0088479B" w:rsidP="0088479B">
      <w:pPr>
        <w:bidi w:val="0"/>
        <w:rPr>
          <w:rFonts w:ascii="Times New Roman" w:hAnsi="Times New Roman"/>
          <w:lang w:val="sk-SK"/>
        </w:rPr>
      </w:pPr>
    </w:p>
    <w:p w:rsidR="0037153B" w:rsidRPr="0088479B" w:rsidP="0088479B">
      <w:pPr>
        <w:bidi w:val="0"/>
        <w:ind w:firstLine="708"/>
        <w:rPr>
          <w:rFonts w:ascii="Times New Roman" w:hAnsi="Times New Roman"/>
          <w:color w:val="auto"/>
          <w:lang w:val="sk-SK"/>
        </w:rPr>
      </w:pPr>
      <w:r w:rsidRPr="0088479B">
        <w:rPr>
          <w:rFonts w:ascii="Times New Roman" w:hAnsi="Times New Roman"/>
          <w:color w:val="auto"/>
          <w:lang w:val="sk-SK"/>
        </w:rPr>
        <w:t xml:space="preserve">Jedným z kľúčových procesov v rámci vykonávania verejného zdravotného poistenia je výber poistného zdravotnou poisťovňou. S tým súvisí aj problematika riadenia portfólia pohľadávok zdravotnej poisťovne voči platiteľom poistného, ktoré sú po splatnosti. Tieto procesy v sebe zahŕňajú aj „výber“ poistného, ktoré nebolo včas zaplatené, prostredníctvom postupovania pohľadávok na poistnom na tretie osoby. </w:t>
      </w:r>
    </w:p>
    <w:p w:rsidR="0037153B" w:rsidRPr="0088479B" w:rsidP="0088479B">
      <w:pPr>
        <w:bidi w:val="0"/>
        <w:ind w:firstLine="708"/>
        <w:rPr>
          <w:rFonts w:ascii="Times New Roman" w:hAnsi="Times New Roman"/>
          <w:lang w:val="sk-SK"/>
        </w:rPr>
      </w:pPr>
      <w:r w:rsidRPr="0088479B">
        <w:rPr>
          <w:rFonts w:ascii="Times New Roman" w:hAnsi="Times New Roman"/>
          <w:lang w:val="sk-SK"/>
        </w:rPr>
        <w:t xml:space="preserve">Súčasné znenie § 85g nepostačujúco upravuje postupovanie pohľadávok zdravotných poisťovní, ktoré vznikli na preddavku na poistnom, na nedoplatku na poistnom, na úroku z omeškania, na poistnom a na poplatku z omeškania, v dôsledku čoho vznikajú rozdielne výkladové názory na možnosť zdravotných poisťovní postupovať tieto pohľadávky na tretie subjekty. V návrhu zákona sa vymedzujú pravidlá a podmienky postupovania pohľadávok tak, aby bola zabezpečená právna ochrana poistencov a platiteľov poistného. Postúpenie pohľadávok prispeje k sprehľadneniu agendy na poistnom a účtovníctva. </w:t>
      </w:r>
    </w:p>
    <w:p w:rsidR="0037153B" w:rsidRPr="0088479B" w:rsidP="0088479B">
      <w:pPr>
        <w:bidi w:val="0"/>
        <w:ind w:firstLine="708"/>
        <w:rPr>
          <w:rFonts w:ascii="Times New Roman" w:hAnsi="Times New Roman"/>
          <w:lang w:val="sk-SK"/>
        </w:rPr>
      </w:pPr>
      <w:r w:rsidRPr="0088479B">
        <w:rPr>
          <w:rFonts w:ascii="Times New Roman" w:hAnsi="Times New Roman"/>
          <w:lang w:val="sk-SK"/>
        </w:rPr>
        <w:t>Pohľadávka pred postúpením musí byť predpísaná právoplatným platobným výmerom úradu alebo právoplatným výkazom nedoplatkov zdravotnej poisťovne, pretože postupovaná pohľadávka musí byť presne identifikovaná. Z dôvodu ochrany dlžníkov, ktorí sa do omeškania mohli dostať aj v dôsledku finančnej krízy, sa navrhuje umožniť postúpiť pohľadávky najskôr po uplynutí ochrannej lehoty uvedenej v odseku 3 (t.j. 24 mesiacov po skončení kalendárneho roku, v ktorom bolo poistné pôvodne splatné).</w:t>
      </w:r>
      <w:r w:rsidRPr="0088479B">
        <w:rPr>
          <w:rFonts w:ascii="Times New Roman" w:hAnsi="Times New Roman"/>
          <w:color w:val="FF0000"/>
          <w:lang w:val="sk-SK"/>
        </w:rPr>
        <w:t xml:space="preserve"> </w:t>
      </w:r>
      <w:r w:rsidRPr="0088479B">
        <w:rPr>
          <w:rFonts w:ascii="Times New Roman" w:hAnsi="Times New Roman"/>
          <w:lang w:val="sk-SK"/>
        </w:rPr>
        <w:t>Taktiež všetkým poistencom, resp. platiteľom poistného zostáva zachované právo podať opravný prostriedok a nebudú tak ukrátení na svojich právach a právom chránených záujmoch.</w:t>
      </w:r>
    </w:p>
    <w:p w:rsidR="0037153B" w:rsidRPr="0088479B" w:rsidP="0088479B">
      <w:pPr>
        <w:bidi w:val="0"/>
        <w:rPr>
          <w:rFonts w:ascii="Times New Roman" w:hAnsi="Times New Roman"/>
          <w:lang w:val="sk-SK"/>
        </w:rPr>
      </w:pPr>
      <w:r w:rsidRPr="0088479B">
        <w:rPr>
          <w:rFonts w:ascii="Times New Roman" w:hAnsi="Times New Roman"/>
          <w:lang w:val="sk-SK"/>
        </w:rPr>
        <w:t>Jej potrebu odôvodňuje nárast pohľadávok a s tým spojený výpadok finančných prostriedkov. Vymáhanie realizované zdravotnými poisťovňami je v niektorých prípadoch časovo náročné a neefektívne. Je preto potrebné vynaložiť maximálne úsilie na zabezpečenie dostatku finančnej hotovosti na úhradu zdravotnej starostlivosti. Jedným z nástrojov, ktorý pomôže zabezpečiť finančné zdroje,  je aj postúpenie pohľadávok. Skutočnosť, že zákonodarca inštitút postúpenia pohľadávok akceptuje aj v prípade , ak sa jedná o verejné zdroje, dokazuje fakt, že aj Sociálna poisťovňa má v § 149 zákona č. 461/2003 Z. z. v znení neskorších predpisov upravený postup pri postúpení pohľadávok, v ktorom je vymedzený aj rozsah, ktorých pohľadávok sa postúpenie môže týkať.  </w:t>
      </w:r>
    </w:p>
    <w:p w:rsidR="0037153B" w:rsidRPr="0088479B" w:rsidP="0088479B">
      <w:pPr>
        <w:bidi w:val="0"/>
        <w:rPr>
          <w:rFonts w:ascii="Times New Roman" w:hAnsi="Times New Roman"/>
          <w:lang w:val="sk-SK"/>
        </w:rPr>
      </w:pPr>
    </w:p>
    <w:p w:rsidR="000E12F6" w:rsidRPr="0088479B" w:rsidP="0088479B">
      <w:pPr>
        <w:bidi w:val="0"/>
        <w:rPr>
          <w:rFonts w:ascii="Times New Roman" w:hAnsi="Times New Roman"/>
          <w:lang w:val="sk-SK"/>
        </w:rPr>
      </w:pPr>
      <w:r w:rsidRPr="0088479B">
        <w:rPr>
          <w:rFonts w:ascii="Times New Roman" w:hAnsi="Times New Roman"/>
          <w:lang w:val="sk-SK"/>
        </w:rPr>
        <w:t>Zdravotné poisťovne čelia obrovskému nárastu nákladov (</w:t>
      </w:r>
      <w:r w:rsidRPr="0088479B" w:rsidR="0037153B">
        <w:rPr>
          <w:rFonts w:ascii="Times New Roman" w:hAnsi="Times New Roman"/>
          <w:lang w:val="sk-SK"/>
        </w:rPr>
        <w:t>17</w:t>
      </w:r>
      <w:r w:rsidRPr="0088479B">
        <w:rPr>
          <w:rFonts w:ascii="Times New Roman" w:hAnsi="Times New Roman"/>
          <w:lang w:val="sk-SK"/>
        </w:rPr>
        <w:t xml:space="preserve"> mil.</w:t>
      </w:r>
      <w:r w:rsidRPr="0088479B" w:rsidR="0037153B">
        <w:rPr>
          <w:rFonts w:ascii="Times New Roman" w:hAnsi="Times New Roman"/>
          <w:lang w:val="sk-SK"/>
        </w:rPr>
        <w:t xml:space="preserve"> </w:t>
      </w:r>
      <w:r w:rsidR="008C7547">
        <w:rPr>
          <w:rFonts w:ascii="Times New Roman" w:hAnsi="Times New Roman"/>
          <w:lang w:val="sk-SK"/>
        </w:rPr>
        <w:t>eur</w:t>
      </w:r>
      <w:r w:rsidRPr="0088479B">
        <w:rPr>
          <w:rFonts w:ascii="Times New Roman" w:hAnsi="Times New Roman"/>
          <w:lang w:val="sk-SK"/>
        </w:rPr>
        <w:t xml:space="preserve"> ročne vzhľadom na obrovské náklady za nevymožené exekúcie - jedna exekúcia </w:t>
      </w:r>
      <w:r w:rsidRPr="0088479B" w:rsidR="0037153B">
        <w:rPr>
          <w:rFonts w:ascii="Times New Roman" w:hAnsi="Times New Roman"/>
          <w:lang w:val="sk-SK"/>
        </w:rPr>
        <w:t>stojí zdravotnú poisťovňu cca</w:t>
      </w:r>
      <w:r w:rsidRPr="0088479B">
        <w:rPr>
          <w:rFonts w:ascii="Times New Roman" w:hAnsi="Times New Roman"/>
          <w:lang w:val="sk-SK"/>
        </w:rPr>
        <w:t xml:space="preserve"> 100</w:t>
      </w:r>
      <w:r w:rsidRPr="0088479B" w:rsidR="0037153B">
        <w:rPr>
          <w:rFonts w:ascii="Times New Roman" w:hAnsi="Times New Roman"/>
          <w:lang w:val="sk-SK"/>
        </w:rPr>
        <w:t xml:space="preserve"> </w:t>
      </w:r>
      <w:r w:rsidR="008C7547">
        <w:rPr>
          <w:rFonts w:ascii="Times New Roman" w:hAnsi="Times New Roman"/>
          <w:lang w:val="sk-SK"/>
        </w:rPr>
        <w:t>eur</w:t>
      </w:r>
      <w:r w:rsidRPr="0088479B">
        <w:rPr>
          <w:rFonts w:ascii="Times New Roman" w:hAnsi="Times New Roman"/>
          <w:lang w:val="sk-SK"/>
        </w:rPr>
        <w:t xml:space="preserve"> za vymáhanie verejného zdravotného poistenia. Tieto náklady sú dnes účtované na ťarchu prevádzkovej réžie, </w:t>
      </w:r>
      <w:r w:rsidRPr="0088479B" w:rsidR="0037153B">
        <w:rPr>
          <w:rFonts w:ascii="Times New Roman" w:hAnsi="Times New Roman"/>
          <w:lang w:val="sk-SK"/>
        </w:rPr>
        <w:t>avšak</w:t>
      </w:r>
      <w:r w:rsidRPr="0088479B">
        <w:rPr>
          <w:rFonts w:ascii="Times New Roman" w:hAnsi="Times New Roman"/>
          <w:lang w:val="sk-SK"/>
        </w:rPr>
        <w:t xml:space="preserve"> zodpovednosť za chýbajúce peniaze vo verejnom zdravotnom poistení majú byť prenesené na dlžníkov. </w:t>
      </w:r>
      <w:r w:rsidRPr="0088479B" w:rsidR="0037153B">
        <w:rPr>
          <w:rFonts w:ascii="Times New Roman" w:hAnsi="Times New Roman"/>
          <w:lang w:val="sk-SK"/>
        </w:rPr>
        <w:t xml:space="preserve">Len 20-30% pohľadávok je vymožených a preto reálny výnos </w:t>
      </w:r>
      <w:r w:rsidR="00B52DF5">
        <w:rPr>
          <w:rFonts w:ascii="Times New Roman" w:hAnsi="Times New Roman"/>
          <w:lang w:val="sk-SK"/>
        </w:rPr>
        <w:t xml:space="preserve">10 </w:t>
      </w:r>
      <w:r w:rsidR="008C7547">
        <w:rPr>
          <w:rFonts w:ascii="Times New Roman" w:hAnsi="Times New Roman"/>
          <w:lang w:val="sk-SK"/>
        </w:rPr>
        <w:t>eur</w:t>
      </w:r>
      <w:r w:rsidR="00B52DF5">
        <w:rPr>
          <w:rFonts w:ascii="Times New Roman" w:hAnsi="Times New Roman"/>
          <w:lang w:val="sk-SK"/>
        </w:rPr>
        <w:t xml:space="preserve"> za jeden vydaný výkaz nedoplatkov </w:t>
      </w:r>
      <w:r w:rsidRPr="0088479B" w:rsidR="0037153B">
        <w:rPr>
          <w:rFonts w:ascii="Times New Roman" w:hAnsi="Times New Roman"/>
          <w:lang w:val="sk-SK"/>
        </w:rPr>
        <w:t>pokryje iba administratívne náklady na tlačenie a odosielanie, nie sú v tom zahrnuté náklady na mzdu pracovníkov.</w:t>
      </w:r>
      <w:r w:rsidRPr="0088479B">
        <w:rPr>
          <w:rFonts w:ascii="Times New Roman" w:hAnsi="Times New Roman"/>
          <w:lang w:val="sk-SK"/>
        </w:rPr>
        <w:t xml:space="preserve"> </w:t>
      </w:r>
    </w:p>
    <w:p w:rsidR="000E12F6" w:rsidRPr="0088479B" w:rsidP="0088479B">
      <w:pPr>
        <w:bidi w:val="0"/>
        <w:rPr>
          <w:rFonts w:ascii="Times New Roman" w:hAnsi="Times New Roman"/>
          <w:lang w:val="sk-SK"/>
        </w:rPr>
      </w:pPr>
      <w:r w:rsidRPr="0088479B" w:rsidR="0037153B">
        <w:rPr>
          <w:rFonts w:ascii="Times New Roman" w:hAnsi="Times New Roman"/>
          <w:lang w:val="sk-SK"/>
        </w:rPr>
        <w:t>Všetky ostatné povinnosti a činnosti si jednotlivé subjekty vykryjú zo svojich rozpočtov.</w:t>
      </w:r>
      <w:r w:rsidRPr="0088479B">
        <w:rPr>
          <w:rFonts w:ascii="Times New Roman" w:hAnsi="Times New Roman"/>
          <w:lang w:val="sk-SK"/>
        </w:rPr>
        <w:t xml:space="preserve"> </w:t>
      </w:r>
    </w:p>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2.3.2. Charakteristika návrhu podľa bodu  2.3.2. Metodiky:</w:t>
      </w:r>
    </w:p>
    <w:p w:rsidR="00921795" w:rsidRPr="0088479B" w:rsidP="0088479B">
      <w:pPr>
        <w:bidi w:val="0"/>
        <w:rPr>
          <w:rFonts w:ascii="Times New Roman" w:hAnsi="Times New Roman"/>
          <w:lang w:val="sk-SK"/>
        </w:rPr>
      </w:pPr>
      <w:r w:rsidRPr="0088479B">
        <w:rPr>
          <w:rFonts w:ascii="Times New Roman" w:hAnsi="Times New Roman"/>
          <w:lang w:val="sk-SK"/>
        </w:rPr>
        <w:t> </w:t>
      </w:r>
    </w:p>
    <w:p w:rsidR="00921795" w:rsidRPr="0088479B" w:rsidP="0088479B">
      <w:pPr>
        <w:bidi w:val="0"/>
        <w:rPr>
          <w:rFonts w:ascii="Times New Roman" w:hAnsi="Times New Roman"/>
          <w:lang w:val="sk-SK"/>
        </w:rPr>
      </w:pPr>
      <w:r w:rsidRPr="0088479B">
        <w:rPr>
          <w:rFonts w:ascii="Times New Roman" w:hAnsi="Times New Roman"/>
          <w:b/>
          <w:bCs/>
          <w:bdr w:val="single" w:sz="4" w:space="0" w:color="000000" w:frame="1"/>
          <w:lang w:val="sk-SK"/>
        </w:rPr>
        <w:t xml:space="preserve">     </w:t>
      </w:r>
      <w:r w:rsidRPr="0088479B">
        <w:rPr>
          <w:rFonts w:ascii="Times New Roman" w:hAnsi="Times New Roman"/>
          <w:b/>
          <w:bCs/>
          <w:lang w:val="sk-SK"/>
        </w:rPr>
        <w:t xml:space="preserve">  </w:t>
      </w:r>
      <w:r w:rsidRPr="0088479B">
        <w:rPr>
          <w:rFonts w:ascii="Times New Roman" w:hAnsi="Times New Roman"/>
          <w:lang w:val="sk-SK"/>
        </w:rPr>
        <w:t>zmena sadzby</w:t>
      </w:r>
    </w:p>
    <w:p w:rsidR="00921795" w:rsidRPr="0088479B" w:rsidP="0088479B">
      <w:pPr>
        <w:bidi w:val="0"/>
        <w:rPr>
          <w:rFonts w:ascii="Times New Roman" w:hAnsi="Times New Roman"/>
          <w:lang w:val="sk-SK"/>
        </w:rPr>
      </w:pPr>
      <w:r w:rsidRPr="0088479B">
        <w:rPr>
          <w:rFonts w:ascii="Times New Roman" w:hAnsi="Times New Roman"/>
          <w:bdr w:val="single" w:sz="4" w:space="0" w:color="000000" w:frame="1"/>
          <w:lang w:val="sk-SK"/>
        </w:rPr>
        <w:t xml:space="preserve">     </w:t>
      </w:r>
      <w:r w:rsidRPr="0088479B">
        <w:rPr>
          <w:rFonts w:ascii="Times New Roman" w:hAnsi="Times New Roman"/>
          <w:lang w:val="sk-SK"/>
        </w:rPr>
        <w:t>  zmena v nároku</w:t>
      </w:r>
    </w:p>
    <w:p w:rsidR="00921795" w:rsidRPr="0088479B" w:rsidP="0088479B">
      <w:pPr>
        <w:bidi w:val="0"/>
        <w:rPr>
          <w:rFonts w:ascii="Times New Roman" w:hAnsi="Times New Roman"/>
          <w:lang w:val="sk-SK"/>
        </w:rPr>
      </w:pPr>
      <w:r w:rsidRPr="0088479B">
        <w:rPr>
          <w:rFonts w:ascii="Times New Roman" w:hAnsi="Times New Roman"/>
          <w:bdr w:val="single" w:sz="4" w:space="0" w:color="000000" w:frame="1"/>
          <w:lang w:val="sk-SK"/>
        </w:rPr>
        <w:t> </w:t>
      </w:r>
      <w:r w:rsidRPr="0088479B" w:rsidR="005966D5">
        <w:rPr>
          <w:rFonts w:ascii="Times New Roman" w:hAnsi="Times New Roman"/>
          <w:bdr w:val="single" w:sz="4" w:space="0" w:color="000000" w:frame="1"/>
          <w:lang w:val="sk-SK"/>
        </w:rPr>
        <w:t xml:space="preserve">x </w:t>
      </w:r>
      <w:r w:rsidRPr="0088479B">
        <w:rPr>
          <w:rFonts w:ascii="Times New Roman" w:hAnsi="Times New Roman"/>
          <w:bdr w:val="single" w:sz="4" w:space="0" w:color="000000" w:frame="1"/>
          <w:lang w:val="sk-SK"/>
        </w:rPr>
        <w:t xml:space="preserve"> </w:t>
      </w:r>
      <w:r w:rsidRPr="0088479B">
        <w:rPr>
          <w:rFonts w:ascii="Times New Roman" w:hAnsi="Times New Roman"/>
          <w:lang w:val="sk-SK"/>
        </w:rPr>
        <w:t>  nová služba alebo nariadenie (alebo ich zrušenie)</w:t>
      </w:r>
    </w:p>
    <w:p w:rsidR="00921795" w:rsidRPr="0088479B" w:rsidP="0088479B">
      <w:pPr>
        <w:bidi w:val="0"/>
        <w:rPr>
          <w:rFonts w:ascii="Times New Roman" w:hAnsi="Times New Roman"/>
          <w:lang w:val="sk-SK"/>
        </w:rPr>
      </w:pPr>
      <w:r w:rsidRPr="0088479B">
        <w:rPr>
          <w:rFonts w:ascii="Times New Roman" w:hAnsi="Times New Roman"/>
          <w:bdr w:val="single" w:sz="4" w:space="0" w:color="000000" w:frame="1"/>
          <w:lang w:val="sk-SK"/>
        </w:rPr>
        <w:t> </w:t>
      </w:r>
      <w:r w:rsidRPr="0088479B" w:rsidR="005966D5">
        <w:rPr>
          <w:rFonts w:ascii="Times New Roman" w:hAnsi="Times New Roman"/>
          <w:bdr w:val="single" w:sz="4" w:space="0" w:color="000000" w:frame="1"/>
          <w:lang w:val="sk-SK"/>
        </w:rPr>
        <w:t xml:space="preserve">  </w:t>
      </w:r>
      <w:r w:rsidRPr="0088479B">
        <w:rPr>
          <w:rFonts w:ascii="Times New Roman" w:hAnsi="Times New Roman"/>
          <w:bdr w:val="single" w:sz="4" w:space="0" w:color="000000" w:frame="1"/>
          <w:lang w:val="sk-SK"/>
        </w:rPr>
        <w:t xml:space="preserve">  </w:t>
      </w:r>
      <w:r w:rsidRPr="0088479B">
        <w:rPr>
          <w:rFonts w:ascii="Times New Roman" w:hAnsi="Times New Roman"/>
          <w:lang w:val="sk-SK"/>
        </w:rPr>
        <w:t>  kombinovaný návrh</w:t>
      </w:r>
    </w:p>
    <w:p w:rsidR="00921795" w:rsidRPr="0088479B" w:rsidP="0088479B">
      <w:pPr>
        <w:bidi w:val="0"/>
        <w:rPr>
          <w:rFonts w:ascii="Times New Roman" w:hAnsi="Times New Roman"/>
          <w:lang w:val="sk-SK"/>
        </w:rPr>
      </w:pPr>
      <w:r w:rsidRPr="0088479B">
        <w:rPr>
          <w:rFonts w:ascii="Times New Roman" w:hAnsi="Times New Roman"/>
          <w:bdr w:val="single" w:sz="4" w:space="0" w:color="000000" w:frame="1"/>
          <w:lang w:val="sk-SK"/>
        </w:rPr>
        <w:t xml:space="preserve">     </w:t>
      </w:r>
      <w:r w:rsidRPr="0088479B">
        <w:rPr>
          <w:rFonts w:ascii="Times New Roman" w:hAnsi="Times New Roman"/>
          <w:lang w:val="sk-SK"/>
        </w:rPr>
        <w:t xml:space="preserve">  iné </w:t>
      </w:r>
    </w:p>
    <w:p w:rsidR="00921795" w:rsidRPr="0088479B" w:rsidP="0088479B">
      <w:pPr>
        <w:bidi w:val="0"/>
        <w:rPr>
          <w:rFonts w:ascii="Times New Roman" w:hAnsi="Times New Roman"/>
          <w:lang w:val="sk-SK"/>
        </w:rPr>
      </w:pPr>
      <w:r w:rsidRPr="0088479B">
        <w:rPr>
          <w:rFonts w:ascii="Times New Roman" w:hAnsi="Times New Roman"/>
          <w:lang w:val="sk-SK"/>
        </w:rPr>
        <w:t> </w:t>
      </w:r>
    </w:p>
    <w:p w:rsidR="00921795" w:rsidRPr="0088479B" w:rsidP="0088479B">
      <w:pPr>
        <w:bidi w:val="0"/>
        <w:rPr>
          <w:rFonts w:ascii="Times New Roman" w:hAnsi="Times New Roman"/>
          <w:lang w:val="sk-SK"/>
        </w:rPr>
      </w:pPr>
      <w:r w:rsidRPr="0088479B">
        <w:rPr>
          <w:rFonts w:ascii="Times New Roman" w:hAnsi="Times New Roman"/>
          <w:b/>
          <w:bCs/>
          <w:lang w:val="sk-SK"/>
        </w:rPr>
        <w:t>2.3.3. Predpoklady vývoja objemu aktivít:</w:t>
      </w:r>
    </w:p>
    <w:p w:rsidR="00880B5E" w:rsidRPr="0088479B" w:rsidP="0088479B">
      <w:pPr>
        <w:bidi w:val="0"/>
        <w:rPr>
          <w:rFonts w:ascii="Times New Roman" w:hAnsi="Times New Roman"/>
          <w:lang w:val="sk-SK"/>
        </w:rPr>
      </w:pPr>
      <w:r w:rsidRPr="0088479B" w:rsidR="00E612CF">
        <w:rPr>
          <w:rFonts w:ascii="Times New Roman" w:hAnsi="Times New Roman"/>
          <w:lang w:val="sk-SK"/>
        </w:rPr>
        <w:t>Na</w:t>
      </w:r>
      <w:r w:rsidR="00C91F8C">
        <w:rPr>
          <w:rFonts w:ascii="Times New Roman" w:hAnsi="Times New Roman"/>
          <w:lang w:val="sk-SK"/>
        </w:rPr>
        <w:t xml:space="preserve">vrhované legislatívne zmeny si </w:t>
      </w:r>
      <w:r w:rsidRPr="0088479B" w:rsidR="00E612CF">
        <w:rPr>
          <w:rFonts w:ascii="Times New Roman" w:hAnsi="Times New Roman"/>
          <w:lang w:val="sk-SK"/>
        </w:rPr>
        <w:t>vyžiadajú úpravu informačného systému zdravotných poisťovní.</w:t>
      </w:r>
    </w:p>
    <w:p w:rsidR="00921795" w:rsidRPr="0088479B" w:rsidP="0088479B">
      <w:pPr>
        <w:bidi w:val="0"/>
        <w:rPr>
          <w:rFonts w:ascii="Times New Roman" w:hAnsi="Times New Roman"/>
          <w:lang w:val="sk-SK"/>
        </w:rPr>
      </w:pPr>
      <w:r w:rsidRPr="0088479B">
        <w:rPr>
          <w:rFonts w:ascii="Times New Roman" w:hAnsi="Times New Roman"/>
          <w:lang w:val="sk-SK"/>
        </w:rPr>
        <w:t> </w:t>
      </w:r>
    </w:p>
    <w:p w:rsidR="00921795" w:rsidRPr="0088479B" w:rsidP="0088479B">
      <w:pPr>
        <w:bidi w:val="0"/>
        <w:rPr>
          <w:rFonts w:ascii="Times New Roman" w:hAnsi="Times New Roman"/>
          <w:lang w:val="sk-SK"/>
        </w:rPr>
      </w:pPr>
      <w:r w:rsidRPr="0088479B">
        <w:rPr>
          <w:rFonts w:ascii="Times New Roman" w:hAnsi="Times New Roman"/>
          <w:b/>
          <w:bCs/>
          <w:lang w:val="sk-SK"/>
        </w:rPr>
        <w:t>2.3.4. Výpočty vplyvov na verejné financie</w:t>
      </w:r>
    </w:p>
    <w:p w:rsidR="00C42DA7" w:rsidP="0088479B">
      <w:pPr>
        <w:bidi w:val="0"/>
        <w:rPr>
          <w:rFonts w:ascii="Times New Roman" w:hAnsi="Times New Roman"/>
          <w:lang w:val="sk-SK"/>
        </w:rPr>
      </w:pPr>
    </w:p>
    <w:p w:rsidR="00B76D03" w:rsidRPr="00B76D03" w:rsidP="0088479B">
      <w:pPr>
        <w:bidi w:val="0"/>
        <w:rPr>
          <w:rFonts w:ascii="Times New Roman" w:hAnsi="Times New Roman"/>
          <w:u w:val="single"/>
          <w:lang w:val="sk-SK"/>
        </w:rPr>
      </w:pPr>
      <w:r w:rsidRPr="00B76D03">
        <w:rPr>
          <w:rFonts w:ascii="Times New Roman" w:hAnsi="Times New Roman"/>
          <w:u w:val="single"/>
          <w:lang w:val="sk-SK"/>
        </w:rPr>
        <w:t>Prevádzkové činnosti ZP</w:t>
      </w:r>
    </w:p>
    <w:p w:rsidR="00272960" w:rsidRPr="0088479B" w:rsidP="0088479B">
      <w:pPr>
        <w:widowControl w:val="0"/>
        <w:autoSpaceDE w:val="0"/>
        <w:bidi w:val="0"/>
        <w:rPr>
          <w:rFonts w:ascii="Times New Roman" w:hAnsi="Times New Roman"/>
          <w:lang w:val="sk-SK"/>
        </w:rPr>
      </w:pPr>
      <w:r w:rsidRPr="0088479B">
        <w:rPr>
          <w:rFonts w:ascii="Times New Roman" w:hAnsi="Times New Roman"/>
          <w:lang w:val="sk-SK"/>
        </w:rPr>
        <w:t xml:space="preserve">Zdravotná poisťovňa môže v príslušnom kalendárnom roku vynaložiť na prevádzkové činnosti zdravotnej poisťovne výdavky najviac do výšky zodpovedajúcej príslušnému podielu na úhrne poistného pred prerozdelením poistného za príslušný kalendárny rok. Príslušný podiel na ročnom úhrne sa vypočíta ako súčet 3 % a podielu </w:t>
      </w:r>
      <w:smartTag w:uri="urn:schemas-microsoft-com:office:smarttags" w:element="metricconverter">
        <w:smartTagPr>
          <w:attr w:name="ProductID" w:val="20ﾠ000 a"/>
        </w:smartTagPr>
        <w:r w:rsidRPr="0088479B">
          <w:rPr>
            <w:rFonts w:ascii="Times New Roman" w:hAnsi="Times New Roman"/>
            <w:lang w:val="sk-SK"/>
          </w:rPr>
          <w:t>20 000 a</w:t>
        </w:r>
      </w:smartTag>
      <w:r w:rsidRPr="0088479B">
        <w:rPr>
          <w:rFonts w:ascii="Times New Roman" w:hAnsi="Times New Roman"/>
          <w:lang w:val="sk-SK"/>
        </w:rPr>
        <w:t xml:space="preserve"> súčtu </w:t>
      </w:r>
      <w:smartTag w:uri="urn:schemas-microsoft-com:office:smarttags" w:element="metricconverter">
        <w:smartTagPr>
          <w:attr w:name="ProductID" w:val="1ﾠ000ﾠ000 a"/>
        </w:smartTagPr>
        <w:r w:rsidRPr="0088479B">
          <w:rPr>
            <w:rFonts w:ascii="Times New Roman" w:hAnsi="Times New Roman"/>
            <w:lang w:val="sk-SK"/>
          </w:rPr>
          <w:t>1 000 000 a</w:t>
        </w:r>
      </w:smartTag>
      <w:r w:rsidRPr="0088479B">
        <w:rPr>
          <w:rFonts w:ascii="Times New Roman" w:hAnsi="Times New Roman"/>
          <w:lang w:val="sk-SK"/>
        </w:rPr>
        <w:t xml:space="preserve"> počtu po</w:t>
      </w:r>
      <w:r w:rsidR="002C3990">
        <w:rPr>
          <w:rFonts w:ascii="Times New Roman" w:hAnsi="Times New Roman"/>
          <w:lang w:val="sk-SK"/>
        </w:rPr>
        <w:t>istencov zdravotnej poisťovne.</w:t>
      </w:r>
    </w:p>
    <w:p w:rsidR="00272960" w:rsidRPr="0088479B" w:rsidP="0088479B">
      <w:pPr>
        <w:bidi w:val="0"/>
        <w:rPr>
          <w:rFonts w:ascii="Times New Roman" w:hAnsi="Times New Roman"/>
          <w:lang w:val="sk-SK"/>
        </w:rPr>
      </w:pPr>
    </w:p>
    <w:p w:rsidR="00C42DA7" w:rsidRPr="00C91F8C" w:rsidP="002C3990">
      <w:pPr>
        <w:bidi w:val="0"/>
        <w:rPr>
          <w:rFonts w:ascii="Times New Roman" w:hAnsi="Times New Roman"/>
          <w:lang w:val="sk-SK"/>
        </w:rPr>
      </w:pPr>
      <w:r w:rsidR="002C3990">
        <w:rPr>
          <w:rFonts w:ascii="Times New Roman" w:hAnsi="Times New Roman"/>
          <w:lang w:val="sk-SK"/>
        </w:rPr>
        <w:t>Vzorec</w:t>
      </w:r>
    </w:p>
    <w:tbl>
      <w:tblPr>
        <w:tblStyle w:val="TableNormal"/>
        <w:tblpPr w:leftFromText="141" w:rightFromText="141" w:vertAnchor="text" w:horzAnchor="page" w:tblpX="4177" w:tblpY="296"/>
        <w:tblW w:w="0" w:type="auto"/>
        <w:tblLook w:val="04A0"/>
      </w:tblPr>
      <w:tblGrid>
        <w:gridCol w:w="1951"/>
        <w:gridCol w:w="1985"/>
      </w:tblGrid>
      <w:tr>
        <w:tblPrEx>
          <w:tblW w:w="0" w:type="auto"/>
          <w:tblLook w:val="04A0"/>
        </w:tblPrEx>
        <w:tc>
          <w:tcPr>
            <w:tcW w:w="1951" w:type="dxa"/>
            <w:vMerge w:val="restart"/>
            <w:tcBorders>
              <w:top w:val="none" w:sz="0" w:space="0" w:color="auto"/>
              <w:left w:val="none" w:sz="0" w:space="0" w:color="auto"/>
              <w:bottom w:val="none" w:sz="0" w:space="0" w:color="auto"/>
              <w:right w:val="none" w:sz="0" w:space="0" w:color="auto"/>
            </w:tcBorders>
            <w:textDirection w:val="lrTb"/>
            <w:vAlign w:val="center"/>
          </w:tcPr>
          <w:p w:rsidR="00C42DA7" w:rsidRPr="00C91F8C" w:rsidP="0088479B">
            <w:pPr>
              <w:widowControl w:val="0"/>
              <w:autoSpaceDE w:val="0"/>
              <w:bidi w:val="0"/>
              <w:jc w:val="right"/>
              <w:rPr>
                <w:rFonts w:ascii="Times New Roman" w:hAnsi="Times New Roman"/>
                <w:lang w:val="sk-SK"/>
              </w:rPr>
            </w:pPr>
            <w:r w:rsidRPr="00C91F8C">
              <w:rPr>
                <w:rFonts w:ascii="Times New Roman" w:hAnsi="Times New Roman"/>
                <w:lang w:val="sk-SK"/>
              </w:rPr>
              <w:t>limit (v %) = 3 +</w:t>
            </w:r>
          </w:p>
        </w:tc>
        <w:tc>
          <w:tcPr>
            <w:tcW w:w="1985" w:type="dxa"/>
            <w:tcBorders>
              <w:top w:val="none" w:sz="0" w:space="0" w:color="auto"/>
              <w:left w:val="none" w:sz="0" w:space="0" w:color="auto"/>
              <w:bottom w:val="single" w:sz="4" w:space="0" w:color="000000"/>
              <w:right w:val="none" w:sz="0" w:space="0" w:color="auto"/>
            </w:tcBorders>
            <w:textDirection w:val="lrTb"/>
            <w:vAlign w:val="center"/>
          </w:tcPr>
          <w:p w:rsidR="00C42DA7" w:rsidRPr="00C91F8C" w:rsidP="0088479B">
            <w:pPr>
              <w:widowControl w:val="0"/>
              <w:autoSpaceDE w:val="0"/>
              <w:bidi w:val="0"/>
              <w:jc w:val="center"/>
              <w:rPr>
                <w:rFonts w:ascii="Times New Roman" w:hAnsi="Times New Roman"/>
                <w:lang w:val="sk-SK"/>
              </w:rPr>
            </w:pPr>
            <w:r w:rsidRPr="00C91F8C">
              <w:rPr>
                <w:rFonts w:ascii="Times New Roman" w:hAnsi="Times New Roman"/>
                <w:lang w:val="sk-SK"/>
              </w:rPr>
              <w:t>2 000 000</w:t>
            </w:r>
          </w:p>
        </w:tc>
      </w:tr>
      <w:tr>
        <w:tblPrEx>
          <w:tblW w:w="0" w:type="auto"/>
          <w:tblLook w:val="04A0"/>
        </w:tblPrEx>
        <w:tc>
          <w:tcPr>
            <w:tcW w:w="1951" w:type="dxa"/>
            <w:vMerge/>
            <w:tcBorders>
              <w:top w:val="none" w:sz="0" w:space="0" w:color="auto"/>
              <w:left w:val="none" w:sz="0" w:space="0" w:color="auto"/>
              <w:bottom w:val="none" w:sz="0" w:space="0" w:color="auto"/>
              <w:right w:val="none" w:sz="0" w:space="0" w:color="auto"/>
            </w:tcBorders>
            <w:textDirection w:val="lrTb"/>
            <w:vAlign w:val="center"/>
          </w:tcPr>
          <w:p w:rsidR="00C42DA7" w:rsidRPr="00C91F8C" w:rsidP="0088479B">
            <w:pPr>
              <w:widowControl w:val="0"/>
              <w:autoSpaceDE w:val="0"/>
              <w:bidi w:val="0"/>
              <w:rPr>
                <w:rFonts w:ascii="Times New Roman" w:hAnsi="Times New Roman"/>
                <w:lang w:val="sk-SK"/>
              </w:rPr>
            </w:pPr>
          </w:p>
        </w:tc>
        <w:tc>
          <w:tcPr>
            <w:tcW w:w="1985" w:type="dxa"/>
            <w:tcBorders>
              <w:top w:val="single" w:sz="4" w:space="0" w:color="000000"/>
              <w:left w:val="none" w:sz="0" w:space="0" w:color="auto"/>
              <w:bottom w:val="none" w:sz="0" w:space="0" w:color="auto"/>
              <w:right w:val="none" w:sz="0" w:space="0" w:color="auto"/>
            </w:tcBorders>
            <w:textDirection w:val="lrTb"/>
            <w:vAlign w:val="center"/>
          </w:tcPr>
          <w:p w:rsidR="00C42DA7" w:rsidRPr="00C91F8C" w:rsidP="0088479B">
            <w:pPr>
              <w:widowControl w:val="0"/>
              <w:autoSpaceDE w:val="0"/>
              <w:bidi w:val="0"/>
              <w:jc w:val="center"/>
              <w:rPr>
                <w:rFonts w:ascii="Times New Roman" w:hAnsi="Times New Roman"/>
                <w:lang w:val="sk-SK"/>
              </w:rPr>
            </w:pPr>
            <w:r w:rsidRPr="00C91F8C">
              <w:rPr>
                <w:rFonts w:ascii="Times New Roman" w:hAnsi="Times New Roman"/>
                <w:lang w:val="sk-SK"/>
              </w:rPr>
              <w:t>1 000 000 + PP</w:t>
            </w:r>
            <w:r w:rsidRPr="00C91F8C">
              <w:rPr>
                <w:rFonts w:ascii="Times New Roman" w:hAnsi="Times New Roman"/>
                <w:vertAlign w:val="subscript"/>
                <w:lang w:val="sk-SK"/>
              </w:rPr>
              <w:t>ZP</w:t>
            </w:r>
          </w:p>
        </w:tc>
      </w:tr>
    </w:tbl>
    <w:p w:rsidR="00C42DA7" w:rsidRPr="00C91F8C" w:rsidP="0088479B">
      <w:pPr>
        <w:bidi w:val="0"/>
        <w:ind w:left="360"/>
        <w:rPr>
          <w:rFonts w:ascii="Times New Roman" w:hAnsi="Times New Roman"/>
          <w:lang w:val="sk-SK"/>
        </w:rPr>
      </w:pPr>
    </w:p>
    <w:p w:rsidR="00C42DA7" w:rsidRPr="00C91F8C" w:rsidP="0088479B">
      <w:pPr>
        <w:bidi w:val="0"/>
        <w:rPr>
          <w:rFonts w:ascii="Times New Roman" w:hAnsi="Times New Roman"/>
          <w:lang w:val="sk-SK"/>
        </w:rPr>
      </w:pPr>
    </w:p>
    <w:p w:rsidR="00C42DA7" w:rsidRPr="00C91F8C" w:rsidP="0088479B">
      <w:pPr>
        <w:bidi w:val="0"/>
        <w:rPr>
          <w:rFonts w:ascii="Times New Roman" w:hAnsi="Times New Roman"/>
          <w:lang w:val="sk-SK"/>
        </w:rPr>
      </w:pPr>
    </w:p>
    <w:p w:rsidR="00C42DA7" w:rsidRPr="00C91F8C" w:rsidP="0088479B">
      <w:pPr>
        <w:bidi w:val="0"/>
        <w:rPr>
          <w:rFonts w:ascii="Times New Roman" w:hAnsi="Times New Roman"/>
          <w:lang w:val="sk-SK"/>
        </w:rPr>
      </w:pPr>
    </w:p>
    <w:p w:rsidR="00C42DA7" w:rsidRPr="00C91F8C" w:rsidP="0088479B">
      <w:pPr>
        <w:bidi w:val="0"/>
        <w:ind w:firstLine="360"/>
        <w:rPr>
          <w:rFonts w:ascii="Times New Roman" w:hAnsi="Times New Roman"/>
          <w:lang w:val="sk-SK"/>
        </w:rPr>
      </w:pPr>
      <w:r w:rsidRPr="00C91F8C">
        <w:rPr>
          <w:rFonts w:ascii="Times New Roman" w:hAnsi="Times New Roman"/>
          <w:lang w:val="sk-SK"/>
        </w:rPr>
        <w:t>kde PP</w:t>
      </w:r>
      <w:r w:rsidRPr="00C91F8C">
        <w:rPr>
          <w:rFonts w:ascii="Times New Roman" w:hAnsi="Times New Roman"/>
          <w:vertAlign w:val="subscript"/>
          <w:lang w:val="sk-SK"/>
        </w:rPr>
        <w:t>ZP</w:t>
      </w:r>
      <w:r w:rsidRPr="00C91F8C">
        <w:rPr>
          <w:rFonts w:ascii="Times New Roman" w:hAnsi="Times New Roman"/>
          <w:lang w:val="sk-SK"/>
        </w:rPr>
        <w:t xml:space="preserve"> je počet poistencov príslušnej ZP. </w:t>
      </w:r>
    </w:p>
    <w:p w:rsidR="00C42DA7" w:rsidRPr="00C91F8C" w:rsidP="00C91F8C">
      <w:pPr>
        <w:bidi w:val="0"/>
        <w:rPr>
          <w:rFonts w:ascii="Times New Roman" w:hAnsi="Times New Roman"/>
          <w:lang w:val="sk-SK"/>
        </w:rPr>
      </w:pPr>
      <w:r w:rsidRPr="00C91F8C">
        <w:rPr>
          <w:rFonts w:ascii="Times New Roman" w:hAnsi="Times New Roman"/>
          <w:b/>
          <w:lang w:val="sk-SK"/>
        </w:rPr>
        <w:t>Príklad 1</w:t>
      </w:r>
      <w:r w:rsidRPr="00C91F8C">
        <w:rPr>
          <w:rFonts w:ascii="Times New Roman" w:hAnsi="Times New Roman"/>
          <w:lang w:val="sk-SK"/>
        </w:rPr>
        <w:t xml:space="preserve"> pre situáciu, že ZP prichádza na trh a ešte nemá žiadneho poistenca (t.j. PP</w:t>
      </w:r>
      <w:r w:rsidRPr="00C91F8C">
        <w:rPr>
          <w:rFonts w:ascii="Times New Roman" w:hAnsi="Times New Roman"/>
          <w:vertAlign w:val="subscript"/>
          <w:lang w:val="sk-SK"/>
        </w:rPr>
        <w:t>ZP</w:t>
      </w:r>
      <w:r w:rsidRPr="00C91F8C">
        <w:rPr>
          <w:rFonts w:ascii="Times New Roman" w:hAnsi="Times New Roman"/>
          <w:lang w:val="sk-SK"/>
        </w:rPr>
        <w:t xml:space="preserve"> = 0): </w:t>
      </w:r>
      <w:r w:rsidR="00201627">
        <w:rPr>
          <w:rFonts w:ascii="Times New Roman" w:hAnsi="Times New Roman"/>
          <w:lang w:val="sk-SK"/>
        </w:rPr>
        <w:t>limit = 2,9 + 2 000 000 / 1 000 000  = 2,9 + 2 = 4,90</w:t>
      </w:r>
      <w:r w:rsidRPr="00C91F8C">
        <w:rPr>
          <w:rFonts w:ascii="Times New Roman" w:hAnsi="Times New Roman"/>
          <w:lang w:val="sk-SK"/>
        </w:rPr>
        <w:t xml:space="preserve"> %. </w:t>
      </w:r>
    </w:p>
    <w:p w:rsidR="00C42DA7" w:rsidRPr="00C91F8C" w:rsidP="00C91F8C">
      <w:pPr>
        <w:bidi w:val="0"/>
        <w:rPr>
          <w:rFonts w:ascii="Times New Roman" w:hAnsi="Times New Roman"/>
          <w:lang w:val="sk-SK"/>
        </w:rPr>
      </w:pPr>
      <w:r w:rsidRPr="00C91F8C">
        <w:rPr>
          <w:rFonts w:ascii="Times New Roman" w:hAnsi="Times New Roman"/>
          <w:b/>
          <w:lang w:val="sk-SK"/>
        </w:rPr>
        <w:t>Príklad 2</w:t>
      </w:r>
      <w:r w:rsidRPr="00C91F8C">
        <w:rPr>
          <w:rFonts w:ascii="Times New Roman" w:hAnsi="Times New Roman"/>
          <w:lang w:val="sk-SK"/>
        </w:rPr>
        <w:t xml:space="preserve"> pre situáciu, že ZP má milión poistencov (PP</w:t>
      </w:r>
      <w:r w:rsidRPr="00C91F8C">
        <w:rPr>
          <w:rFonts w:ascii="Times New Roman" w:hAnsi="Times New Roman"/>
          <w:vertAlign w:val="subscript"/>
          <w:lang w:val="sk-SK"/>
        </w:rPr>
        <w:t>ZP</w:t>
      </w:r>
      <w:r w:rsidRPr="00C91F8C">
        <w:rPr>
          <w:rFonts w:ascii="Times New Roman" w:hAnsi="Times New Roman"/>
          <w:lang w:val="sk-SK"/>
        </w:rPr>
        <w:t xml:space="preserve"> =1 milión): limit = </w:t>
      </w:r>
      <w:r w:rsidR="00201627">
        <w:rPr>
          <w:rFonts w:ascii="Times New Roman" w:hAnsi="Times New Roman"/>
          <w:lang w:val="sk-SK"/>
        </w:rPr>
        <w:t>2,9 + 1 = 3,90</w:t>
      </w:r>
      <w:r w:rsidRPr="00C91F8C">
        <w:rPr>
          <w:rFonts w:ascii="Times New Roman" w:hAnsi="Times New Roman"/>
          <w:lang w:val="sk-SK"/>
        </w:rPr>
        <w:t>%.</w:t>
      </w:r>
    </w:p>
    <w:p w:rsidR="00C42DA7" w:rsidRPr="00C91F8C" w:rsidP="00C91F8C">
      <w:pPr>
        <w:bidi w:val="0"/>
        <w:rPr>
          <w:rFonts w:ascii="Times New Roman" w:hAnsi="Times New Roman"/>
          <w:lang w:val="sk-SK"/>
        </w:rPr>
      </w:pPr>
      <w:r w:rsidRPr="00C91F8C">
        <w:rPr>
          <w:rFonts w:ascii="Times New Roman" w:hAnsi="Times New Roman"/>
          <w:b/>
          <w:lang w:val="sk-SK"/>
        </w:rPr>
        <w:t>Príklad 3</w:t>
      </w:r>
      <w:r w:rsidRPr="00C91F8C">
        <w:rPr>
          <w:rFonts w:ascii="Times New Roman" w:hAnsi="Times New Roman"/>
          <w:lang w:val="sk-SK"/>
        </w:rPr>
        <w:t xml:space="preserve"> pre situáciu, že máme len jednu ZP so všetkými poistencami (PPZP = 5,4 mil.): limit = </w:t>
      </w:r>
      <w:r w:rsidR="00201627">
        <w:rPr>
          <w:rFonts w:ascii="Times New Roman" w:hAnsi="Times New Roman"/>
          <w:lang w:val="sk-SK"/>
        </w:rPr>
        <w:t>2,9</w:t>
      </w:r>
      <w:r w:rsidR="00E31F7C">
        <w:rPr>
          <w:rFonts w:ascii="Times New Roman" w:hAnsi="Times New Roman"/>
          <w:lang w:val="sk-SK"/>
        </w:rPr>
        <w:t xml:space="preserve"> + </w:t>
      </w:r>
      <w:r w:rsidR="00DB2281">
        <w:rPr>
          <w:rFonts w:ascii="Times New Roman" w:hAnsi="Times New Roman"/>
          <w:lang w:val="sk-SK"/>
        </w:rPr>
        <w:t>0,3215</w:t>
      </w:r>
      <w:r w:rsidR="00201627">
        <w:rPr>
          <w:rFonts w:ascii="Times New Roman" w:hAnsi="Times New Roman"/>
          <w:lang w:val="sk-SK"/>
        </w:rPr>
        <w:t xml:space="preserve"> = 3,</w:t>
      </w:r>
      <w:r w:rsidR="00E31F7C">
        <w:rPr>
          <w:rFonts w:ascii="Times New Roman" w:hAnsi="Times New Roman"/>
          <w:lang w:val="sk-SK"/>
        </w:rPr>
        <w:t>23</w:t>
      </w:r>
      <w:r w:rsidRPr="00C91F8C">
        <w:rPr>
          <w:rFonts w:ascii="Times New Roman" w:hAnsi="Times New Roman"/>
          <w:lang w:val="sk-SK"/>
        </w:rPr>
        <w:t xml:space="preserve"> %.</w:t>
      </w:r>
    </w:p>
    <w:p w:rsidR="00C42DA7" w:rsidRPr="0088479B" w:rsidP="0088479B">
      <w:pPr>
        <w:bidi w:val="0"/>
        <w:rPr>
          <w:rFonts w:ascii="Times New Roman" w:hAnsi="Times New Roman"/>
          <w:lang w:val="sk-SK"/>
        </w:rPr>
      </w:pPr>
      <w:r w:rsidR="008C7547">
        <w:rPr>
          <w:rFonts w:ascii="Times New Roman" w:hAnsi="Times New Roman"/>
          <w:lang w:val="sk-SK"/>
        </w:rPr>
        <w:t>Výsledok v percentách sa zaokrúhľuje na dve desatinné miesta smerom nahor.</w:t>
      </w:r>
    </w:p>
    <w:p w:rsidR="00C42DA7" w:rsidRPr="0088479B" w:rsidP="0088479B">
      <w:pPr>
        <w:bidi w:val="0"/>
        <w:rPr>
          <w:rFonts w:ascii="Times New Roman" w:hAnsi="Times New Roman"/>
          <w:lang w:val="sk-SK"/>
        </w:rPr>
      </w:pPr>
    </w:p>
    <w:tbl>
      <w:tblPr>
        <w:tblStyle w:val="TableNormal"/>
        <w:tblW w:w="10554" w:type="dxa"/>
        <w:tblInd w:w="-639" w:type="dxa"/>
        <w:tblCellMar>
          <w:left w:w="70" w:type="dxa"/>
          <w:right w:w="70" w:type="dxa"/>
        </w:tblCellMar>
        <w:tblLook w:val="04A0"/>
      </w:tblPr>
      <w:tblGrid>
        <w:gridCol w:w="2894"/>
        <w:gridCol w:w="1720"/>
        <w:gridCol w:w="2320"/>
        <w:gridCol w:w="1840"/>
        <w:gridCol w:w="1780"/>
      </w:tblGrid>
      <w:tr>
        <w:tblPrEx>
          <w:tblW w:w="10554" w:type="dxa"/>
          <w:tblInd w:w="-639" w:type="dxa"/>
          <w:tblCellMar>
            <w:left w:w="70" w:type="dxa"/>
            <w:right w:w="70" w:type="dxa"/>
          </w:tblCellMar>
          <w:tblLook w:val="04A0"/>
        </w:tblPrEx>
        <w:trPr>
          <w:trHeight w:val="300"/>
        </w:trPr>
        <w:tc>
          <w:tcPr>
            <w:tcW w:w="2894" w:type="dxa"/>
            <w:tcBorders>
              <w:top w:val="single" w:sz="4" w:space="0" w:color="auto"/>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ZP</w:t>
            </w:r>
          </w:p>
        </w:tc>
        <w:tc>
          <w:tcPr>
            <w:tcW w:w="17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sz w:val="20"/>
                <w:szCs w:val="20"/>
                <w:lang w:val="sk-SK" w:eastAsia="sk-SK"/>
              </w:rPr>
            </w:pPr>
            <w:r w:rsidRPr="00A6219D">
              <w:rPr>
                <w:rFonts w:ascii="Times New Roman" w:hAnsi="Times New Roman"/>
                <w:b/>
                <w:bCs/>
                <w:color w:val="000000"/>
                <w:sz w:val="20"/>
                <w:szCs w:val="20"/>
                <w:lang w:val="sk-SK" w:eastAsia="sk-SK"/>
              </w:rPr>
              <w:t>počet poistencov</w:t>
            </w:r>
          </w:p>
        </w:tc>
        <w:tc>
          <w:tcPr>
            <w:tcW w:w="23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sz w:val="20"/>
                <w:szCs w:val="20"/>
                <w:lang w:val="sk-SK" w:eastAsia="sk-SK"/>
              </w:rPr>
            </w:pPr>
            <w:r w:rsidRPr="00A6219D">
              <w:rPr>
                <w:rFonts w:ascii="Times New Roman" w:hAnsi="Times New Roman"/>
                <w:b/>
                <w:bCs/>
                <w:color w:val="000000"/>
                <w:sz w:val="20"/>
                <w:szCs w:val="20"/>
                <w:lang w:val="sk-SK" w:eastAsia="sk-SK"/>
              </w:rPr>
              <w:t>percento na správu v %</w:t>
            </w: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VšZP</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3475934</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6E78EF">
              <w:rPr>
                <w:rFonts w:ascii="Times New Roman" w:hAnsi="Times New Roman"/>
                <w:color w:val="000000"/>
                <w:lang w:val="sk-SK" w:eastAsia="sk-SK"/>
              </w:rPr>
              <w:t>3,3</w:t>
            </w:r>
            <w:r w:rsidR="001A37AA">
              <w:rPr>
                <w:rFonts w:ascii="Times New Roman" w:hAnsi="Times New Roman"/>
                <w:color w:val="000000"/>
                <w:lang w:val="sk-SK" w:eastAsia="sk-SK"/>
              </w:rPr>
              <w:t>5</w:t>
            </w: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Dôvera</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1397307</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6E78EF">
              <w:rPr>
                <w:rFonts w:ascii="Times New Roman" w:hAnsi="Times New Roman"/>
                <w:color w:val="000000"/>
                <w:lang w:val="sk-SK" w:eastAsia="sk-SK"/>
              </w:rPr>
              <w:t>3,7</w:t>
            </w:r>
            <w:r w:rsidR="001A37AA">
              <w:rPr>
                <w:rFonts w:ascii="Times New Roman" w:hAnsi="Times New Roman"/>
                <w:color w:val="000000"/>
                <w:lang w:val="sk-SK" w:eastAsia="sk-SK"/>
              </w:rPr>
              <w:t>4</w:t>
            </w: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Union</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385895</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6E78EF">
              <w:rPr>
                <w:rFonts w:ascii="Times New Roman" w:hAnsi="Times New Roman"/>
                <w:color w:val="000000"/>
                <w:lang w:val="sk-SK" w:eastAsia="sk-SK"/>
              </w:rPr>
              <w:t>4,3</w:t>
            </w:r>
            <w:r w:rsidR="001A37AA">
              <w:rPr>
                <w:rFonts w:ascii="Times New Roman" w:hAnsi="Times New Roman"/>
                <w:color w:val="000000"/>
                <w:lang w:val="sk-SK" w:eastAsia="sk-SK"/>
              </w:rPr>
              <w:t>5</w:t>
            </w: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10554" w:type="dxa"/>
            <w:gridSpan w:val="5"/>
            <w:tcBorders>
              <w:top w:val="nil"/>
              <w:left w:val="nil"/>
              <w:bottom w:val="nil"/>
              <w:right w:val="nil"/>
            </w:tcBorders>
            <w:noWrap/>
            <w:textDirection w:val="lrTb"/>
            <w:vAlign w:val="bottom"/>
          </w:tcPr>
          <w:p w:rsidR="008C7547" w:rsidP="0088479B">
            <w:pPr>
              <w:bidi w:val="0"/>
              <w:jc w:val="left"/>
              <w:rPr>
                <w:rFonts w:ascii="Times New Roman" w:hAnsi="Times New Roman"/>
                <w:color w:val="000000"/>
                <w:lang w:val="sk-SK" w:eastAsia="sk-SK"/>
              </w:rPr>
            </w:pPr>
          </w:p>
          <w:p w:rsidR="008C7547" w:rsidP="0088479B">
            <w:pPr>
              <w:bidi w:val="0"/>
              <w:jc w:val="left"/>
              <w:rPr>
                <w:rFonts w:ascii="Times New Roman" w:hAnsi="Times New Roman"/>
                <w:color w:val="000000"/>
                <w:lang w:val="sk-SK" w:eastAsia="sk-SK"/>
              </w:rPr>
            </w:pPr>
            <w:r>
              <w:rPr>
                <w:rFonts w:ascii="Times New Roman" w:hAnsi="Times New Roman"/>
                <w:color w:val="000000"/>
                <w:lang w:val="sk-SK" w:eastAsia="sk-SK"/>
              </w:rPr>
              <w:t>Výpočet prevádzkových nákladov VšZP</w:t>
            </w:r>
            <w:r w:rsidR="001A37AA">
              <w:rPr>
                <w:rFonts w:ascii="Times New Roman" w:hAnsi="Times New Roman"/>
                <w:color w:val="000000"/>
                <w:lang w:val="sk-SK" w:eastAsia="sk-SK"/>
              </w:rPr>
              <w:t xml:space="preserve"> podľa nového vzorca</w:t>
            </w:r>
          </w:p>
          <w:p w:rsidR="008C7547" w:rsidP="0088479B">
            <w:pPr>
              <w:bidi w:val="0"/>
              <w:jc w:val="left"/>
              <w:rPr>
                <w:rFonts w:ascii="Times New Roman" w:hAnsi="Times New Roman"/>
                <w:color w:val="000000"/>
                <w:lang w:val="sk-SK" w:eastAsia="sk-SK"/>
              </w:rPr>
            </w:pPr>
            <w:r w:rsidR="00D87E77">
              <w:rPr>
                <w:rFonts w:ascii="Times New Roman" w:hAnsi="Times New Roman"/>
                <w:color w:val="000000"/>
                <w:lang w:val="sk-SK" w:eastAsia="sk-SK"/>
              </w:rPr>
              <w:t>Limit = 2,9</w:t>
            </w:r>
            <w:r>
              <w:rPr>
                <w:rFonts w:ascii="Times New Roman" w:hAnsi="Times New Roman"/>
                <w:color w:val="000000"/>
                <w:lang w:val="sk-SK" w:eastAsia="sk-SK"/>
              </w:rPr>
              <w:t xml:space="preserve"> </w:t>
            </w:r>
            <w:r w:rsidR="001A37AA">
              <w:rPr>
                <w:rFonts w:ascii="Times New Roman" w:hAnsi="Times New Roman"/>
                <w:color w:val="000000"/>
                <w:lang w:val="sk-SK" w:eastAsia="sk-SK"/>
              </w:rPr>
              <w:t xml:space="preserve">+ (2000000/(1000000 </w:t>
            </w:r>
            <w:r w:rsidR="001A37AA">
              <w:rPr>
                <w:rFonts w:ascii="Times New Roman" w:hAnsi="Times New Roman"/>
                <w:color w:val="000000"/>
                <w:lang w:val="sk-SK" w:eastAsia="sk-SK"/>
              </w:rPr>
              <w:softHyphen/>
              <w:t xml:space="preserve">+ </w:t>
            </w:r>
            <w:r w:rsidRPr="00A6219D" w:rsidR="001A37AA">
              <w:rPr>
                <w:rFonts w:ascii="Times New Roman" w:hAnsi="Times New Roman"/>
                <w:color w:val="000000"/>
                <w:lang w:val="sk-SK" w:eastAsia="sk-SK"/>
              </w:rPr>
              <w:t>3475934</w:t>
            </w:r>
            <w:r w:rsidR="006E78EF">
              <w:rPr>
                <w:rFonts w:ascii="Times New Roman" w:hAnsi="Times New Roman"/>
                <w:color w:val="000000"/>
                <w:lang w:val="sk-SK" w:eastAsia="sk-SK"/>
              </w:rPr>
              <w:t>) = 3,35</w:t>
            </w:r>
          </w:p>
          <w:p w:rsidR="001A37AA" w:rsidP="0088479B">
            <w:pPr>
              <w:bidi w:val="0"/>
              <w:jc w:val="left"/>
              <w:rPr>
                <w:rFonts w:ascii="Times New Roman" w:hAnsi="Times New Roman"/>
                <w:color w:val="000000"/>
                <w:lang w:val="sk-SK" w:eastAsia="sk-SK"/>
              </w:rPr>
            </w:pPr>
          </w:p>
          <w:p w:rsidR="001A37AA" w:rsidP="0088479B">
            <w:pPr>
              <w:bidi w:val="0"/>
              <w:jc w:val="left"/>
              <w:rPr>
                <w:rFonts w:ascii="Times New Roman" w:hAnsi="Times New Roman"/>
                <w:color w:val="000000"/>
                <w:lang w:val="sk-SK" w:eastAsia="sk-SK"/>
              </w:rPr>
            </w:pPr>
            <w:r>
              <w:rPr>
                <w:rFonts w:ascii="Times New Roman" w:hAnsi="Times New Roman"/>
                <w:color w:val="000000"/>
                <w:lang w:val="sk-SK" w:eastAsia="sk-SK"/>
              </w:rPr>
              <w:t>Výpočet prevádzkových nákladov Dôvera podľa nového vzorca</w:t>
            </w:r>
          </w:p>
          <w:p w:rsidR="001A37AA" w:rsidP="001A37AA">
            <w:pPr>
              <w:bidi w:val="0"/>
              <w:jc w:val="left"/>
              <w:rPr>
                <w:rFonts w:ascii="Times New Roman" w:hAnsi="Times New Roman"/>
                <w:color w:val="000000"/>
                <w:lang w:val="sk-SK" w:eastAsia="sk-SK"/>
              </w:rPr>
            </w:pPr>
            <w:r w:rsidR="006E78EF">
              <w:rPr>
                <w:rFonts w:ascii="Times New Roman" w:hAnsi="Times New Roman"/>
                <w:color w:val="000000"/>
                <w:lang w:val="sk-SK" w:eastAsia="sk-SK"/>
              </w:rPr>
              <w:t>Limit = 2,9</w:t>
            </w:r>
            <w:r>
              <w:rPr>
                <w:rFonts w:ascii="Times New Roman" w:hAnsi="Times New Roman"/>
                <w:color w:val="000000"/>
                <w:lang w:val="sk-SK" w:eastAsia="sk-SK"/>
              </w:rPr>
              <w:t xml:space="preserve"> + (2000000/(1000000 </w:t>
            </w:r>
            <w:r>
              <w:rPr>
                <w:rFonts w:ascii="Times New Roman" w:hAnsi="Times New Roman"/>
                <w:color w:val="000000"/>
                <w:lang w:val="sk-SK" w:eastAsia="sk-SK"/>
              </w:rPr>
              <w:softHyphen/>
              <w:t xml:space="preserve">+ </w:t>
            </w:r>
            <w:r w:rsidRPr="00A6219D">
              <w:rPr>
                <w:rFonts w:ascii="Times New Roman" w:hAnsi="Times New Roman"/>
                <w:color w:val="000000"/>
                <w:lang w:val="sk-SK" w:eastAsia="sk-SK"/>
              </w:rPr>
              <w:t>1397307</w:t>
            </w:r>
            <w:r w:rsidR="006E78EF">
              <w:rPr>
                <w:rFonts w:ascii="Times New Roman" w:hAnsi="Times New Roman"/>
                <w:color w:val="000000"/>
                <w:lang w:val="sk-SK" w:eastAsia="sk-SK"/>
              </w:rPr>
              <w:t>) = 3,7</w:t>
            </w:r>
            <w:r>
              <w:rPr>
                <w:rFonts w:ascii="Times New Roman" w:hAnsi="Times New Roman"/>
                <w:color w:val="000000"/>
                <w:lang w:val="sk-SK" w:eastAsia="sk-SK"/>
              </w:rPr>
              <w:t>4</w:t>
            </w:r>
          </w:p>
          <w:p w:rsidR="001A37AA" w:rsidP="0088479B">
            <w:pPr>
              <w:bidi w:val="0"/>
              <w:jc w:val="left"/>
              <w:rPr>
                <w:rFonts w:ascii="Times New Roman" w:hAnsi="Times New Roman"/>
                <w:color w:val="000000"/>
                <w:lang w:val="sk-SK" w:eastAsia="sk-SK"/>
              </w:rPr>
            </w:pPr>
          </w:p>
          <w:p w:rsidR="001A37AA" w:rsidP="0088479B">
            <w:pPr>
              <w:bidi w:val="0"/>
              <w:jc w:val="left"/>
              <w:rPr>
                <w:rFonts w:ascii="Times New Roman" w:hAnsi="Times New Roman"/>
                <w:color w:val="000000"/>
                <w:lang w:val="sk-SK" w:eastAsia="sk-SK"/>
              </w:rPr>
            </w:pPr>
            <w:r>
              <w:rPr>
                <w:rFonts w:ascii="Times New Roman" w:hAnsi="Times New Roman"/>
                <w:color w:val="000000"/>
                <w:lang w:val="sk-SK" w:eastAsia="sk-SK"/>
              </w:rPr>
              <w:t>Výpočet prevádzkových nákladov Union podľa nového vzorca</w:t>
            </w:r>
          </w:p>
          <w:p w:rsidR="001A37AA" w:rsidP="001A37AA">
            <w:pPr>
              <w:bidi w:val="0"/>
              <w:jc w:val="left"/>
              <w:rPr>
                <w:rFonts w:ascii="Times New Roman" w:hAnsi="Times New Roman"/>
                <w:color w:val="000000"/>
                <w:lang w:val="sk-SK" w:eastAsia="sk-SK"/>
              </w:rPr>
            </w:pPr>
            <w:r>
              <w:rPr>
                <w:rFonts w:ascii="Times New Roman" w:hAnsi="Times New Roman"/>
                <w:color w:val="000000"/>
                <w:lang w:val="sk-SK" w:eastAsia="sk-SK"/>
              </w:rPr>
              <w:t xml:space="preserve">Limit = </w:t>
            </w:r>
            <w:r w:rsidR="006E78EF">
              <w:rPr>
                <w:rFonts w:ascii="Times New Roman" w:hAnsi="Times New Roman"/>
                <w:color w:val="000000"/>
                <w:lang w:val="sk-SK" w:eastAsia="sk-SK"/>
              </w:rPr>
              <w:t>2,9</w:t>
            </w:r>
            <w:r>
              <w:rPr>
                <w:rFonts w:ascii="Times New Roman" w:hAnsi="Times New Roman"/>
                <w:color w:val="000000"/>
                <w:lang w:val="sk-SK" w:eastAsia="sk-SK"/>
              </w:rPr>
              <w:t xml:space="preserve"> + (2000000/(1000000 </w:t>
            </w:r>
            <w:r>
              <w:rPr>
                <w:rFonts w:ascii="Times New Roman" w:hAnsi="Times New Roman"/>
                <w:color w:val="000000"/>
                <w:lang w:val="sk-SK" w:eastAsia="sk-SK"/>
              </w:rPr>
              <w:softHyphen/>
              <w:t xml:space="preserve">+ </w:t>
            </w:r>
            <w:r w:rsidRPr="00A6219D">
              <w:rPr>
                <w:rFonts w:ascii="Times New Roman" w:hAnsi="Times New Roman"/>
                <w:color w:val="000000"/>
                <w:lang w:val="sk-SK" w:eastAsia="sk-SK"/>
              </w:rPr>
              <w:t>385895</w:t>
            </w:r>
            <w:r>
              <w:rPr>
                <w:rFonts w:ascii="Times New Roman" w:hAnsi="Times New Roman"/>
                <w:color w:val="000000"/>
                <w:lang w:val="sk-SK" w:eastAsia="sk-SK"/>
              </w:rPr>
              <w:t xml:space="preserve">) = </w:t>
            </w:r>
            <w:r w:rsidR="004574CF">
              <w:rPr>
                <w:rFonts w:ascii="Times New Roman" w:hAnsi="Times New Roman"/>
                <w:color w:val="000000"/>
                <w:lang w:val="sk-SK" w:eastAsia="sk-SK"/>
              </w:rPr>
              <w:t>4</w:t>
            </w:r>
            <w:r w:rsidR="006E78EF">
              <w:rPr>
                <w:rFonts w:ascii="Times New Roman" w:hAnsi="Times New Roman"/>
                <w:color w:val="000000"/>
                <w:lang w:val="sk-SK" w:eastAsia="sk-SK"/>
              </w:rPr>
              <w:t>,3</w:t>
            </w:r>
            <w:r>
              <w:rPr>
                <w:rFonts w:ascii="Times New Roman" w:hAnsi="Times New Roman"/>
                <w:color w:val="000000"/>
                <w:lang w:val="sk-SK" w:eastAsia="sk-SK"/>
              </w:rPr>
              <w:t>5</w:t>
            </w:r>
          </w:p>
          <w:p w:rsidR="008C7547"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single" w:sz="4" w:space="0" w:color="auto"/>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VšZP</w:t>
            </w:r>
          </w:p>
        </w:tc>
        <w:tc>
          <w:tcPr>
            <w:tcW w:w="17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2011</w:t>
            </w:r>
          </w:p>
        </w:tc>
        <w:tc>
          <w:tcPr>
            <w:tcW w:w="23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2012</w:t>
            </w:r>
          </w:p>
        </w:tc>
        <w:tc>
          <w:tcPr>
            <w:tcW w:w="184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2013</w:t>
            </w:r>
          </w:p>
        </w:tc>
        <w:tc>
          <w:tcPr>
            <w:tcW w:w="178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2014</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004574CF">
              <w:rPr>
                <w:rFonts w:ascii="Times New Roman" w:hAnsi="Times New Roman"/>
                <w:b/>
                <w:bCs/>
                <w:color w:val="000000"/>
                <w:lang w:val="sk-SK" w:eastAsia="sk-SK"/>
              </w:rPr>
              <w:t>Úhrn poistného pred prerozdelením</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4574CF">
              <w:rPr>
                <w:rFonts w:ascii="Times New Roman" w:hAnsi="Times New Roman"/>
                <w:color w:val="000000"/>
                <w:lang w:val="sk-SK" w:eastAsia="sk-SK"/>
              </w:rPr>
              <w:t>2 470 357 142</w:t>
            </w:r>
          </w:p>
        </w:tc>
        <w:tc>
          <w:tcPr>
            <w:tcW w:w="2320" w:type="dxa"/>
            <w:tcBorders>
              <w:top w:val="nil"/>
              <w:left w:val="nil"/>
              <w:bottom w:val="single" w:sz="4" w:space="0" w:color="auto"/>
              <w:right w:val="single" w:sz="4" w:space="0" w:color="auto"/>
            </w:tcBorders>
            <w:noWrap/>
            <w:textDirection w:val="lrTb"/>
            <w:vAlign w:val="bottom"/>
          </w:tcPr>
          <w:p w:rsidR="00A6219D" w:rsidRPr="00A6219D" w:rsidP="004574CF">
            <w:pPr>
              <w:bidi w:val="0"/>
              <w:jc w:val="right"/>
              <w:rPr>
                <w:rFonts w:ascii="Times New Roman" w:hAnsi="Times New Roman"/>
                <w:color w:val="000000"/>
                <w:lang w:val="sk-SK" w:eastAsia="sk-SK"/>
              </w:rPr>
            </w:pPr>
            <w:r w:rsidR="004574CF">
              <w:rPr>
                <w:rFonts w:ascii="Times New Roman" w:hAnsi="Times New Roman"/>
                <w:color w:val="000000"/>
                <w:lang w:val="sk-SK" w:eastAsia="sk-SK"/>
              </w:rPr>
              <w:t>2 574 912 000</w:t>
            </w:r>
          </w:p>
        </w:tc>
        <w:tc>
          <w:tcPr>
            <w:tcW w:w="184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4574CF">
              <w:rPr>
                <w:rFonts w:ascii="Times New Roman" w:hAnsi="Times New Roman"/>
                <w:color w:val="000000"/>
                <w:lang w:val="sk-SK" w:eastAsia="sk-SK"/>
              </w:rPr>
              <w:t>2 758 600 000</w:t>
            </w:r>
          </w:p>
        </w:tc>
        <w:tc>
          <w:tcPr>
            <w:tcW w:w="1780" w:type="dxa"/>
            <w:tcBorders>
              <w:top w:val="nil"/>
              <w:left w:val="nil"/>
              <w:bottom w:val="single" w:sz="4" w:space="0" w:color="auto"/>
              <w:right w:val="single" w:sz="4" w:space="0" w:color="auto"/>
            </w:tcBorders>
            <w:noWrap/>
            <w:textDirection w:val="lrTb"/>
            <w:vAlign w:val="bottom"/>
          </w:tcPr>
          <w:p w:rsidR="00A6219D" w:rsidRPr="00A6219D" w:rsidP="004574CF">
            <w:pPr>
              <w:bidi w:val="0"/>
              <w:jc w:val="right"/>
              <w:rPr>
                <w:rFonts w:ascii="Times New Roman" w:hAnsi="Times New Roman"/>
                <w:color w:val="000000"/>
                <w:lang w:val="sk-SK" w:eastAsia="sk-SK"/>
              </w:rPr>
            </w:pPr>
            <w:r w:rsidR="004574CF">
              <w:rPr>
                <w:rFonts w:ascii="Times New Roman" w:hAnsi="Times New Roman"/>
                <w:color w:val="000000"/>
                <w:lang w:val="sk-SK" w:eastAsia="sk-SK"/>
              </w:rPr>
              <w:t>2 975 140 000</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3,5%</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4574CF">
              <w:rPr>
                <w:rFonts w:ascii="Times New Roman" w:hAnsi="Times New Roman"/>
                <w:color w:val="000000"/>
                <w:lang w:val="sk-SK" w:eastAsia="sk-SK"/>
              </w:rPr>
              <w:t>86 462 500</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051F1C">
              <w:rPr>
                <w:rFonts w:ascii="Times New Roman" w:hAnsi="Times New Roman"/>
                <w:color w:val="000000"/>
                <w:lang w:val="sk-SK" w:eastAsia="sk-SK"/>
              </w:rPr>
              <w:t>90 121 920</w:t>
            </w:r>
          </w:p>
        </w:tc>
        <w:tc>
          <w:tcPr>
            <w:tcW w:w="184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C72DB5">
              <w:rPr>
                <w:rFonts w:ascii="Times New Roman" w:hAnsi="Times New Roman"/>
                <w:color w:val="000000"/>
                <w:lang w:val="sk-SK" w:eastAsia="sk-SK"/>
              </w:rPr>
              <w:t>96 551 000</w:t>
            </w:r>
          </w:p>
        </w:tc>
        <w:tc>
          <w:tcPr>
            <w:tcW w:w="178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3B1FF7">
              <w:rPr>
                <w:rFonts w:ascii="Times New Roman" w:hAnsi="Times New Roman"/>
                <w:color w:val="000000"/>
                <w:lang w:val="sk-SK" w:eastAsia="sk-SK"/>
              </w:rPr>
              <w:t>104 129 900</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nový vzorec</w:t>
            </w:r>
            <w:r>
              <w:rPr>
                <w:rFonts w:ascii="Times New Roman" w:hAnsi="Times New Roman"/>
                <w:b/>
                <w:bCs/>
                <w:color w:val="000000"/>
                <w:lang w:val="sk-SK" w:eastAsia="sk-SK"/>
              </w:rPr>
              <w:t xml:space="preserve"> </w:t>
            </w:r>
            <w:r>
              <w:rPr>
                <w:rFonts w:ascii="Times New Roman" w:hAnsi="Times New Roman"/>
                <w:color w:val="000000"/>
                <w:lang w:val="sk-SK" w:eastAsia="sk-SK"/>
              </w:rPr>
              <w:t>3,35%</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82 756 964</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86 259 552</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92 413 100</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99 667 190</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Rozdiel</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-3 705 536</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-3 862 368</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-4 137 900</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-4 462 710</w:t>
            </w:r>
          </w:p>
        </w:tc>
      </w:tr>
      <w:tr>
        <w:tblPrEx>
          <w:tblW w:w="10554" w:type="dxa"/>
          <w:tblInd w:w="-639" w:type="dxa"/>
          <w:tblCellMar>
            <w:left w:w="70" w:type="dxa"/>
            <w:right w:w="70" w:type="dxa"/>
          </w:tblCellMar>
          <w:tblLook w:val="04A0"/>
        </w:tblPrEx>
        <w:trPr>
          <w:trHeight w:val="300"/>
        </w:trPr>
        <w:tc>
          <w:tcPr>
            <w:tcW w:w="2894"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2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232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single" w:sz="4" w:space="0" w:color="auto"/>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Dôvera</w:t>
            </w:r>
          </w:p>
        </w:tc>
        <w:tc>
          <w:tcPr>
            <w:tcW w:w="17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2011</w:t>
            </w:r>
          </w:p>
        </w:tc>
        <w:tc>
          <w:tcPr>
            <w:tcW w:w="23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2012</w:t>
            </w:r>
          </w:p>
        </w:tc>
        <w:tc>
          <w:tcPr>
            <w:tcW w:w="184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2013</w:t>
            </w:r>
          </w:p>
        </w:tc>
        <w:tc>
          <w:tcPr>
            <w:tcW w:w="178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2014</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00F871EE">
              <w:rPr>
                <w:rFonts w:ascii="Times New Roman" w:hAnsi="Times New Roman"/>
                <w:b/>
                <w:bCs/>
                <w:color w:val="000000"/>
                <w:lang w:val="sk-SK" w:eastAsia="sk-SK"/>
              </w:rPr>
              <w:t>Úhrn poistného pred prerozdelením</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922 000 000</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975 383 800</w:t>
            </w:r>
          </w:p>
        </w:tc>
        <w:tc>
          <w:tcPr>
            <w:tcW w:w="184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1 031 858 522</w:t>
            </w:r>
          </w:p>
        </w:tc>
        <w:tc>
          <w:tcPr>
            <w:tcW w:w="178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1 091 190 387</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3,5%</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32</w:t>
            </w:r>
            <w:r w:rsidR="00B6492B">
              <w:rPr>
                <w:rFonts w:ascii="Times New Roman" w:hAnsi="Times New Roman"/>
                <w:color w:val="000000"/>
                <w:lang w:val="sk-SK" w:eastAsia="sk-SK"/>
              </w:rPr>
              <w:t> </w:t>
            </w:r>
            <w:r w:rsidRPr="00A6219D">
              <w:rPr>
                <w:rFonts w:ascii="Times New Roman" w:hAnsi="Times New Roman"/>
                <w:color w:val="000000"/>
                <w:lang w:val="sk-SK" w:eastAsia="sk-SK"/>
              </w:rPr>
              <w:t>270</w:t>
            </w:r>
            <w:r w:rsidR="00B6492B">
              <w:rPr>
                <w:rFonts w:ascii="Times New Roman" w:hAnsi="Times New Roman"/>
                <w:color w:val="000000"/>
                <w:lang w:val="sk-SK" w:eastAsia="sk-SK"/>
              </w:rPr>
              <w:t xml:space="preserve"> </w:t>
            </w:r>
            <w:r w:rsidRPr="00A6219D">
              <w:rPr>
                <w:rFonts w:ascii="Times New Roman" w:hAnsi="Times New Roman"/>
                <w:color w:val="000000"/>
                <w:lang w:val="sk-SK" w:eastAsia="sk-SK"/>
              </w:rPr>
              <w:t>000</w:t>
            </w:r>
          </w:p>
        </w:tc>
        <w:tc>
          <w:tcPr>
            <w:tcW w:w="23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34</w:t>
            </w:r>
            <w:r w:rsidR="00B6492B">
              <w:rPr>
                <w:rFonts w:ascii="Times New Roman" w:hAnsi="Times New Roman"/>
                <w:color w:val="000000"/>
                <w:lang w:val="sk-SK" w:eastAsia="sk-SK"/>
              </w:rPr>
              <w:t> </w:t>
            </w:r>
            <w:r w:rsidRPr="00A6219D">
              <w:rPr>
                <w:rFonts w:ascii="Times New Roman" w:hAnsi="Times New Roman"/>
                <w:color w:val="000000"/>
                <w:lang w:val="sk-SK" w:eastAsia="sk-SK"/>
              </w:rPr>
              <w:t>138</w:t>
            </w:r>
            <w:r w:rsidR="00B6492B">
              <w:rPr>
                <w:rFonts w:ascii="Times New Roman" w:hAnsi="Times New Roman"/>
                <w:color w:val="000000"/>
                <w:lang w:val="sk-SK" w:eastAsia="sk-SK"/>
              </w:rPr>
              <w:t xml:space="preserve"> </w:t>
            </w:r>
            <w:r w:rsidRPr="00A6219D">
              <w:rPr>
                <w:rFonts w:ascii="Times New Roman" w:hAnsi="Times New Roman"/>
                <w:color w:val="000000"/>
                <w:lang w:val="sk-SK" w:eastAsia="sk-SK"/>
              </w:rPr>
              <w:t>433</w:t>
            </w:r>
          </w:p>
        </w:tc>
        <w:tc>
          <w:tcPr>
            <w:tcW w:w="1840" w:type="dxa"/>
            <w:tcBorders>
              <w:top w:val="nil"/>
              <w:left w:val="nil"/>
              <w:bottom w:val="single" w:sz="4" w:space="0" w:color="auto"/>
              <w:right w:val="single" w:sz="4" w:space="0" w:color="auto"/>
            </w:tcBorders>
            <w:noWrap/>
            <w:textDirection w:val="lrTb"/>
            <w:vAlign w:val="bottom"/>
          </w:tcPr>
          <w:p w:rsidR="00A6219D" w:rsidRPr="00A6219D" w:rsidP="008B66EA">
            <w:pPr>
              <w:bidi w:val="0"/>
              <w:jc w:val="right"/>
              <w:rPr>
                <w:rFonts w:ascii="Times New Roman" w:hAnsi="Times New Roman"/>
                <w:color w:val="000000"/>
                <w:lang w:val="sk-SK" w:eastAsia="sk-SK"/>
              </w:rPr>
            </w:pPr>
            <w:r w:rsidRPr="00A6219D">
              <w:rPr>
                <w:rFonts w:ascii="Times New Roman" w:hAnsi="Times New Roman"/>
                <w:color w:val="000000"/>
                <w:lang w:val="sk-SK" w:eastAsia="sk-SK"/>
              </w:rPr>
              <w:t>36</w:t>
            </w:r>
            <w:r w:rsidR="008B66EA">
              <w:rPr>
                <w:rFonts w:ascii="Times New Roman" w:hAnsi="Times New Roman"/>
                <w:color w:val="000000"/>
                <w:lang w:val="sk-SK" w:eastAsia="sk-SK"/>
              </w:rPr>
              <w:t> </w:t>
            </w:r>
            <w:r w:rsidRPr="00A6219D">
              <w:rPr>
                <w:rFonts w:ascii="Times New Roman" w:hAnsi="Times New Roman"/>
                <w:color w:val="000000"/>
                <w:lang w:val="sk-SK" w:eastAsia="sk-SK"/>
              </w:rPr>
              <w:t>115</w:t>
            </w:r>
            <w:r w:rsidR="008B66EA">
              <w:rPr>
                <w:rFonts w:ascii="Times New Roman" w:hAnsi="Times New Roman"/>
                <w:color w:val="000000"/>
                <w:lang w:val="sk-SK" w:eastAsia="sk-SK"/>
              </w:rPr>
              <w:t xml:space="preserve"> </w:t>
            </w:r>
            <w:r w:rsidRPr="00A6219D">
              <w:rPr>
                <w:rFonts w:ascii="Times New Roman" w:hAnsi="Times New Roman"/>
                <w:color w:val="000000"/>
                <w:lang w:val="sk-SK" w:eastAsia="sk-SK"/>
              </w:rPr>
              <w:t>048</w:t>
            </w:r>
          </w:p>
        </w:tc>
        <w:tc>
          <w:tcPr>
            <w:tcW w:w="1780" w:type="dxa"/>
            <w:tcBorders>
              <w:top w:val="nil"/>
              <w:left w:val="nil"/>
              <w:bottom w:val="single" w:sz="4" w:space="0" w:color="auto"/>
              <w:right w:val="single" w:sz="4" w:space="0" w:color="auto"/>
            </w:tcBorders>
            <w:noWrap/>
            <w:textDirection w:val="lrTb"/>
            <w:vAlign w:val="bottom"/>
          </w:tcPr>
          <w:p w:rsidR="00A6219D" w:rsidRPr="00A6219D" w:rsidP="00F871EE">
            <w:pPr>
              <w:bidi w:val="0"/>
              <w:jc w:val="right"/>
              <w:rPr>
                <w:rFonts w:ascii="Times New Roman" w:hAnsi="Times New Roman"/>
                <w:color w:val="000000"/>
                <w:lang w:val="sk-SK" w:eastAsia="sk-SK"/>
              </w:rPr>
            </w:pPr>
            <w:r w:rsidRPr="00A6219D">
              <w:rPr>
                <w:rFonts w:ascii="Times New Roman" w:hAnsi="Times New Roman"/>
                <w:color w:val="000000"/>
                <w:lang w:val="sk-SK" w:eastAsia="sk-SK"/>
              </w:rPr>
              <w:t>38</w:t>
            </w:r>
            <w:r w:rsidR="00F871EE">
              <w:rPr>
                <w:rFonts w:ascii="Times New Roman" w:hAnsi="Times New Roman"/>
                <w:color w:val="000000"/>
                <w:lang w:val="sk-SK" w:eastAsia="sk-SK"/>
              </w:rPr>
              <w:t> </w:t>
            </w:r>
            <w:r w:rsidRPr="00A6219D">
              <w:rPr>
                <w:rFonts w:ascii="Times New Roman" w:hAnsi="Times New Roman"/>
                <w:color w:val="000000"/>
                <w:lang w:val="sk-SK" w:eastAsia="sk-SK"/>
              </w:rPr>
              <w:t>191</w:t>
            </w:r>
            <w:r w:rsidR="00F871EE">
              <w:rPr>
                <w:rFonts w:ascii="Times New Roman" w:hAnsi="Times New Roman"/>
                <w:color w:val="000000"/>
                <w:lang w:val="sk-SK" w:eastAsia="sk-SK"/>
              </w:rPr>
              <w:t xml:space="preserve"> </w:t>
            </w:r>
            <w:r w:rsidRPr="00A6219D">
              <w:rPr>
                <w:rFonts w:ascii="Times New Roman" w:hAnsi="Times New Roman"/>
                <w:color w:val="000000"/>
                <w:lang w:val="sk-SK" w:eastAsia="sk-SK"/>
              </w:rPr>
              <w:t>66</w:t>
            </w:r>
            <w:r w:rsidR="00F871EE">
              <w:rPr>
                <w:rFonts w:ascii="Times New Roman" w:hAnsi="Times New Roman"/>
                <w:color w:val="000000"/>
                <w:lang w:val="sk-SK" w:eastAsia="sk-SK"/>
              </w:rPr>
              <w:t>4</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nový vzorec</w:t>
            </w:r>
            <w:r>
              <w:rPr>
                <w:rFonts w:ascii="Times New Roman" w:hAnsi="Times New Roman"/>
                <w:b/>
                <w:bCs/>
                <w:color w:val="000000"/>
                <w:lang w:val="sk-SK" w:eastAsia="sk-SK"/>
              </w:rPr>
              <w:t xml:space="preserve"> </w:t>
            </w:r>
            <w:r>
              <w:rPr>
                <w:rFonts w:ascii="Times New Roman" w:hAnsi="Times New Roman"/>
                <w:color w:val="000000"/>
                <w:lang w:val="sk-SK" w:eastAsia="sk-SK"/>
              </w:rPr>
              <w:t>3,74%</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34 482 800</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36 479 354</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38 591 509</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40 810 520</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Rozdiel</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2 212 800</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2 340 921</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2 476 461</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2 618 856</w:t>
            </w:r>
          </w:p>
        </w:tc>
      </w:tr>
      <w:tr>
        <w:tblPrEx>
          <w:tblW w:w="10554" w:type="dxa"/>
          <w:tblInd w:w="-639" w:type="dxa"/>
          <w:tblCellMar>
            <w:left w:w="70" w:type="dxa"/>
            <w:right w:w="70" w:type="dxa"/>
          </w:tblCellMar>
          <w:tblLook w:val="04A0"/>
        </w:tblPrEx>
        <w:trPr>
          <w:trHeight w:val="300"/>
        </w:trPr>
        <w:tc>
          <w:tcPr>
            <w:tcW w:w="2894"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2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232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84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c>
          <w:tcPr>
            <w:tcW w:w="1780" w:type="dxa"/>
            <w:tcBorders>
              <w:top w:val="nil"/>
              <w:left w:val="nil"/>
              <w:bottom w:val="nil"/>
              <w:right w:val="nil"/>
            </w:tcBorders>
            <w:noWrap/>
            <w:textDirection w:val="lrTb"/>
            <w:vAlign w:val="bottom"/>
          </w:tcPr>
          <w:p w:rsidR="00A6219D" w:rsidRPr="00A6219D" w:rsidP="0088479B">
            <w:pPr>
              <w:bidi w:val="0"/>
              <w:jc w:val="left"/>
              <w:rPr>
                <w:rFonts w:ascii="Times New Roman" w:hAnsi="Times New Roman"/>
                <w:color w:val="000000"/>
                <w:lang w:val="sk-SK" w:eastAsia="sk-SK"/>
              </w:rPr>
            </w:pPr>
          </w:p>
        </w:tc>
      </w:tr>
      <w:tr>
        <w:tblPrEx>
          <w:tblW w:w="10554" w:type="dxa"/>
          <w:tblInd w:w="-639" w:type="dxa"/>
          <w:tblCellMar>
            <w:left w:w="70" w:type="dxa"/>
            <w:right w:w="70" w:type="dxa"/>
          </w:tblCellMar>
          <w:tblLook w:val="04A0"/>
        </w:tblPrEx>
        <w:trPr>
          <w:trHeight w:val="300"/>
        </w:trPr>
        <w:tc>
          <w:tcPr>
            <w:tcW w:w="2894" w:type="dxa"/>
            <w:tcBorders>
              <w:top w:val="single" w:sz="4" w:space="0" w:color="auto"/>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Union</w:t>
            </w:r>
          </w:p>
        </w:tc>
        <w:tc>
          <w:tcPr>
            <w:tcW w:w="17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2011</w:t>
            </w:r>
          </w:p>
        </w:tc>
        <w:tc>
          <w:tcPr>
            <w:tcW w:w="232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2012</w:t>
            </w:r>
          </w:p>
        </w:tc>
        <w:tc>
          <w:tcPr>
            <w:tcW w:w="184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2013</w:t>
            </w:r>
          </w:p>
        </w:tc>
        <w:tc>
          <w:tcPr>
            <w:tcW w:w="1780" w:type="dxa"/>
            <w:tcBorders>
              <w:top w:val="single" w:sz="4" w:space="0" w:color="auto"/>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b/>
                <w:bCs/>
                <w:color w:val="000000"/>
                <w:lang w:val="sk-SK" w:eastAsia="sk-SK"/>
              </w:rPr>
            </w:pPr>
            <w:r w:rsidRPr="00A6219D">
              <w:rPr>
                <w:rFonts w:ascii="Times New Roman" w:hAnsi="Times New Roman"/>
                <w:b/>
                <w:bCs/>
                <w:color w:val="000000"/>
                <w:lang w:val="sk-SK" w:eastAsia="sk-SK"/>
              </w:rPr>
              <w:t>2014</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00F871EE">
              <w:rPr>
                <w:rFonts w:ascii="Times New Roman" w:hAnsi="Times New Roman"/>
                <w:b/>
                <w:bCs/>
                <w:color w:val="000000"/>
                <w:lang w:val="sk-SK" w:eastAsia="sk-SK"/>
              </w:rPr>
              <w:t>Úhrn poistného pred prerozdelením</w:t>
            </w:r>
          </w:p>
        </w:tc>
        <w:tc>
          <w:tcPr>
            <w:tcW w:w="172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216</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765</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439</w:t>
            </w:r>
          </w:p>
        </w:tc>
        <w:tc>
          <w:tcPr>
            <w:tcW w:w="2320" w:type="dxa"/>
            <w:tcBorders>
              <w:top w:val="nil"/>
              <w:left w:val="nil"/>
              <w:bottom w:val="single" w:sz="4" w:space="0" w:color="auto"/>
              <w:right w:val="single" w:sz="4" w:space="0" w:color="auto"/>
            </w:tcBorders>
            <w:noWrap/>
            <w:textDirection w:val="lrTb"/>
            <w:vAlign w:val="bottom"/>
          </w:tcPr>
          <w:p w:rsidR="00A6219D" w:rsidRPr="00A6219D" w:rsidP="003B1FF7">
            <w:pPr>
              <w:bidi w:val="0"/>
              <w:jc w:val="right"/>
              <w:rPr>
                <w:rFonts w:ascii="Times New Roman" w:hAnsi="Times New Roman"/>
                <w:color w:val="000000"/>
                <w:lang w:val="sk-SK" w:eastAsia="sk-SK"/>
              </w:rPr>
            </w:pPr>
            <w:r w:rsidRPr="00A6219D">
              <w:rPr>
                <w:rFonts w:ascii="Times New Roman" w:hAnsi="Times New Roman"/>
                <w:color w:val="000000"/>
                <w:lang w:val="sk-SK" w:eastAsia="sk-SK"/>
              </w:rPr>
              <w:t>229</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316</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15</w:t>
            </w:r>
            <w:r w:rsidR="003B1FF7">
              <w:rPr>
                <w:rFonts w:ascii="Times New Roman" w:hAnsi="Times New Roman"/>
                <w:color w:val="000000"/>
                <w:lang w:val="sk-SK" w:eastAsia="sk-SK"/>
              </w:rPr>
              <w:t>8</w:t>
            </w:r>
          </w:p>
        </w:tc>
        <w:tc>
          <w:tcPr>
            <w:tcW w:w="184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Pr="00A6219D">
              <w:rPr>
                <w:rFonts w:ascii="Times New Roman" w:hAnsi="Times New Roman"/>
                <w:color w:val="000000"/>
                <w:lang w:val="sk-SK" w:eastAsia="sk-SK"/>
              </w:rPr>
              <w:t>242</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593</w:t>
            </w:r>
            <w:r w:rsidR="003B1FF7">
              <w:rPr>
                <w:rFonts w:ascii="Times New Roman" w:hAnsi="Times New Roman"/>
                <w:color w:val="000000"/>
                <w:lang w:val="sk-SK" w:eastAsia="sk-SK"/>
              </w:rPr>
              <w:t xml:space="preserve"> </w:t>
            </w:r>
            <w:r w:rsidRPr="00A6219D">
              <w:rPr>
                <w:rFonts w:ascii="Times New Roman" w:hAnsi="Times New Roman"/>
                <w:color w:val="000000"/>
                <w:lang w:val="sk-SK" w:eastAsia="sk-SK"/>
              </w:rPr>
              <w:t>56</w:t>
            </w:r>
            <w:r w:rsidR="003B1FF7">
              <w:rPr>
                <w:rFonts w:ascii="Times New Roman" w:hAnsi="Times New Roman"/>
                <w:color w:val="000000"/>
                <w:lang w:val="sk-SK" w:eastAsia="sk-SK"/>
              </w:rPr>
              <w:t>4</w:t>
            </w:r>
          </w:p>
        </w:tc>
        <w:tc>
          <w:tcPr>
            <w:tcW w:w="178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3B1FF7">
              <w:rPr>
                <w:rFonts w:ascii="Times New Roman" w:hAnsi="Times New Roman"/>
                <w:color w:val="000000"/>
                <w:lang w:val="sk-SK" w:eastAsia="sk-SK"/>
              </w:rPr>
              <w:t>256 639 731</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A6219D"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3,5%</w:t>
            </w:r>
          </w:p>
        </w:tc>
        <w:tc>
          <w:tcPr>
            <w:tcW w:w="1720" w:type="dxa"/>
            <w:tcBorders>
              <w:top w:val="nil"/>
              <w:left w:val="nil"/>
              <w:bottom w:val="single" w:sz="4" w:space="0" w:color="auto"/>
              <w:right w:val="single" w:sz="4" w:space="0" w:color="auto"/>
            </w:tcBorders>
            <w:noWrap/>
            <w:textDirection w:val="lrTb"/>
            <w:vAlign w:val="bottom"/>
          </w:tcPr>
          <w:p w:rsidR="00A6219D" w:rsidRPr="00A6219D" w:rsidP="00BC34E7">
            <w:pPr>
              <w:bidi w:val="0"/>
              <w:jc w:val="right"/>
              <w:rPr>
                <w:rFonts w:ascii="Times New Roman" w:hAnsi="Times New Roman"/>
                <w:color w:val="000000"/>
                <w:lang w:val="sk-SK" w:eastAsia="sk-SK"/>
              </w:rPr>
            </w:pPr>
            <w:r w:rsidRPr="00A6219D">
              <w:rPr>
                <w:rFonts w:ascii="Times New Roman" w:hAnsi="Times New Roman"/>
                <w:color w:val="000000"/>
                <w:lang w:val="sk-SK" w:eastAsia="sk-SK"/>
              </w:rPr>
              <w:t>7</w:t>
            </w:r>
            <w:r w:rsidR="00BC34E7">
              <w:rPr>
                <w:rFonts w:ascii="Times New Roman" w:hAnsi="Times New Roman"/>
                <w:color w:val="000000"/>
                <w:lang w:val="sk-SK" w:eastAsia="sk-SK"/>
              </w:rPr>
              <w:t> </w:t>
            </w:r>
            <w:r w:rsidRPr="00A6219D">
              <w:rPr>
                <w:rFonts w:ascii="Times New Roman" w:hAnsi="Times New Roman"/>
                <w:color w:val="000000"/>
                <w:lang w:val="sk-SK" w:eastAsia="sk-SK"/>
              </w:rPr>
              <w:t>586</w:t>
            </w:r>
            <w:r w:rsidR="00BC34E7">
              <w:rPr>
                <w:rFonts w:ascii="Times New Roman" w:hAnsi="Times New Roman"/>
                <w:color w:val="000000"/>
                <w:lang w:val="sk-SK" w:eastAsia="sk-SK"/>
              </w:rPr>
              <w:t xml:space="preserve"> </w:t>
            </w:r>
            <w:r w:rsidRPr="00A6219D">
              <w:rPr>
                <w:rFonts w:ascii="Times New Roman" w:hAnsi="Times New Roman"/>
                <w:color w:val="000000"/>
                <w:lang w:val="sk-SK" w:eastAsia="sk-SK"/>
              </w:rPr>
              <w:t>790</w:t>
            </w:r>
          </w:p>
        </w:tc>
        <w:tc>
          <w:tcPr>
            <w:tcW w:w="2320" w:type="dxa"/>
            <w:tcBorders>
              <w:top w:val="nil"/>
              <w:left w:val="nil"/>
              <w:bottom w:val="single" w:sz="4" w:space="0" w:color="auto"/>
              <w:right w:val="single" w:sz="4" w:space="0" w:color="auto"/>
            </w:tcBorders>
            <w:noWrap/>
            <w:textDirection w:val="lrTb"/>
            <w:vAlign w:val="bottom"/>
          </w:tcPr>
          <w:p w:rsidR="00A6219D" w:rsidRPr="00A6219D" w:rsidP="00BC34E7">
            <w:pPr>
              <w:bidi w:val="0"/>
              <w:jc w:val="right"/>
              <w:rPr>
                <w:rFonts w:ascii="Times New Roman" w:hAnsi="Times New Roman"/>
                <w:color w:val="000000"/>
                <w:lang w:val="sk-SK" w:eastAsia="sk-SK"/>
              </w:rPr>
            </w:pPr>
            <w:r w:rsidRPr="00A6219D">
              <w:rPr>
                <w:rFonts w:ascii="Times New Roman" w:hAnsi="Times New Roman"/>
                <w:color w:val="000000"/>
                <w:lang w:val="sk-SK" w:eastAsia="sk-SK"/>
              </w:rPr>
              <w:t>8</w:t>
            </w:r>
            <w:r w:rsidR="00BC34E7">
              <w:rPr>
                <w:rFonts w:ascii="Times New Roman" w:hAnsi="Times New Roman"/>
                <w:color w:val="000000"/>
                <w:lang w:val="sk-SK" w:eastAsia="sk-SK"/>
              </w:rPr>
              <w:t> </w:t>
            </w:r>
            <w:r w:rsidRPr="00A6219D">
              <w:rPr>
                <w:rFonts w:ascii="Times New Roman" w:hAnsi="Times New Roman"/>
                <w:color w:val="000000"/>
                <w:lang w:val="sk-SK" w:eastAsia="sk-SK"/>
              </w:rPr>
              <w:t>026</w:t>
            </w:r>
            <w:r w:rsidR="00BC34E7">
              <w:rPr>
                <w:rFonts w:ascii="Times New Roman" w:hAnsi="Times New Roman"/>
                <w:color w:val="000000"/>
                <w:lang w:val="sk-SK" w:eastAsia="sk-SK"/>
              </w:rPr>
              <w:t xml:space="preserve"> </w:t>
            </w:r>
            <w:r w:rsidRPr="00A6219D">
              <w:rPr>
                <w:rFonts w:ascii="Times New Roman" w:hAnsi="Times New Roman"/>
                <w:color w:val="000000"/>
                <w:lang w:val="sk-SK" w:eastAsia="sk-SK"/>
              </w:rPr>
              <w:t>065</w:t>
            </w:r>
          </w:p>
        </w:tc>
        <w:tc>
          <w:tcPr>
            <w:tcW w:w="184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4E6B33">
              <w:rPr>
                <w:rFonts w:ascii="Times New Roman" w:hAnsi="Times New Roman"/>
                <w:color w:val="000000"/>
                <w:lang w:val="sk-SK" w:eastAsia="sk-SK"/>
              </w:rPr>
              <w:t>8 490 774</w:t>
            </w:r>
          </w:p>
        </w:tc>
        <w:tc>
          <w:tcPr>
            <w:tcW w:w="1780" w:type="dxa"/>
            <w:tcBorders>
              <w:top w:val="nil"/>
              <w:left w:val="nil"/>
              <w:bottom w:val="single" w:sz="4" w:space="0" w:color="auto"/>
              <w:right w:val="single" w:sz="4" w:space="0" w:color="auto"/>
            </w:tcBorders>
            <w:noWrap/>
            <w:textDirection w:val="lrTb"/>
            <w:vAlign w:val="bottom"/>
          </w:tcPr>
          <w:p w:rsidR="00A6219D" w:rsidRPr="00A6219D" w:rsidP="0088479B">
            <w:pPr>
              <w:bidi w:val="0"/>
              <w:jc w:val="right"/>
              <w:rPr>
                <w:rFonts w:ascii="Times New Roman" w:hAnsi="Times New Roman"/>
                <w:color w:val="000000"/>
                <w:lang w:val="sk-SK" w:eastAsia="sk-SK"/>
              </w:rPr>
            </w:pPr>
            <w:r w:rsidR="004E6B33">
              <w:rPr>
                <w:rFonts w:ascii="Times New Roman" w:hAnsi="Times New Roman"/>
                <w:color w:val="000000"/>
                <w:lang w:val="sk-SK" w:eastAsia="sk-SK"/>
              </w:rPr>
              <w:t>8 982 391</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Pr>
                <w:rFonts w:ascii="Times New Roman" w:hAnsi="Times New Roman"/>
                <w:b/>
                <w:bCs/>
                <w:color w:val="000000"/>
                <w:lang w:val="sk-SK" w:eastAsia="sk-SK"/>
              </w:rPr>
              <w:t>správa nový vzorec</w:t>
            </w:r>
            <w:r>
              <w:rPr>
                <w:rFonts w:ascii="Times New Roman" w:hAnsi="Times New Roman"/>
                <w:b/>
                <w:bCs/>
                <w:color w:val="000000"/>
                <w:lang w:val="sk-SK" w:eastAsia="sk-SK"/>
              </w:rPr>
              <w:t xml:space="preserve"> </w:t>
            </w:r>
            <w:r>
              <w:rPr>
                <w:rFonts w:ascii="Times New Roman" w:hAnsi="Times New Roman"/>
                <w:color w:val="000000"/>
                <w:lang w:val="sk-SK" w:eastAsia="sk-SK"/>
              </w:rPr>
              <w:t>4,35%</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9 429 297</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9 975 253</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10 552 820</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Calibri" w:hAnsi="Calibri"/>
                <w:color w:val="000000"/>
                <w:sz w:val="22"/>
                <w:szCs w:val="22"/>
              </w:rPr>
            </w:pPr>
            <w:r>
              <w:rPr>
                <w:rFonts w:ascii="Calibri" w:hAnsi="Calibri"/>
                <w:color w:val="000000"/>
                <w:sz w:val="22"/>
                <w:szCs w:val="22"/>
              </w:rPr>
              <w:t>11 163 828</w:t>
            </w:r>
          </w:p>
        </w:tc>
      </w:tr>
      <w:tr>
        <w:tblPrEx>
          <w:tblW w:w="10554" w:type="dxa"/>
          <w:tblInd w:w="-639" w:type="dxa"/>
          <w:tblCellMar>
            <w:left w:w="70" w:type="dxa"/>
            <w:right w:w="70" w:type="dxa"/>
          </w:tblCellMar>
          <w:tblLook w:val="04A0"/>
        </w:tblPrEx>
        <w:trPr>
          <w:trHeight w:val="300"/>
        </w:trPr>
        <w:tc>
          <w:tcPr>
            <w:tcW w:w="2894" w:type="dxa"/>
            <w:tcBorders>
              <w:top w:val="nil"/>
              <w:left w:val="single" w:sz="4" w:space="0" w:color="auto"/>
              <w:bottom w:val="single" w:sz="4" w:space="0" w:color="auto"/>
              <w:right w:val="single" w:sz="4" w:space="0" w:color="auto"/>
            </w:tcBorders>
            <w:noWrap/>
            <w:textDirection w:val="lrTb"/>
            <w:vAlign w:val="bottom"/>
          </w:tcPr>
          <w:p w:rsidR="006626E8" w:rsidRPr="00A6219D" w:rsidP="0088479B">
            <w:pPr>
              <w:bidi w:val="0"/>
              <w:jc w:val="left"/>
              <w:rPr>
                <w:rFonts w:ascii="Times New Roman" w:hAnsi="Times New Roman"/>
                <w:b/>
                <w:bCs/>
                <w:color w:val="000000"/>
                <w:lang w:val="sk-SK" w:eastAsia="sk-SK"/>
              </w:rPr>
            </w:pPr>
            <w:r w:rsidRPr="00A6219D" w:rsidR="00792626">
              <w:rPr>
                <w:rFonts w:ascii="Times New Roman" w:hAnsi="Times New Roman"/>
                <w:b/>
                <w:bCs/>
                <w:color w:val="000000"/>
                <w:lang w:val="sk-SK" w:eastAsia="sk-SK"/>
              </w:rPr>
              <w:t>R</w:t>
            </w:r>
            <w:r w:rsidRPr="00A6219D">
              <w:rPr>
                <w:rFonts w:ascii="Times New Roman" w:hAnsi="Times New Roman"/>
                <w:b/>
                <w:bCs/>
                <w:color w:val="000000"/>
                <w:lang w:val="sk-SK" w:eastAsia="sk-SK"/>
              </w:rPr>
              <w:t>ozdiel</w:t>
            </w:r>
          </w:p>
        </w:tc>
        <w:tc>
          <w:tcPr>
            <w:tcW w:w="17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1 842 507</w:t>
            </w:r>
          </w:p>
        </w:tc>
        <w:tc>
          <w:tcPr>
            <w:tcW w:w="232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1 949 188</w:t>
            </w:r>
          </w:p>
        </w:tc>
        <w:tc>
          <w:tcPr>
            <w:tcW w:w="184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2 062 046</w:t>
            </w:r>
          </w:p>
        </w:tc>
        <w:tc>
          <w:tcPr>
            <w:tcW w:w="1780" w:type="dxa"/>
            <w:tcBorders>
              <w:top w:val="nil"/>
              <w:left w:val="nil"/>
              <w:bottom w:val="single" w:sz="4" w:space="0" w:color="auto"/>
              <w:right w:val="single" w:sz="4" w:space="0" w:color="auto"/>
            </w:tcBorders>
            <w:noWrap/>
            <w:textDirection w:val="lrTb"/>
            <w:vAlign w:val="bottom"/>
          </w:tcPr>
          <w:p w:rsidR="006626E8">
            <w:pPr>
              <w:bidi w:val="0"/>
              <w:jc w:val="right"/>
              <w:rPr>
                <w:rFonts w:ascii="Times New Roman" w:hAnsi="Times New Roman"/>
                <w:color w:val="000000"/>
              </w:rPr>
            </w:pPr>
            <w:r>
              <w:rPr>
                <w:rFonts w:ascii="Times New Roman" w:hAnsi="Times New Roman"/>
                <w:color w:val="000000"/>
              </w:rPr>
              <w:t>2 181 437</w:t>
            </w:r>
          </w:p>
        </w:tc>
      </w:tr>
    </w:tbl>
    <w:p w:rsidR="00A6219D" w:rsidRPr="0088479B" w:rsidP="0088479B">
      <w:pPr>
        <w:bidi w:val="0"/>
        <w:rPr>
          <w:rFonts w:ascii="Times New Roman" w:hAnsi="Times New Roman"/>
          <w:lang w:val="sk-SK"/>
        </w:rPr>
      </w:pPr>
    </w:p>
    <w:p w:rsidR="00B76D03" w:rsidP="0088479B">
      <w:pPr>
        <w:bidi w:val="0"/>
        <w:rPr>
          <w:rFonts w:ascii="Times New Roman" w:hAnsi="Times New Roman"/>
          <w:lang w:val="sk-SK"/>
        </w:rPr>
      </w:pPr>
      <w:r>
        <w:rPr>
          <w:rFonts w:ascii="Times New Roman" w:hAnsi="Times New Roman"/>
          <w:lang w:val="sk-SK"/>
        </w:rPr>
        <w:t>V</w:t>
      </w:r>
      <w:r w:rsidR="00CC0E85">
        <w:rPr>
          <w:rFonts w:ascii="Times New Roman" w:hAnsi="Times New Roman"/>
          <w:lang w:val="sk-SK"/>
        </w:rPr>
        <w:t> súvislosti s vymeriavacími základmi zdravotných poisťovní dochádza vplyvom nového prepočtového vzorca pre rok 2012 k poklesu výdavkov na prevádzkové činnosti Všeobecnej zdravotnej poisťovne, a.s.</w:t>
      </w:r>
      <w:r w:rsidR="00611396">
        <w:rPr>
          <w:rFonts w:ascii="Times New Roman" w:hAnsi="Times New Roman"/>
          <w:lang w:val="sk-SK"/>
        </w:rPr>
        <w:t xml:space="preserve"> v sume </w:t>
      </w:r>
      <w:r w:rsidR="006626E8">
        <w:rPr>
          <w:rFonts w:ascii="Times New Roman" w:hAnsi="Times New Roman"/>
          <w:color w:val="000000"/>
        </w:rPr>
        <w:t xml:space="preserve">3 862 368 </w:t>
      </w:r>
      <w:r w:rsidR="00611396">
        <w:rPr>
          <w:rFonts w:ascii="Times New Roman" w:hAnsi="Times New Roman"/>
          <w:color w:val="000000"/>
          <w:lang w:val="sk-SK" w:eastAsia="sk-SK"/>
        </w:rPr>
        <w:t xml:space="preserve">eur, pre Dôvera zdravotnú poisťovňu, a.s. k nárastu výdavkového stropu o </w:t>
      </w:r>
      <w:r w:rsidR="006626E8">
        <w:rPr>
          <w:rFonts w:ascii="Times New Roman" w:hAnsi="Times New Roman"/>
          <w:color w:val="000000"/>
        </w:rPr>
        <w:t>2 340 921</w:t>
      </w:r>
      <w:r w:rsidR="00611396">
        <w:rPr>
          <w:rFonts w:ascii="Times New Roman" w:hAnsi="Times New Roman"/>
          <w:color w:val="000000"/>
          <w:lang w:val="sk-SK" w:eastAsia="sk-SK"/>
        </w:rPr>
        <w:t xml:space="preserve"> eur a pre</w:t>
      </w:r>
      <w:r>
        <w:rPr>
          <w:rFonts w:ascii="Times New Roman" w:hAnsi="Times New Roman"/>
          <w:lang w:val="sk-SK"/>
        </w:rPr>
        <w:t xml:space="preserve"> Union</w:t>
      </w:r>
      <w:r w:rsidR="00611396">
        <w:rPr>
          <w:rFonts w:ascii="Times New Roman" w:hAnsi="Times New Roman"/>
          <w:lang w:val="sk-SK"/>
        </w:rPr>
        <w:t xml:space="preserve"> zdravotnú poisťovňu, a.s. k nárastu </w:t>
      </w:r>
      <w:r w:rsidR="00E4470B">
        <w:rPr>
          <w:rFonts w:ascii="Times New Roman" w:hAnsi="Times New Roman"/>
          <w:color w:val="000000"/>
        </w:rPr>
        <w:t xml:space="preserve">1 949 188 </w:t>
      </w:r>
      <w:r>
        <w:rPr>
          <w:rFonts w:ascii="Times New Roman" w:hAnsi="Times New Roman"/>
          <w:lang w:val="sk-SK"/>
        </w:rPr>
        <w:t>eu</w:t>
      </w:r>
      <w:r w:rsidR="002B37D1">
        <w:rPr>
          <w:rFonts w:ascii="Times New Roman" w:hAnsi="Times New Roman"/>
          <w:lang w:val="sk-SK"/>
        </w:rPr>
        <w:t xml:space="preserve">r. </w:t>
      </w:r>
    </w:p>
    <w:p w:rsidR="002B37D1" w:rsidP="0088479B">
      <w:pPr>
        <w:bidi w:val="0"/>
        <w:rPr>
          <w:rFonts w:ascii="Times New Roman" w:hAnsi="Times New Roman"/>
          <w:lang w:val="sk-SK"/>
        </w:rPr>
      </w:pPr>
    </w:p>
    <w:p w:rsidR="002B37D1" w:rsidRPr="00DB7793" w:rsidP="0088479B">
      <w:pPr>
        <w:bidi w:val="0"/>
        <w:rPr>
          <w:rFonts w:ascii="Calibri" w:hAnsi="Calibri"/>
          <w:color w:val="000000"/>
          <w:sz w:val="22"/>
          <w:szCs w:val="22"/>
          <w:lang w:val="sk-SK" w:eastAsia="sk-SK"/>
        </w:rPr>
      </w:pPr>
      <w:r w:rsidRPr="0012629A" w:rsidR="000A7327">
        <w:rPr>
          <w:rFonts w:ascii="Times New Roman" w:hAnsi="Times New Roman" w:cs="Calibri"/>
          <w:lang w:val="sk-SK"/>
        </w:rPr>
        <w:t>C</w:t>
      </w:r>
      <w:r w:rsidRPr="0012629A">
        <w:rPr>
          <w:rFonts w:ascii="Times New Roman" w:hAnsi="Times New Roman" w:cs="Calibri"/>
          <w:lang w:val="sk-SK"/>
        </w:rPr>
        <w:t xml:space="preserve">elkový vplyv navrhovanej zmeny výpočtu maximálneho stropu pre výdavky na prevádzkové činnosti zdravotných poisťovní má negatívny vplyv na výdavky verejného zdravotného poistenia, ktoré budú v prípade využitia maximálnych stropov hradené na úkor výdavkov na zdravotnú starostlivosť, a </w:t>
      </w:r>
      <w:r w:rsidR="00DB7793">
        <w:rPr>
          <w:rFonts w:ascii="Times New Roman" w:hAnsi="Times New Roman" w:cs="Calibri"/>
          <w:lang w:val="sk-SK"/>
        </w:rPr>
        <w:t xml:space="preserve">to v roku 2012 v sume </w:t>
      </w:r>
      <w:r w:rsidRPr="00DB7793" w:rsidR="00DB7793">
        <w:rPr>
          <w:rFonts w:ascii="Calibri" w:hAnsi="Calibri"/>
          <w:color w:val="000000"/>
          <w:sz w:val="22"/>
          <w:szCs w:val="22"/>
          <w:lang w:val="sk-SK" w:eastAsia="sk-SK"/>
        </w:rPr>
        <w:t>427</w:t>
      </w:r>
      <w:r w:rsidR="00DB7793">
        <w:rPr>
          <w:rFonts w:ascii="Calibri" w:hAnsi="Calibri"/>
          <w:color w:val="000000"/>
          <w:sz w:val="22"/>
          <w:szCs w:val="22"/>
          <w:lang w:val="sk-SK" w:eastAsia="sk-SK"/>
        </w:rPr>
        <w:t> </w:t>
      </w:r>
      <w:r w:rsidRPr="00DB7793" w:rsidR="00DB7793">
        <w:rPr>
          <w:rFonts w:ascii="Calibri" w:hAnsi="Calibri"/>
          <w:color w:val="000000"/>
          <w:sz w:val="22"/>
          <w:szCs w:val="22"/>
          <w:lang w:val="sk-SK" w:eastAsia="sk-SK"/>
        </w:rPr>
        <w:t>741</w:t>
      </w:r>
      <w:r w:rsidRPr="0012629A">
        <w:rPr>
          <w:rFonts w:ascii="Times New Roman" w:hAnsi="Times New Roman" w:cs="Calibri"/>
          <w:lang w:val="sk-SK"/>
        </w:rPr>
        <w:t xml:space="preserve"> eur, v roku 2013 v sume </w:t>
      </w:r>
      <w:r w:rsidRPr="00DB7793" w:rsidR="00DB7793">
        <w:rPr>
          <w:rFonts w:ascii="Calibri" w:hAnsi="Calibri"/>
          <w:color w:val="000000"/>
          <w:sz w:val="22"/>
          <w:szCs w:val="22"/>
          <w:lang w:val="sk-SK" w:eastAsia="sk-SK"/>
        </w:rPr>
        <w:t>400</w:t>
      </w:r>
      <w:r w:rsidR="00DB7793">
        <w:rPr>
          <w:rFonts w:ascii="Calibri" w:hAnsi="Calibri"/>
          <w:color w:val="000000"/>
          <w:sz w:val="22"/>
          <w:szCs w:val="22"/>
          <w:lang w:val="sk-SK" w:eastAsia="sk-SK"/>
        </w:rPr>
        <w:t> </w:t>
      </w:r>
      <w:r w:rsidRPr="00DB7793" w:rsidR="00DB7793">
        <w:rPr>
          <w:rFonts w:ascii="Calibri" w:hAnsi="Calibri"/>
          <w:color w:val="000000"/>
          <w:sz w:val="22"/>
          <w:szCs w:val="22"/>
          <w:lang w:val="sk-SK" w:eastAsia="sk-SK"/>
        </w:rPr>
        <w:t>607</w:t>
      </w:r>
      <w:r w:rsidRPr="0012629A" w:rsidR="00CC19BC">
        <w:rPr>
          <w:rFonts w:ascii="Times New Roman" w:hAnsi="Times New Roman" w:cs="Calibri"/>
          <w:lang w:val="sk-SK"/>
        </w:rPr>
        <w:t xml:space="preserve"> eur, v roku 2014 v sume </w:t>
      </w:r>
      <w:r w:rsidRPr="0015298A" w:rsidR="0015298A">
        <w:rPr>
          <w:rFonts w:ascii="Calibri" w:hAnsi="Calibri"/>
          <w:color w:val="000000"/>
          <w:sz w:val="22"/>
          <w:szCs w:val="22"/>
          <w:lang w:val="sk-SK" w:eastAsia="sk-SK"/>
        </w:rPr>
        <w:t>337</w:t>
      </w:r>
      <w:r w:rsidR="0015298A">
        <w:rPr>
          <w:rFonts w:ascii="Calibri" w:hAnsi="Calibri"/>
          <w:color w:val="000000"/>
          <w:sz w:val="22"/>
          <w:szCs w:val="22"/>
          <w:lang w:val="sk-SK" w:eastAsia="sk-SK"/>
        </w:rPr>
        <w:t> </w:t>
      </w:r>
      <w:r w:rsidRPr="0015298A" w:rsidR="0015298A">
        <w:rPr>
          <w:rFonts w:ascii="Calibri" w:hAnsi="Calibri"/>
          <w:color w:val="000000"/>
          <w:sz w:val="22"/>
          <w:szCs w:val="22"/>
          <w:lang w:val="sk-SK" w:eastAsia="sk-SK"/>
        </w:rPr>
        <w:t>584</w:t>
      </w:r>
      <w:r w:rsidRPr="0012629A">
        <w:rPr>
          <w:rFonts w:ascii="Times New Roman" w:hAnsi="Times New Roman" w:cs="Calibri"/>
          <w:lang w:val="sk-SK"/>
        </w:rPr>
        <w:t xml:space="preserve"> eur a v roku 2011 pomerne pre obdobie účinnosti návrh</w:t>
      </w:r>
      <w:r w:rsidRPr="0012629A" w:rsidR="000A7327">
        <w:rPr>
          <w:rFonts w:ascii="Times New Roman" w:hAnsi="Times New Roman" w:cs="Calibri"/>
          <w:lang w:val="sk-SK"/>
        </w:rPr>
        <w:t xml:space="preserve">u zákona v sume </w:t>
      </w:r>
      <w:r w:rsidRPr="0015298A" w:rsidR="0015298A">
        <w:rPr>
          <w:rFonts w:ascii="Calibri" w:hAnsi="Calibri"/>
          <w:color w:val="000000"/>
          <w:sz w:val="22"/>
          <w:szCs w:val="22"/>
          <w:lang w:val="sk-SK" w:eastAsia="sk-SK"/>
        </w:rPr>
        <w:t>145</w:t>
      </w:r>
      <w:r w:rsidR="0015298A">
        <w:rPr>
          <w:rFonts w:ascii="Calibri" w:hAnsi="Calibri"/>
          <w:color w:val="000000"/>
          <w:sz w:val="22"/>
          <w:szCs w:val="22"/>
          <w:lang w:val="sk-SK" w:eastAsia="sk-SK"/>
        </w:rPr>
        <w:t xml:space="preserve"> </w:t>
      </w:r>
      <w:r w:rsidRPr="0015298A" w:rsidR="0015298A">
        <w:rPr>
          <w:rFonts w:ascii="Calibri" w:hAnsi="Calibri"/>
          <w:color w:val="000000"/>
          <w:sz w:val="22"/>
          <w:szCs w:val="22"/>
          <w:lang w:val="sk-SK" w:eastAsia="sk-SK"/>
        </w:rPr>
        <w:t>73</w:t>
      </w:r>
      <w:r w:rsidR="0015298A">
        <w:rPr>
          <w:rFonts w:ascii="Calibri" w:hAnsi="Calibri"/>
          <w:color w:val="000000"/>
          <w:sz w:val="22"/>
          <w:szCs w:val="22"/>
          <w:lang w:val="sk-SK" w:eastAsia="sk-SK"/>
        </w:rPr>
        <w:t>8</w:t>
      </w:r>
      <w:r w:rsidRPr="0012629A" w:rsidR="000A7327">
        <w:rPr>
          <w:rFonts w:ascii="Times New Roman" w:hAnsi="Times New Roman" w:cs="Calibri"/>
          <w:lang w:val="sk-SK"/>
        </w:rPr>
        <w:t xml:space="preserve"> eur.</w:t>
      </w:r>
    </w:p>
    <w:p w:rsidR="00B76D03" w:rsidRPr="00B76D03" w:rsidP="0088479B">
      <w:pPr>
        <w:bidi w:val="0"/>
        <w:rPr>
          <w:rFonts w:ascii="Times New Roman" w:hAnsi="Times New Roman"/>
          <w:u w:val="single"/>
          <w:lang w:val="sk-SK"/>
        </w:rPr>
      </w:pPr>
      <w:r w:rsidRPr="000A7327" w:rsidR="002B37D1">
        <w:rPr>
          <w:rFonts w:ascii="Times New Roman" w:hAnsi="Times New Roman" w:cs="Calibri"/>
          <w:lang w:val="sk-SK"/>
        </w:rPr>
        <w:br/>
      </w:r>
      <w:r w:rsidRPr="00B76D03">
        <w:rPr>
          <w:rFonts w:ascii="Times New Roman" w:hAnsi="Times New Roman"/>
          <w:u w:val="single"/>
          <w:lang w:val="sk-SK"/>
        </w:rPr>
        <w:t>Postupovanie pohľadávok</w:t>
      </w:r>
    </w:p>
    <w:p w:rsidR="00921795" w:rsidRPr="0088479B" w:rsidP="0088479B">
      <w:pPr>
        <w:bidi w:val="0"/>
        <w:rPr>
          <w:rFonts w:ascii="Times New Roman" w:hAnsi="Times New Roman"/>
          <w:lang w:val="sk-SK"/>
        </w:rPr>
      </w:pPr>
      <w:r w:rsidRPr="0088479B">
        <w:rPr>
          <w:rFonts w:ascii="Times New Roman" w:hAnsi="Times New Roman"/>
          <w:lang w:val="sk-SK"/>
        </w:rPr>
        <w:t xml:space="preserve">Prijatie návrhu zákona, </w:t>
      </w:r>
      <w:r w:rsidRPr="0088479B">
        <w:rPr>
          <w:rFonts w:ascii="Times New Roman" w:hAnsi="Times New Roman"/>
          <w:bCs/>
          <w:lang w:val="sk-SK"/>
        </w:rPr>
        <w:t>ktorým sa mení zákon</w:t>
      </w:r>
      <w:r w:rsidRPr="0088479B">
        <w:rPr>
          <w:rFonts w:ascii="Times New Roman" w:hAnsi="Times New Roman"/>
          <w:lang w:val="sk-SK"/>
        </w:rPr>
        <w:t xml:space="preserve"> č</w:t>
      </w:r>
      <w:r w:rsidRPr="0088479B" w:rsidR="00880B5E">
        <w:rPr>
          <w:rFonts w:ascii="Times New Roman" w:hAnsi="Times New Roman"/>
          <w:lang w:val="sk-SK"/>
        </w:rPr>
        <w:t xml:space="preserve">. </w:t>
      </w:r>
      <w:r w:rsidRPr="0088479B" w:rsidR="00880B5E">
        <w:rPr>
          <w:rFonts w:ascii="Times New Roman" w:hAnsi="Times New Roman"/>
          <w:bCs/>
          <w:lang w:val="sk-SK"/>
        </w:rPr>
        <w:t>záko</w:t>
      </w:r>
      <w:r w:rsidRPr="0088479B" w:rsidR="00880B5E">
        <w:rPr>
          <w:rFonts w:ascii="Times New Roman" w:hAnsi="Times New Roman"/>
          <w:lang w:val="sk-SK"/>
        </w:rPr>
        <w:t xml:space="preserve">n č. </w:t>
      </w:r>
      <w:r w:rsidRPr="0088479B" w:rsidR="00880B5E">
        <w:rPr>
          <w:rFonts w:ascii="Times New Roman" w:hAnsi="Times New Roman"/>
          <w:bCs/>
          <w:lang w:val="sk-SK"/>
        </w:rPr>
        <w:t>581/2004 Z. z. o zdravotných poisťovniach, dohľade nad zdravotnou starostlivosťou a o zmene a doplnení niektorých zákonov v znení neskorších predpisov</w:t>
      </w:r>
      <w:r w:rsidRPr="0088479B">
        <w:rPr>
          <w:rFonts w:ascii="Times New Roman" w:hAnsi="Times New Roman"/>
          <w:bCs/>
          <w:lang w:val="sk-SK"/>
        </w:rPr>
        <w:t xml:space="preserve"> </w:t>
      </w:r>
      <w:r w:rsidRPr="0088479B">
        <w:rPr>
          <w:rFonts w:ascii="Times New Roman" w:hAnsi="Times New Roman"/>
          <w:lang w:val="sk-SK"/>
        </w:rPr>
        <w:t xml:space="preserve">nezakladá zvýšené nároky na štátny rozpočet, rozpočty samosprávnych krajov a rozpočty obcí. Návrh </w:t>
      </w:r>
      <w:r w:rsidRPr="0088479B" w:rsidR="00880B5E">
        <w:rPr>
          <w:rFonts w:ascii="Times New Roman" w:hAnsi="Times New Roman"/>
          <w:lang w:val="sk-SK"/>
        </w:rPr>
        <w:t>bude mať pozitívny dopad na</w:t>
      </w:r>
      <w:r w:rsidRPr="0088479B">
        <w:rPr>
          <w:rFonts w:ascii="Times New Roman" w:hAnsi="Times New Roman"/>
          <w:lang w:val="sk-SK"/>
        </w:rPr>
        <w:t xml:space="preserve"> rozpočty zdravotných poisťovní. </w:t>
      </w:r>
      <w:r w:rsidRPr="0088479B" w:rsidR="0032274C">
        <w:rPr>
          <w:rFonts w:ascii="Times New Roman" w:hAnsi="Times New Roman"/>
          <w:lang w:val="sk-SK"/>
        </w:rPr>
        <w:t>Pohľadávky na povinnom zdravotnom tvoria v zdravotných poisťovniach za 10 ročnú lehotu cca sumu 280 mil. eur. Z tejto sumy</w:t>
      </w:r>
      <w:r w:rsidRPr="0088479B" w:rsidR="00E612CF">
        <w:rPr>
          <w:rFonts w:ascii="Times New Roman" w:hAnsi="Times New Roman"/>
          <w:lang w:val="sk-SK"/>
        </w:rPr>
        <w:t>,</w:t>
      </w:r>
      <w:r w:rsidRPr="0088479B" w:rsidR="0032274C">
        <w:rPr>
          <w:rFonts w:ascii="Times New Roman" w:hAnsi="Times New Roman"/>
          <w:lang w:val="sk-SK"/>
        </w:rPr>
        <w:t xml:space="preserve"> po prijatí tejto úpravy</w:t>
      </w:r>
      <w:r w:rsidRPr="0088479B" w:rsidR="00E612CF">
        <w:rPr>
          <w:rFonts w:ascii="Times New Roman" w:hAnsi="Times New Roman"/>
          <w:lang w:val="sk-SK"/>
        </w:rPr>
        <w:t>,</w:t>
      </w:r>
      <w:r w:rsidRPr="0088479B" w:rsidR="0032274C">
        <w:rPr>
          <w:rFonts w:ascii="Times New Roman" w:hAnsi="Times New Roman"/>
          <w:lang w:val="sk-SK"/>
        </w:rPr>
        <w:t xml:space="preserve"> je pravdepodobné, že zdravotné poisťovne získajú 40 mil. eur. Ak by sa tento postup neprijal</w:t>
      </w:r>
      <w:r w:rsidRPr="0088479B" w:rsidR="00E612CF">
        <w:rPr>
          <w:rFonts w:ascii="Times New Roman" w:hAnsi="Times New Roman"/>
          <w:lang w:val="sk-SK"/>
        </w:rPr>
        <w:t xml:space="preserve"> pohľadávky v hodnote 280 mil. eur sa v účtovníctve odpíšu a budú mať nulovú hodnotu.</w:t>
      </w:r>
    </w:p>
    <w:p w:rsidR="00921795" w:rsidRPr="0088479B" w:rsidP="0088479B">
      <w:pPr>
        <w:pStyle w:val="NormalWeb"/>
        <w:bidi w:val="0"/>
        <w:spacing w:before="0" w:beforeAutospacing="0" w:after="0" w:afterAutospacing="0"/>
        <w:jc w:val="both"/>
        <w:rPr>
          <w:rFonts w:ascii="Times New Roman" w:hAnsi="Times New Roman"/>
        </w:rPr>
      </w:pPr>
    </w:p>
    <w:p w:rsidR="0021094B" w:rsidRPr="0088479B" w:rsidP="0088479B">
      <w:pPr>
        <w:bidi w:val="0"/>
        <w:rPr>
          <w:rFonts w:ascii="Times New Roman" w:hAnsi="Times New Roman"/>
          <w:lang w:val="sk-SK"/>
        </w:rPr>
      </w:pPr>
      <w:r w:rsidRPr="0088479B">
        <w:rPr>
          <w:rFonts w:ascii="Times New Roman" w:hAnsi="Times New Roman"/>
          <w:lang w:val="sk-SK"/>
        </w:rPr>
        <w:t>Pokiaľ sa inštitút postúpenia pohľadávok v zákone náležite upraví, zabezpečí sa tak riadený proces, ktorý bude riešiť postúpenie pohľadávok</w:t>
      </w:r>
    </w:p>
    <w:p w:rsidR="0021094B" w:rsidRPr="0088479B" w:rsidP="0088479B">
      <w:pPr>
        <w:numPr>
          <w:numId w:val="3"/>
        </w:numPr>
        <w:bidi w:val="0"/>
        <w:rPr>
          <w:rFonts w:ascii="Times New Roman" w:hAnsi="Times New Roman"/>
          <w:lang w:val="sk-SK"/>
        </w:rPr>
      </w:pPr>
      <w:r w:rsidRPr="0088479B">
        <w:rPr>
          <w:rFonts w:ascii="Times New Roman" w:hAnsi="Times New Roman"/>
          <w:lang w:val="sk-SK"/>
        </w:rPr>
        <w:t>z pohľadu legislatívneho (subjekty verejnej správy môžu robiť to, čo majú v zákone dovolené),</w:t>
      </w:r>
    </w:p>
    <w:p w:rsidR="0021094B" w:rsidRPr="0088479B" w:rsidP="0088479B">
      <w:pPr>
        <w:numPr>
          <w:numId w:val="3"/>
        </w:numPr>
        <w:bidi w:val="0"/>
        <w:rPr>
          <w:rFonts w:ascii="Times New Roman" w:hAnsi="Times New Roman"/>
          <w:lang w:val="sk-SK"/>
        </w:rPr>
      </w:pPr>
      <w:r w:rsidRPr="0088479B">
        <w:rPr>
          <w:rFonts w:ascii="Times New Roman" w:hAnsi="Times New Roman"/>
          <w:lang w:val="sk-SK"/>
        </w:rPr>
        <w:t>z pohľadu vecného (určujú sa kritériá - môžu sa postupovať iba pohľadávky, o ktorých bolo právoplatnej rozhodnuté platobným výmerom alebo výkazom nedoplatkov),</w:t>
      </w:r>
    </w:p>
    <w:p w:rsidR="0021094B" w:rsidRPr="0088479B" w:rsidP="0088479B">
      <w:pPr>
        <w:numPr>
          <w:numId w:val="3"/>
        </w:numPr>
        <w:bidi w:val="0"/>
        <w:rPr>
          <w:rFonts w:ascii="Times New Roman" w:hAnsi="Times New Roman"/>
          <w:lang w:val="sk-SK"/>
        </w:rPr>
      </w:pPr>
      <w:r w:rsidRPr="0088479B">
        <w:rPr>
          <w:rFonts w:ascii="Times New Roman" w:hAnsi="Times New Roman"/>
          <w:lang w:val="sk-SK"/>
        </w:rPr>
        <w:t>z pohľadu procesného (postup predaja bude transparentný, realizovaný verejnou obchodnou súťažou, súčasne je riešená aj kompetencia ÚDZS a postavenie účastníkov konania  v prípadnej obnove konania).</w:t>
      </w:r>
    </w:p>
    <w:p w:rsidR="0021094B" w:rsidRPr="0088479B" w:rsidP="0088479B">
      <w:pPr>
        <w:bidi w:val="0"/>
        <w:rPr>
          <w:rFonts w:ascii="Times New Roman" w:hAnsi="Times New Roman"/>
          <w:lang w:val="sk-SK"/>
        </w:rPr>
      </w:pPr>
    </w:p>
    <w:p w:rsidR="00E612CF" w:rsidRPr="0088479B" w:rsidP="0088479B">
      <w:pPr>
        <w:bidi w:val="0"/>
        <w:rPr>
          <w:rFonts w:ascii="Times New Roman" w:hAnsi="Times New Roman"/>
          <w:lang w:val="sk-SK"/>
        </w:rPr>
      </w:pPr>
      <w:r w:rsidRPr="0088479B" w:rsidR="0021094B">
        <w:rPr>
          <w:rFonts w:ascii="Times New Roman" w:hAnsi="Times New Roman"/>
          <w:lang w:val="sk-SK"/>
        </w:rPr>
        <w:t>Realizácia tohto postupu bude znamenať významný dodatočný príjem pre zdravotné poisťovne vo výške cca 40 mil. eur.</w:t>
      </w:r>
    </w:p>
    <w:p w:rsidR="004738B5" w:rsidP="0088479B">
      <w:pPr>
        <w:bidi w:val="0"/>
        <w:rPr>
          <w:rFonts w:ascii="Times New Roman" w:hAnsi="Times New Roman"/>
          <w:lang w:val="sk-SK"/>
        </w:rPr>
      </w:pPr>
    </w:p>
    <w:p w:rsidR="0021094B" w:rsidRPr="004738B5" w:rsidP="0088479B">
      <w:pPr>
        <w:bidi w:val="0"/>
        <w:rPr>
          <w:rFonts w:ascii="Times New Roman" w:hAnsi="Times New Roman"/>
          <w:u w:val="single"/>
          <w:lang w:val="sk-SK"/>
        </w:rPr>
      </w:pPr>
      <w:r w:rsidRPr="004738B5" w:rsidR="00030891">
        <w:rPr>
          <w:rFonts w:ascii="Times New Roman" w:hAnsi="Times New Roman"/>
          <w:u w:val="single"/>
          <w:lang w:val="sk-SK"/>
        </w:rPr>
        <w:t>Poplatok za vydanie výkazu nedoplatkov</w:t>
      </w:r>
    </w:p>
    <w:p w:rsidR="00C91F8C" w:rsidRPr="0088479B" w:rsidP="00C91F8C">
      <w:pPr>
        <w:numPr>
          <w:numId w:val="5"/>
        </w:numPr>
        <w:bidi w:val="0"/>
        <w:rPr>
          <w:rFonts w:ascii="Times New Roman" w:hAnsi="Times New Roman"/>
          <w:lang w:val="sk-SK"/>
        </w:rPr>
      </w:pPr>
      <w:r w:rsidRPr="0088479B">
        <w:rPr>
          <w:rFonts w:ascii="Times New Roman" w:hAnsi="Times New Roman"/>
          <w:lang w:val="sk-SK"/>
        </w:rPr>
        <w:t xml:space="preserve">celkovo </w:t>
      </w:r>
      <w:r w:rsidR="00030891">
        <w:rPr>
          <w:rFonts w:ascii="Times New Roman" w:hAnsi="Times New Roman"/>
          <w:lang w:val="sk-SK"/>
        </w:rPr>
        <w:t>V</w:t>
      </w:r>
      <w:r w:rsidR="00580498">
        <w:rPr>
          <w:rFonts w:ascii="Times New Roman" w:hAnsi="Times New Roman"/>
          <w:lang w:val="sk-SK"/>
        </w:rPr>
        <w:t>šZP zaslala</w:t>
      </w:r>
      <w:r w:rsidRPr="0088479B">
        <w:rPr>
          <w:rFonts w:ascii="Times New Roman" w:hAnsi="Times New Roman"/>
          <w:lang w:val="sk-SK"/>
        </w:rPr>
        <w:t xml:space="preserve"> okolo 900 000 výziev rôzneho typu (MV, nedoplatky), ich úspešnosť je v rozpätí 10-25%, pri opakovaných problémoch ešte výrazne nižšia</w:t>
      </w:r>
    </w:p>
    <w:p w:rsidR="00C91F8C" w:rsidRPr="0088479B" w:rsidP="00C91F8C">
      <w:pPr>
        <w:numPr>
          <w:numId w:val="5"/>
        </w:numPr>
        <w:bidi w:val="0"/>
        <w:rPr>
          <w:rFonts w:ascii="Times New Roman" w:hAnsi="Times New Roman"/>
          <w:lang w:val="sk-SK"/>
        </w:rPr>
      </w:pPr>
      <w:r w:rsidRPr="0088479B">
        <w:rPr>
          <w:rFonts w:ascii="Times New Roman" w:hAnsi="Times New Roman"/>
          <w:lang w:val="sk-SK"/>
        </w:rPr>
        <w:t>počet všetkých porušení sa blíži k 7 cifernému číslu</w:t>
      </w:r>
    </w:p>
    <w:p w:rsidR="00C91F8C" w:rsidRPr="0088479B" w:rsidP="00C91F8C">
      <w:pPr>
        <w:numPr>
          <w:numId w:val="5"/>
        </w:numPr>
        <w:bidi w:val="0"/>
        <w:rPr>
          <w:rFonts w:ascii="Times New Roman" w:hAnsi="Times New Roman"/>
          <w:lang w:val="sk-SK"/>
        </w:rPr>
      </w:pPr>
      <w:r w:rsidRPr="0088479B">
        <w:rPr>
          <w:rFonts w:ascii="Times New Roman" w:hAnsi="Times New Roman"/>
          <w:lang w:val="sk-SK"/>
        </w:rPr>
        <w:t>náklady na v</w:t>
      </w:r>
      <w:r w:rsidR="00580498">
        <w:rPr>
          <w:rFonts w:ascii="Times New Roman" w:hAnsi="Times New Roman"/>
          <w:lang w:val="sk-SK"/>
        </w:rPr>
        <w:t>ymá</w:t>
      </w:r>
      <w:r w:rsidRPr="0088479B">
        <w:rPr>
          <w:rFonts w:ascii="Times New Roman" w:hAnsi="Times New Roman"/>
          <w:lang w:val="sk-SK"/>
        </w:rPr>
        <w:t xml:space="preserve">hanie </w:t>
      </w:r>
      <w:r w:rsidR="00E15814">
        <w:rPr>
          <w:rFonts w:ascii="Times New Roman" w:hAnsi="Times New Roman"/>
          <w:lang w:val="sk-SK"/>
        </w:rPr>
        <w:t>- 250 zamestnancov po cca 33000 eur</w:t>
      </w:r>
      <w:r w:rsidRPr="0088479B">
        <w:rPr>
          <w:rFonts w:ascii="Times New Roman" w:hAnsi="Times New Roman"/>
          <w:lang w:val="sk-SK"/>
        </w:rPr>
        <w:t xml:space="preserve"> (nie len platy),  120 000 otvorených exek</w:t>
      </w:r>
      <w:r w:rsidR="00580498">
        <w:rPr>
          <w:rFonts w:ascii="Times New Roman" w:hAnsi="Times New Roman"/>
          <w:lang w:val="sk-SK"/>
        </w:rPr>
        <w:t>ú</w:t>
      </w:r>
      <w:r w:rsidRPr="0088479B">
        <w:rPr>
          <w:rFonts w:ascii="Times New Roman" w:hAnsi="Times New Roman"/>
          <w:lang w:val="sk-SK"/>
        </w:rPr>
        <w:t>cií s hroziacimi trovami pre</w:t>
      </w:r>
      <w:r w:rsidR="00580498">
        <w:rPr>
          <w:rFonts w:ascii="Times New Roman" w:hAnsi="Times New Roman"/>
          <w:lang w:val="sk-SK"/>
        </w:rPr>
        <w:t xml:space="preserve"> poisťovňu</w:t>
      </w:r>
      <w:r w:rsidRPr="0088479B">
        <w:rPr>
          <w:rFonts w:ascii="Times New Roman" w:hAnsi="Times New Roman"/>
          <w:lang w:val="sk-SK"/>
        </w:rPr>
        <w:t xml:space="preserve"> až do 8,4 mil.</w:t>
      </w:r>
      <w:r w:rsidR="00580498">
        <w:rPr>
          <w:rFonts w:ascii="Times New Roman" w:hAnsi="Times New Roman"/>
          <w:lang w:val="sk-SK"/>
        </w:rPr>
        <w:t xml:space="preserve"> </w:t>
      </w:r>
      <w:r w:rsidR="00E15814">
        <w:rPr>
          <w:rFonts w:ascii="Times New Roman" w:hAnsi="Times New Roman"/>
          <w:lang w:val="sk-SK"/>
        </w:rPr>
        <w:t>eur</w:t>
      </w:r>
    </w:p>
    <w:p w:rsidR="00C91F8C" w:rsidRPr="0088479B" w:rsidP="00C91F8C">
      <w:pPr>
        <w:numPr>
          <w:numId w:val="5"/>
        </w:numPr>
        <w:bidi w:val="0"/>
        <w:rPr>
          <w:rFonts w:ascii="Times New Roman" w:hAnsi="Times New Roman"/>
          <w:lang w:val="sk-SK"/>
        </w:rPr>
      </w:pPr>
      <w:r w:rsidRPr="0088479B">
        <w:rPr>
          <w:rFonts w:ascii="Times New Roman" w:hAnsi="Times New Roman"/>
          <w:lang w:val="sk-SK"/>
        </w:rPr>
        <w:t xml:space="preserve">počet výziev len okolo nesprávnych </w:t>
      </w:r>
      <w:r w:rsidR="00580498">
        <w:rPr>
          <w:rFonts w:ascii="Times New Roman" w:hAnsi="Times New Roman"/>
          <w:lang w:val="sk-SK"/>
        </w:rPr>
        <w:t>ročných zúčtovaní</w:t>
      </w:r>
      <w:r w:rsidRPr="0088479B">
        <w:rPr>
          <w:rFonts w:ascii="Times New Roman" w:hAnsi="Times New Roman"/>
          <w:lang w:val="sk-SK"/>
        </w:rPr>
        <w:t xml:space="preserve">, ich nedodaní, chýb, je 150 000 </w:t>
      </w:r>
    </w:p>
    <w:p w:rsidR="004738B5" w:rsidP="0088479B">
      <w:pPr>
        <w:bidi w:val="0"/>
        <w:rPr>
          <w:rFonts w:ascii="Times New Roman" w:hAnsi="Times New Roman"/>
          <w:lang w:val="sk-SK"/>
        </w:rPr>
      </w:pPr>
      <w:r>
        <w:rPr>
          <w:rFonts w:ascii="Times New Roman" w:hAnsi="Times New Roman"/>
          <w:lang w:val="sk-SK"/>
        </w:rPr>
        <w:t>150 000 vydaných výkazov nedoplatkov krát 10 eur, výnos pre VšZP cca 1</w:t>
      </w:r>
      <w:r w:rsidR="00E15814">
        <w:rPr>
          <w:rFonts w:ascii="Times New Roman" w:hAnsi="Times New Roman"/>
          <w:lang w:val="sk-SK"/>
        </w:rPr>
        <w:t> </w:t>
      </w:r>
      <w:r>
        <w:rPr>
          <w:rFonts w:ascii="Times New Roman" w:hAnsi="Times New Roman"/>
          <w:lang w:val="sk-SK"/>
        </w:rPr>
        <w:t>500</w:t>
      </w:r>
      <w:r w:rsidR="00E15814">
        <w:rPr>
          <w:rFonts w:ascii="Times New Roman" w:hAnsi="Times New Roman"/>
          <w:lang w:val="sk-SK"/>
        </w:rPr>
        <w:t xml:space="preserve"> 00</w:t>
      </w:r>
      <w:r>
        <w:rPr>
          <w:rFonts w:ascii="Times New Roman" w:hAnsi="Times New Roman"/>
          <w:lang w:val="sk-SK"/>
        </w:rPr>
        <w:t>0 eur.</w:t>
      </w:r>
    </w:p>
    <w:p w:rsidR="00E15814" w:rsidP="0088479B">
      <w:pPr>
        <w:bidi w:val="0"/>
        <w:rPr>
          <w:rFonts w:ascii="Times New Roman" w:hAnsi="Times New Roman"/>
          <w:lang w:val="sk-SK"/>
        </w:rPr>
      </w:pPr>
    </w:p>
    <w:p w:rsidR="00E15814" w:rsidRPr="00E15814" w:rsidP="0088479B">
      <w:pPr>
        <w:bidi w:val="0"/>
        <w:rPr>
          <w:rFonts w:ascii="Times New Roman" w:hAnsi="Times New Roman"/>
          <w:u w:val="single"/>
          <w:lang w:val="sk-SK"/>
        </w:rPr>
      </w:pPr>
      <w:r w:rsidRPr="00E15814">
        <w:rPr>
          <w:rFonts w:ascii="Times New Roman" w:hAnsi="Times New Roman"/>
          <w:u w:val="single"/>
          <w:lang w:val="sk-SK"/>
        </w:rPr>
        <w:t>Vplyv na rozpočet verejnej správy v súvislosti so zrušením možnosti udelenia pokuty úradom</w:t>
      </w:r>
    </w:p>
    <w:p w:rsidR="007315F4" w:rsidRPr="007315F4" w:rsidP="0088479B">
      <w:pPr>
        <w:bidi w:val="0"/>
        <w:rPr>
          <w:rFonts w:ascii="Times New Roman" w:hAnsi="Times New Roman" w:cs="Calibri"/>
          <w:lang w:val="sk-SK"/>
        </w:rPr>
      </w:pPr>
      <w:r w:rsidRPr="007315F4">
        <w:rPr>
          <w:rFonts w:ascii="Times New Roman" w:hAnsi="Times New Roman" w:cs="Calibri"/>
          <w:lang w:val="sk-SK"/>
        </w:rPr>
        <w:t xml:space="preserve">Predmetné </w:t>
      </w:r>
      <w:r w:rsidRPr="007315F4" w:rsidR="00E15814">
        <w:rPr>
          <w:rFonts w:ascii="Times New Roman" w:hAnsi="Times New Roman" w:cs="Calibri"/>
          <w:lang w:val="sk-SK"/>
        </w:rPr>
        <w:t>pok</w:t>
      </w:r>
      <w:r w:rsidRPr="007315F4">
        <w:rPr>
          <w:rFonts w:ascii="Times New Roman" w:hAnsi="Times New Roman" w:cs="Calibri"/>
          <w:lang w:val="sk-SK"/>
        </w:rPr>
        <w:t xml:space="preserve">uty </w:t>
      </w:r>
      <w:r w:rsidRPr="007315F4" w:rsidR="00E15814">
        <w:rPr>
          <w:rFonts w:ascii="Times New Roman" w:hAnsi="Times New Roman" w:cs="Calibri"/>
          <w:lang w:val="sk-SK"/>
        </w:rPr>
        <w:t>doposiaľ</w:t>
      </w:r>
      <w:r w:rsidRPr="007315F4">
        <w:rPr>
          <w:rFonts w:ascii="Times New Roman" w:hAnsi="Times New Roman" w:cs="Calibri"/>
          <w:lang w:val="sk-SK"/>
        </w:rPr>
        <w:t xml:space="preserve"> neboli udelené, takže žiaden výnos </w:t>
      </w:r>
      <w:r w:rsidRPr="007315F4" w:rsidR="00E15814">
        <w:rPr>
          <w:rFonts w:ascii="Times New Roman" w:hAnsi="Times New Roman" w:cs="Calibri"/>
          <w:lang w:val="sk-SK"/>
        </w:rPr>
        <w:t xml:space="preserve">z týchto pokút </w:t>
      </w:r>
      <w:r w:rsidRPr="007315F4">
        <w:rPr>
          <w:rFonts w:ascii="Times New Roman" w:hAnsi="Times New Roman" w:cs="Calibri"/>
          <w:lang w:val="sk-SK"/>
        </w:rPr>
        <w:t>ne</w:t>
      </w:r>
      <w:r w:rsidRPr="007315F4" w:rsidR="00E15814">
        <w:rPr>
          <w:rFonts w:ascii="Times New Roman" w:hAnsi="Times New Roman" w:cs="Calibri"/>
          <w:lang w:val="sk-SK"/>
        </w:rPr>
        <w:t xml:space="preserve">bol súčasťou príjmov štátneho </w:t>
      </w:r>
      <w:r w:rsidRPr="007315F4">
        <w:rPr>
          <w:rFonts w:ascii="Times New Roman" w:hAnsi="Times New Roman" w:cs="Calibri"/>
          <w:lang w:val="sk-SK"/>
        </w:rPr>
        <w:t>rozpočtu za predchádzajúce roky.</w:t>
      </w:r>
    </w:p>
    <w:p w:rsidR="00C91F8C" w:rsidRPr="0088479B" w:rsidP="0088479B">
      <w:pPr>
        <w:bidi w:val="0"/>
        <w:rPr>
          <w:rFonts w:ascii="Times New Roman" w:hAnsi="Times New Roman"/>
          <w:lang w:val="sk-SK"/>
        </w:rPr>
      </w:pPr>
      <w:r w:rsidRPr="001C1EC9" w:rsidR="00E15814">
        <w:rPr>
          <w:rFonts w:ascii="Times New Roman" w:hAnsi="Times New Roman" w:cs="Calibri"/>
          <w:sz w:val="20"/>
          <w:szCs w:val="20"/>
          <w:lang w:val="sk-SK"/>
        </w:rPr>
        <w:br/>
      </w:r>
      <w:r w:rsidR="004738B5">
        <w:rPr>
          <w:rFonts w:ascii="Times New Roman" w:hAnsi="Times New Roman"/>
          <w:lang w:val="sk-SK"/>
        </w:rPr>
        <w:br w:type="page"/>
      </w:r>
    </w:p>
    <w:p w:rsidR="00397454" w:rsidRPr="0088479B" w:rsidP="0088479B">
      <w:pPr>
        <w:bidi w:val="0"/>
        <w:rPr>
          <w:rFonts w:ascii="Times New Roman" w:hAnsi="Times New Roman"/>
          <w:lang w:val="sk-SK"/>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21795" w:rsidRPr="0088479B" w:rsidP="0088479B">
            <w:pPr>
              <w:bidi w:val="0"/>
              <w:jc w:val="center"/>
              <w:rPr>
                <w:rFonts w:ascii="Times New Roman" w:hAnsi="Times New Roman"/>
                <w:b/>
                <w:bCs/>
                <w:color w:val="FFFFFF"/>
                <w:lang w:val="sk-SK"/>
              </w:rPr>
            </w:pPr>
            <w:r w:rsidRPr="0088479B" w:rsidR="00E612CF">
              <w:rPr>
                <w:rFonts w:ascii="Times New Roman" w:hAnsi="Times New Roman"/>
                <w:lang w:val="sk-SK"/>
              </w:rPr>
              <w:br w:type="page"/>
            </w:r>
            <w:r w:rsidRPr="0088479B">
              <w:rPr>
                <w:rFonts w:ascii="Times New Roman" w:hAnsi="Times New Roman"/>
                <w:b/>
                <w:bCs/>
                <w:color w:val="FFFFFF"/>
                <w:lang w:val="sk-SK"/>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3.1</w:t>
            </w:r>
            <w:r w:rsidRPr="0088479B">
              <w:rPr>
                <w:rFonts w:ascii="Times New Roman" w:hAnsi="Times New Roman"/>
                <w:lang w:val="sk-SK"/>
              </w:rPr>
              <w:t>. Ktoré podnikateľské subjekty budú predkladaným návrhom ovplyvnené a aký je ich počet?</w:t>
            </w:r>
          </w:p>
          <w:p w:rsidR="00921795" w:rsidRPr="0088479B" w:rsidP="0088479B">
            <w:pPr>
              <w:bidi w:val="0"/>
              <w:rPr>
                <w:rFonts w:ascii="Times New Roman" w:hAnsi="Times New Roman"/>
                <w:lang w:val="sk-SK"/>
              </w:rPr>
            </w:pPr>
          </w:p>
        </w:tc>
        <w:tc>
          <w:tcPr>
            <w:tcW w:w="5040" w:type="dxa"/>
            <w:tcBorders>
              <w:top w:val="nil"/>
              <w:left w:val="nil"/>
              <w:bottom w:val="single" w:sz="4" w:space="0" w:color="auto"/>
              <w:right w:val="single" w:sz="8" w:space="0" w:color="auto"/>
            </w:tcBorders>
            <w:noWrap/>
            <w:textDirection w:val="lrTb"/>
            <w:vAlign w:val="center"/>
          </w:tcPr>
          <w:p w:rsidR="00921795" w:rsidRPr="0088479B" w:rsidP="0088479B">
            <w:pPr>
              <w:bidi w:val="0"/>
              <w:rPr>
                <w:rFonts w:ascii="Times New Roman" w:hAnsi="Times New Roman"/>
                <w:lang w:val="sk-SK"/>
              </w:rPr>
            </w:pPr>
            <w:r w:rsidRPr="0088479B">
              <w:rPr>
                <w:rFonts w:ascii="Times New Roman" w:hAnsi="Times New Roman"/>
                <w:lang w:val="sk-SK"/>
              </w:rPr>
              <w:t>Zdravotné poisťovne (3)</w:t>
            </w:r>
          </w:p>
          <w:p w:rsidR="00921795" w:rsidRPr="0088479B" w:rsidP="0088479B">
            <w:pPr>
              <w:bidi w:val="0"/>
              <w:rPr>
                <w:rFonts w:ascii="Times New Roman" w:hAnsi="Times New Roman"/>
                <w:lang w:val="sk-SK"/>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3.2</w:t>
            </w:r>
            <w:r w:rsidRPr="0088479B">
              <w:rPr>
                <w:rFonts w:ascii="Times New Roman" w:hAnsi="Times New Roman"/>
                <w:lang w:val="sk-SK"/>
              </w:rPr>
              <w:t>. Aký je predpokladaný charakter a rozsah nákladov a prínosov?</w:t>
            </w:r>
          </w:p>
          <w:p w:rsidR="00921795" w:rsidRPr="0088479B" w:rsidP="0088479B">
            <w:pPr>
              <w:bidi w:val="0"/>
              <w:rPr>
                <w:rFonts w:ascii="Times New Roman" w:hAnsi="Times New Roman"/>
                <w:lang w:val="sk-SK"/>
              </w:rPr>
            </w:pPr>
          </w:p>
        </w:tc>
        <w:tc>
          <w:tcPr>
            <w:tcW w:w="5040" w:type="dxa"/>
            <w:tcBorders>
              <w:top w:val="nil"/>
              <w:left w:val="nil"/>
              <w:bottom w:val="single" w:sz="4" w:space="0" w:color="auto"/>
              <w:right w:val="single" w:sz="8" w:space="0" w:color="auto"/>
            </w:tcBorders>
            <w:noWrap/>
            <w:textDirection w:val="lrTb"/>
            <w:vAlign w:val="center"/>
          </w:tcPr>
          <w:p w:rsidR="00921795" w:rsidRPr="0088479B" w:rsidP="0088479B">
            <w:pPr>
              <w:bidi w:val="0"/>
              <w:rPr>
                <w:rFonts w:ascii="Times New Roman" w:hAnsi="Times New Roman"/>
                <w:lang w:val="sk-SK"/>
              </w:rPr>
            </w:pPr>
            <w:r w:rsidRPr="0088479B">
              <w:rPr>
                <w:rFonts w:ascii="Times New Roman" w:hAnsi="Times New Roman"/>
                <w:lang w:val="sk-SK"/>
              </w:rPr>
              <w:t>Lepšie finančné zdravie a vyššia stabilita zdravotných poisťovní.</w:t>
            </w:r>
          </w:p>
          <w:p w:rsidR="00921795" w:rsidRPr="0088479B" w:rsidP="0088479B">
            <w:pPr>
              <w:bidi w:val="0"/>
              <w:rPr>
                <w:rFonts w:ascii="Times New Roman" w:hAnsi="Times New Roman"/>
                <w:lang w:val="sk-SK"/>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3.3</w:t>
            </w:r>
            <w:r w:rsidRPr="0088479B">
              <w:rPr>
                <w:rFonts w:ascii="Times New Roman" w:hAnsi="Times New Roman"/>
                <w:lang w:val="sk-SK"/>
              </w:rPr>
              <w:t>. Aká je predpokladaná výška administratívnych nákladov, ktoré podniky vynaložia v súvislosti s implementáciou návrhu?</w:t>
            </w:r>
          </w:p>
          <w:p w:rsidR="00921795" w:rsidRPr="0088479B" w:rsidP="0088479B">
            <w:pPr>
              <w:bidi w:val="0"/>
              <w:ind w:left="360" w:hanging="360"/>
              <w:rPr>
                <w:rFonts w:ascii="Times New Roman" w:hAnsi="Times New Roman"/>
                <w:lang w:val="sk-SK"/>
              </w:rPr>
            </w:pPr>
          </w:p>
        </w:tc>
        <w:tc>
          <w:tcPr>
            <w:tcW w:w="5040" w:type="dxa"/>
            <w:tcBorders>
              <w:top w:val="nil"/>
              <w:left w:val="nil"/>
              <w:bottom w:val="single" w:sz="4" w:space="0" w:color="auto"/>
              <w:right w:val="single" w:sz="8" w:space="0" w:color="auto"/>
            </w:tcBorders>
            <w:noWrap/>
            <w:textDirection w:val="lrTb"/>
            <w:vAlign w:val="center"/>
          </w:tcPr>
          <w:p w:rsidR="00921795" w:rsidRPr="0088479B" w:rsidP="0088479B">
            <w:pPr>
              <w:bidi w:val="0"/>
              <w:rPr>
                <w:rFonts w:ascii="Times New Roman" w:hAnsi="Times New Roman"/>
                <w:lang w:val="sk-SK"/>
              </w:rPr>
            </w:pPr>
            <w:r w:rsidRPr="0088479B" w:rsidR="00E612CF">
              <w:rPr>
                <w:rFonts w:ascii="Times New Roman" w:hAnsi="Times New Roman"/>
                <w:lang w:val="sk-SK"/>
              </w:rPr>
              <w:t>Akékoľvek administratívne náklady zdravotné poisťovne vykryjú z vlastných zdrojov.</w:t>
            </w:r>
          </w:p>
          <w:p w:rsidR="00921795" w:rsidRPr="0088479B" w:rsidP="0088479B">
            <w:pPr>
              <w:bidi w:val="0"/>
              <w:rPr>
                <w:rFonts w:ascii="Times New Roman" w:hAnsi="Times New Roman"/>
                <w:lang w:val="sk-SK"/>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3.4</w:t>
            </w:r>
            <w:r w:rsidRPr="0088479B">
              <w:rPr>
                <w:rFonts w:ascii="Times New Roman" w:hAnsi="Times New Roman"/>
                <w:lang w:val="sk-SK"/>
              </w:rPr>
              <w:t>. Aké sú dôsledky pripravovaného návrhu pre fungovanie podnikateľských subjektov na slovenskom trhu (ako sa zmenia operácie na trhu?)</w:t>
            </w:r>
          </w:p>
          <w:p w:rsidR="00921795" w:rsidRPr="0088479B" w:rsidP="0088479B">
            <w:pPr>
              <w:bidi w:val="0"/>
              <w:ind w:left="360"/>
              <w:rPr>
                <w:rFonts w:ascii="Times New Roman" w:hAnsi="Times New Roman"/>
                <w:lang w:val="sk-SK"/>
              </w:rPr>
            </w:pPr>
          </w:p>
        </w:tc>
        <w:tc>
          <w:tcPr>
            <w:tcW w:w="5040" w:type="dxa"/>
            <w:tcBorders>
              <w:top w:val="nil"/>
              <w:left w:val="nil"/>
              <w:bottom w:val="single" w:sz="4" w:space="0" w:color="auto"/>
              <w:right w:val="single" w:sz="8" w:space="0" w:color="auto"/>
            </w:tcBorders>
            <w:noWrap/>
            <w:textDirection w:val="lrTb"/>
            <w:vAlign w:val="center"/>
          </w:tcPr>
          <w:p w:rsidR="00921795" w:rsidRPr="0088479B" w:rsidP="0088479B">
            <w:pPr>
              <w:bidi w:val="0"/>
              <w:rPr>
                <w:rFonts w:ascii="Times New Roman" w:hAnsi="Times New Roman"/>
                <w:lang w:val="sk-SK"/>
              </w:rPr>
            </w:pPr>
            <w:r w:rsidRPr="0088479B">
              <w:rPr>
                <w:rFonts w:ascii="Times New Roman" w:hAnsi="Times New Roman"/>
                <w:lang w:val="sk-SK"/>
              </w:rPr>
              <w:t xml:space="preserve"> Zdravotné poisťovne budú obozretnejšie riadiť svoje krátkodobé pohľadávky a záväzky.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21795" w:rsidRPr="0088479B" w:rsidP="0088479B">
            <w:pPr>
              <w:bidi w:val="0"/>
              <w:rPr>
                <w:rFonts w:ascii="Times New Roman" w:hAnsi="Times New Roman"/>
                <w:lang w:val="sk-SK"/>
              </w:rPr>
            </w:pPr>
          </w:p>
          <w:p w:rsidR="00921795" w:rsidRPr="0088479B" w:rsidP="0088479B">
            <w:pPr>
              <w:bidi w:val="0"/>
              <w:rPr>
                <w:rFonts w:ascii="Times New Roman" w:hAnsi="Times New Roman"/>
                <w:lang w:val="sk-SK"/>
              </w:rPr>
            </w:pPr>
            <w:r w:rsidRPr="0088479B">
              <w:rPr>
                <w:rFonts w:ascii="Times New Roman" w:hAnsi="Times New Roman"/>
                <w:b/>
                <w:bCs/>
                <w:lang w:val="sk-SK"/>
              </w:rPr>
              <w:t>3.5</w:t>
            </w:r>
            <w:r w:rsidRPr="0088479B">
              <w:rPr>
                <w:rFonts w:ascii="Times New Roman" w:hAnsi="Times New Roman"/>
                <w:lang w:val="sk-SK"/>
              </w:rPr>
              <w:t>. Aké sú predpokladané spoločensko – ekonomické dôsledky pripravovaných regulácií?</w:t>
            </w:r>
          </w:p>
          <w:p w:rsidR="00921795" w:rsidRPr="0088479B" w:rsidP="0088479B">
            <w:pPr>
              <w:bidi w:val="0"/>
              <w:rPr>
                <w:rFonts w:ascii="Times New Roman" w:hAnsi="Times New Roman"/>
                <w:lang w:val="sk-SK"/>
              </w:rPr>
            </w:pPr>
          </w:p>
        </w:tc>
        <w:tc>
          <w:tcPr>
            <w:tcW w:w="5040" w:type="dxa"/>
            <w:tcBorders>
              <w:top w:val="nil"/>
              <w:left w:val="nil"/>
              <w:bottom w:val="single" w:sz="4" w:space="0" w:color="auto"/>
              <w:right w:val="single" w:sz="8" w:space="0" w:color="auto"/>
            </w:tcBorders>
            <w:noWrap/>
            <w:textDirection w:val="lrTb"/>
            <w:vAlign w:val="center"/>
          </w:tcPr>
          <w:p w:rsidR="00921795" w:rsidRPr="0088479B" w:rsidP="0088479B">
            <w:pPr>
              <w:bidi w:val="0"/>
              <w:rPr>
                <w:rFonts w:ascii="Times New Roman" w:hAnsi="Times New Roman"/>
                <w:lang w:val="sk-SK"/>
              </w:rPr>
            </w:pPr>
            <w:r w:rsidRPr="0088479B">
              <w:rPr>
                <w:rFonts w:ascii="Times New Roman" w:hAnsi="Times New Roman"/>
                <w:lang w:val="sk-SK"/>
              </w:rPr>
              <w:t xml:space="preserve">Prostriedky </w:t>
            </w:r>
            <w:r w:rsidRPr="0088479B" w:rsidR="00E612CF">
              <w:rPr>
                <w:rFonts w:ascii="Times New Roman" w:hAnsi="Times New Roman"/>
                <w:lang w:val="sk-SK"/>
              </w:rPr>
              <w:t xml:space="preserve">získané postúpením pohľadávok </w:t>
            </w:r>
            <w:r w:rsidRPr="0088479B">
              <w:rPr>
                <w:rFonts w:ascii="Times New Roman" w:hAnsi="Times New Roman"/>
                <w:lang w:val="sk-SK"/>
              </w:rPr>
              <w:t xml:space="preserve">bude zdravotná poisťovňa môcť použiť na nákladovo efektívnejšiu zdravotnú starostlivosť. </w:t>
            </w:r>
          </w:p>
        </w:tc>
      </w:tr>
    </w:tbl>
    <w:p w:rsidR="001676A3" w:rsidRPr="0088479B" w:rsidP="0088479B">
      <w:pPr>
        <w:bidi w:val="0"/>
        <w:rPr>
          <w:rFonts w:ascii="Times New Roman" w:hAnsi="Times New Roman"/>
          <w:lang w:val="sk-SK"/>
        </w:rPr>
      </w:pPr>
    </w:p>
    <w:p w:rsidR="00B516A4" w:rsidRPr="0088479B" w:rsidP="0088479B">
      <w:pPr>
        <w:bidi w:val="0"/>
        <w:rPr>
          <w:rFonts w:ascii="Times New Roman" w:hAnsi="Times New Roman"/>
          <w:lang w:val="sk-SK"/>
        </w:rPr>
      </w:pPr>
      <w:r w:rsidR="004738B5">
        <w:rPr>
          <w:rFonts w:ascii="Times New Roman" w:hAnsi="Times New Roman"/>
          <w:lang w:val="sk-SK"/>
        </w:rPr>
        <w:br w:type="page"/>
      </w:r>
    </w:p>
    <w:p w:rsidR="00B516A4" w:rsidRPr="0088479B" w:rsidP="0088479B">
      <w:pPr>
        <w:pStyle w:val="NormalWeb"/>
        <w:bidi w:val="0"/>
        <w:spacing w:before="0" w:beforeAutospacing="0" w:after="0" w:afterAutospacing="0"/>
        <w:jc w:val="center"/>
        <w:rPr>
          <w:rFonts w:ascii="Times New Roman" w:hAnsi="Times New Roman"/>
          <w:b/>
        </w:rPr>
      </w:pPr>
      <w:r w:rsidRPr="0088479B">
        <w:rPr>
          <w:rFonts w:ascii="Times New Roman" w:hAnsi="Times New Roman"/>
          <w:b/>
        </w:rPr>
        <w:t>Vplyvy na informatizáciu spoločnosti</w:t>
      </w: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516A4" w:rsidRPr="0088479B" w:rsidP="0088479B">
            <w:pPr>
              <w:bidi w:val="0"/>
              <w:rPr>
                <w:rFonts w:ascii="Times New Roman" w:hAnsi="Times New Roman"/>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w:t>
            </w:r>
            <w:r w:rsidRPr="0088479B">
              <w:rPr>
                <w:rFonts w:ascii="Times New Roman" w:hAnsi="Times New Roman"/>
                <w:lang w:val="sk-SK"/>
              </w:rPr>
              <w:t xml:space="preserve"> Rozširujú alebo inovujú  sa existujúce alebo vytvárajú sa či zavádzajú  sa nové elektronické služby?</w:t>
            </w:r>
          </w:p>
          <w:p w:rsidR="00B516A4" w:rsidRPr="0088479B" w:rsidP="0088479B">
            <w:pPr>
              <w:bidi w:val="0"/>
              <w:rPr>
                <w:rFonts w:ascii="Times New Roman" w:hAnsi="Times New Roman"/>
                <w:lang w:val="sk-SK"/>
              </w:rPr>
            </w:pPr>
            <w:r w:rsidRPr="0088479B">
              <w:rPr>
                <w:rFonts w:ascii="Times New Roman" w:hAnsi="Times New Roman"/>
                <w:i/>
                <w:iCs/>
                <w:lang w:val="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33107A" w:rsidRPr="0088479B" w:rsidP="0088479B">
            <w:pPr>
              <w:bidi w:val="0"/>
              <w:rPr>
                <w:rFonts w:ascii="Times New Roman" w:hAnsi="Times New Roman"/>
                <w:lang w:val="sk-SK"/>
              </w:rPr>
            </w:pPr>
            <w:r w:rsidRPr="0088479B">
              <w:rPr>
                <w:rFonts w:ascii="Times New Roman" w:hAnsi="Times New Roman"/>
                <w:lang w:val="sk-SK"/>
              </w:rPr>
              <w:t>Áno, písomná forma komunikácie medzi zdravotnými poisťovňami a úradom v súvislosti s prijatými a potvrdenými prihláškami na verejné zdravotné poistenie sa nahrádza formou elektronickou. Úroveň III. (obojsmerná interakcia).</w:t>
            </w:r>
          </w:p>
          <w:p w:rsidR="0033107A" w:rsidRPr="0088479B" w:rsidP="0088479B">
            <w:pPr>
              <w:bidi w:val="0"/>
              <w:rPr>
                <w:rFonts w:ascii="Times New Roman" w:hAnsi="Times New Roman"/>
                <w:lang w:val="sk-SK"/>
              </w:rPr>
            </w:pPr>
            <w:r w:rsidRPr="0088479B">
              <w:rPr>
                <w:rFonts w:ascii="Times New Roman" w:hAnsi="Times New Roman"/>
                <w:color w:val="000000"/>
                <w:lang w:val="sk-SK"/>
              </w:rPr>
              <w:t>Áno, zverejňovaním rozhodnutia úradu pre dohľad nad zdravotnou starostlivosťou o prevode poistného kmeňa v Obchodnom vestníku. Úroveň I. (informatívna úroveň).</w:t>
            </w:r>
          </w:p>
          <w:p w:rsidR="00B516A4" w:rsidRPr="0088479B" w:rsidP="0088479B">
            <w:pPr>
              <w:bidi w:val="0"/>
              <w:jc w:val="left"/>
              <w:rPr>
                <w:rFonts w:ascii="Times New Roman" w:hAnsi="Times New Roman"/>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6.2.</w:t>
            </w:r>
            <w:r w:rsidRPr="0088479B">
              <w:rPr>
                <w:rFonts w:ascii="Times New Roman" w:hAnsi="Times New Roman"/>
                <w:lang w:val="sk-SK"/>
              </w:rPr>
              <w:t xml:space="preserve"> Vytvárajú sa podmienky pre sémantickú interoperabilitu?</w:t>
            </w:r>
          </w:p>
          <w:p w:rsidR="00B516A4" w:rsidRPr="0088479B" w:rsidP="0088479B">
            <w:pPr>
              <w:bidi w:val="0"/>
              <w:rPr>
                <w:rFonts w:ascii="Times New Roman" w:hAnsi="Times New Roman"/>
                <w:lang w:val="sk-SK"/>
              </w:rPr>
            </w:pPr>
            <w:r w:rsidRPr="0088479B">
              <w:rPr>
                <w:rFonts w:ascii="Times New Roman" w:hAnsi="Times New Roman"/>
                <w:i/>
                <w:iCs/>
                <w:lang w:val="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516A4" w:rsidRPr="0088479B" w:rsidP="0088479B">
            <w:pPr>
              <w:bidi w:val="0"/>
              <w:rPr>
                <w:rFonts w:ascii="Times New Roman" w:hAnsi="Times New Roman"/>
                <w:b/>
                <w:bCs/>
                <w:color w:val="FFFFFF"/>
                <w:lang w:val="sk-SK"/>
              </w:rPr>
            </w:pPr>
            <w:r w:rsidRPr="0088479B">
              <w:rPr>
                <w:rFonts w:ascii="Times New Roman" w:hAnsi="Times New Roman"/>
                <w:b/>
                <w:bCs/>
                <w:lang w:val="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516A4" w:rsidRPr="0088479B" w:rsidP="0088479B">
            <w:pPr>
              <w:bidi w:val="0"/>
              <w:rPr>
                <w:rFonts w:ascii="Times New Roman" w:hAnsi="Times New Roman"/>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6.3.</w:t>
            </w:r>
            <w:r w:rsidRPr="0088479B">
              <w:rPr>
                <w:rFonts w:ascii="Times New Roman" w:hAnsi="Times New Roman"/>
                <w:lang w:val="sk-SK"/>
              </w:rPr>
              <w:t xml:space="preserve"> Zabezpečuje sa vzdelávanie v oblasti počítačovej gramotnosti a rozširovanie vedomostí o IKT?</w:t>
            </w:r>
          </w:p>
          <w:p w:rsidR="00B516A4" w:rsidRPr="0088479B" w:rsidP="0088479B">
            <w:pPr>
              <w:bidi w:val="0"/>
              <w:rPr>
                <w:rFonts w:ascii="Times New Roman" w:hAnsi="Times New Roman"/>
                <w:lang w:val="sk-SK"/>
              </w:rPr>
            </w:pPr>
            <w:r w:rsidRPr="0088479B">
              <w:rPr>
                <w:rFonts w:ascii="Times New Roman" w:hAnsi="Times New Roman"/>
                <w:i/>
                <w:iCs/>
                <w:lang w:val="sk-SK"/>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6.4.</w:t>
            </w:r>
            <w:r w:rsidRPr="0088479B">
              <w:rPr>
                <w:rFonts w:ascii="Times New Roman" w:hAnsi="Times New Roman"/>
                <w:lang w:val="sk-SK"/>
              </w:rPr>
              <w:t xml:space="preserve"> Zabezpečuje sa rozvoj elektronického vzdelávania?</w:t>
            </w:r>
          </w:p>
          <w:p w:rsidR="00B516A4" w:rsidRPr="0088479B" w:rsidP="0088479B">
            <w:pPr>
              <w:bidi w:val="0"/>
              <w:rPr>
                <w:rFonts w:ascii="Times New Roman" w:hAnsi="Times New Roman"/>
                <w:color w:val="FFFFFF"/>
                <w:lang w:val="sk-SK"/>
              </w:rPr>
            </w:pPr>
            <w:r w:rsidRPr="0088479B">
              <w:rPr>
                <w:rFonts w:ascii="Times New Roman" w:hAnsi="Times New Roman"/>
                <w:i/>
                <w:iCs/>
                <w:lang w:val="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6.5.</w:t>
            </w:r>
            <w:r w:rsidRPr="0088479B">
              <w:rPr>
                <w:rFonts w:ascii="Times New Roman" w:hAnsi="Times New Roman"/>
                <w:lang w:val="sk-SK"/>
              </w:rPr>
              <w:t xml:space="preserve"> Zabezpečuje sa podporná a propagačná aktivita zameraná na zvyšovanie povedomia o informatizácii a IKT?</w:t>
            </w:r>
          </w:p>
          <w:p w:rsidR="00B516A4" w:rsidRPr="0088479B" w:rsidP="0088479B">
            <w:pPr>
              <w:bidi w:val="0"/>
              <w:rPr>
                <w:rFonts w:ascii="Times New Roman" w:hAnsi="Times New Roman"/>
                <w:color w:val="FFFFFF"/>
                <w:lang w:val="sk-SK"/>
              </w:rPr>
            </w:pPr>
            <w:r w:rsidRPr="0088479B">
              <w:rPr>
                <w:rFonts w:ascii="Times New Roman" w:hAnsi="Times New Roman"/>
                <w:i/>
                <w:iCs/>
                <w:lang w:val="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6.6.</w:t>
            </w:r>
            <w:r w:rsidRPr="0088479B">
              <w:rPr>
                <w:rFonts w:ascii="Times New Roman" w:hAnsi="Times New Roman"/>
                <w:lang w:val="sk-SK"/>
              </w:rPr>
              <w:t xml:space="preserve"> Zabezpečuje/zohľadňuje/zlepšuje sa prístup znevýhodnených osôb k službám informačnej spoločnosti?</w:t>
            </w:r>
          </w:p>
          <w:p w:rsidR="00B516A4" w:rsidRPr="0088479B" w:rsidP="0088479B">
            <w:pPr>
              <w:bidi w:val="0"/>
              <w:rPr>
                <w:rFonts w:ascii="Times New Roman" w:hAnsi="Times New Roman"/>
                <w:lang w:val="sk-SK"/>
              </w:rPr>
            </w:pPr>
            <w:r w:rsidRPr="0088479B">
              <w:rPr>
                <w:rFonts w:ascii="Times New Roman" w:hAnsi="Times New Roman"/>
                <w:i/>
                <w:iCs/>
                <w:lang w:val="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516A4" w:rsidRPr="0088479B" w:rsidP="0088479B">
            <w:pPr>
              <w:bidi w:val="0"/>
              <w:rPr>
                <w:rFonts w:ascii="Times New Roman" w:hAnsi="Times New Roman"/>
                <w:b/>
                <w:bCs/>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6.7.</w:t>
            </w:r>
            <w:r w:rsidRPr="0088479B">
              <w:rPr>
                <w:rFonts w:ascii="Times New Roman" w:hAnsi="Times New Roman"/>
                <w:lang w:val="sk-SK"/>
              </w:rPr>
              <w:t xml:space="preserve"> Rozširuje, inovuje, vytvára alebo zavádza sa nový informačný systém?</w:t>
            </w:r>
          </w:p>
          <w:p w:rsidR="00B516A4" w:rsidRPr="0088479B" w:rsidP="0088479B">
            <w:pPr>
              <w:bidi w:val="0"/>
              <w:rPr>
                <w:rFonts w:ascii="Times New Roman" w:hAnsi="Times New Roman"/>
                <w:lang w:val="sk-SK"/>
              </w:rPr>
            </w:pPr>
            <w:r w:rsidRPr="0088479B">
              <w:rPr>
                <w:rFonts w:ascii="Times New Roman" w:hAnsi="Times New Roman"/>
                <w:i/>
                <w:iCs/>
                <w:lang w:val="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6.8.</w:t>
            </w:r>
            <w:r w:rsidRPr="0088479B">
              <w:rPr>
                <w:rFonts w:ascii="Times New Roman" w:hAnsi="Times New Roman"/>
                <w:lang w:val="sk-SK"/>
              </w:rPr>
              <w:t xml:space="preserve"> Rozširuje sa prístupnosť k internetu?</w:t>
            </w:r>
          </w:p>
          <w:p w:rsidR="00B516A4" w:rsidRPr="0088479B" w:rsidP="0088479B">
            <w:pPr>
              <w:bidi w:val="0"/>
              <w:rPr>
                <w:rFonts w:ascii="Times New Roman" w:hAnsi="Times New Roman"/>
                <w:lang w:val="sk-SK"/>
              </w:rPr>
            </w:pPr>
            <w:r w:rsidRPr="0088479B">
              <w:rPr>
                <w:rFonts w:ascii="Times New Roman" w:hAnsi="Times New Roman"/>
                <w:i/>
                <w:iCs/>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6.9.</w:t>
            </w:r>
            <w:r w:rsidRPr="0088479B">
              <w:rPr>
                <w:rFonts w:ascii="Times New Roman" w:hAnsi="Times New Roman"/>
                <w:lang w:val="sk-SK"/>
              </w:rPr>
              <w:t xml:space="preserve"> Rozširuje sa prístupnosť k elektronickým službám?</w:t>
            </w:r>
          </w:p>
          <w:p w:rsidR="00B516A4" w:rsidRPr="0088479B" w:rsidP="0088479B">
            <w:pPr>
              <w:bidi w:val="0"/>
              <w:rPr>
                <w:rFonts w:ascii="Times New Roman" w:hAnsi="Times New Roman"/>
                <w:lang w:val="sk-SK"/>
              </w:rPr>
            </w:pPr>
            <w:r w:rsidRPr="0088479B">
              <w:rPr>
                <w:rFonts w:ascii="Times New Roman" w:hAnsi="Times New Roman"/>
                <w:i/>
                <w:iCs/>
                <w:lang w:val="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6.10.</w:t>
            </w:r>
            <w:r w:rsidRPr="0088479B">
              <w:rPr>
                <w:rFonts w:ascii="Times New Roman" w:hAnsi="Times New Roman"/>
                <w:lang w:val="sk-SK"/>
              </w:rPr>
              <w:t xml:space="preserve"> Zabezpečuje sa technická interoperabilita?</w:t>
            </w:r>
          </w:p>
          <w:p w:rsidR="00B516A4" w:rsidRPr="0088479B" w:rsidP="0088479B">
            <w:pPr>
              <w:bidi w:val="0"/>
              <w:rPr>
                <w:rFonts w:ascii="Times New Roman" w:hAnsi="Times New Roman"/>
                <w:lang w:val="sk-SK"/>
              </w:rPr>
            </w:pPr>
            <w:r w:rsidRPr="0088479B">
              <w:rPr>
                <w:rFonts w:ascii="Times New Roman" w:hAnsi="Times New Roman"/>
                <w:i/>
                <w:iCs/>
                <w:lang w:val="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6.11.</w:t>
            </w:r>
            <w:r w:rsidRPr="0088479B">
              <w:rPr>
                <w:rFonts w:ascii="Times New Roman" w:hAnsi="Times New Roman"/>
                <w:lang w:val="sk-SK"/>
              </w:rPr>
              <w:t xml:space="preserve"> Zvyšuje sa bezpečnosť IT?</w:t>
            </w:r>
          </w:p>
          <w:p w:rsidR="00B516A4" w:rsidRPr="0088479B" w:rsidP="0088479B">
            <w:pPr>
              <w:bidi w:val="0"/>
              <w:rPr>
                <w:rFonts w:ascii="Times New Roman" w:hAnsi="Times New Roman"/>
                <w:lang w:val="sk-SK"/>
              </w:rPr>
            </w:pPr>
            <w:r w:rsidRPr="0088479B">
              <w:rPr>
                <w:rFonts w:ascii="Times New Roman" w:hAnsi="Times New Roman"/>
                <w:lang w:val="sk-SK"/>
              </w:rPr>
              <w:t>(</w:t>
            </w:r>
            <w:r w:rsidRPr="0088479B">
              <w:rPr>
                <w:rFonts w:ascii="Times New Roman" w:hAnsi="Times New Roman"/>
                <w:i/>
                <w:iCs/>
                <w:lang w:val="sk-SK"/>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6.12.</w:t>
            </w:r>
            <w:r w:rsidRPr="0088479B">
              <w:rPr>
                <w:rFonts w:ascii="Times New Roman" w:hAnsi="Times New Roman"/>
                <w:lang w:val="sk-SK"/>
              </w:rPr>
              <w:t xml:space="preserve"> Rozširuje sa technická infraštruktúra?</w:t>
            </w:r>
          </w:p>
          <w:p w:rsidR="00B516A4" w:rsidRPr="0088479B" w:rsidP="0088479B">
            <w:pPr>
              <w:bidi w:val="0"/>
              <w:rPr>
                <w:rFonts w:ascii="Times New Roman" w:hAnsi="Times New Roman"/>
                <w:i/>
                <w:iCs/>
                <w:lang w:val="sk-SK"/>
              </w:rPr>
            </w:pPr>
            <w:r w:rsidRPr="0088479B">
              <w:rPr>
                <w:rFonts w:ascii="Times New Roman" w:hAnsi="Times New Roman"/>
                <w:lang w:val="sk-SK"/>
              </w:rPr>
              <w:t>(</w:t>
            </w:r>
            <w:r w:rsidRPr="0088479B">
              <w:rPr>
                <w:rFonts w:ascii="Times New Roman" w:hAnsi="Times New Roman"/>
                <w:i/>
                <w:iCs/>
                <w:lang w:val="sk-SK"/>
              </w:rPr>
              <w:t>Uveďte stručný popis zavádzanej infraštruktúry.)</w:t>
            </w:r>
          </w:p>
          <w:p w:rsidR="00B516A4" w:rsidRPr="0088479B" w:rsidP="0088479B">
            <w:pPr>
              <w:bidi w:val="0"/>
              <w:rPr>
                <w:rFonts w:ascii="Times New Roman" w:hAnsi="Times New Roman"/>
                <w:lang w:val="sk-SK"/>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jc w:val="center"/>
              <w:rPr>
                <w:rFonts w:ascii="Times New Roman" w:hAnsi="Times New Roman"/>
                <w:b/>
                <w:b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6.13.</w:t>
            </w:r>
            <w:r w:rsidRPr="0088479B">
              <w:rPr>
                <w:rFonts w:ascii="Times New Roman" w:hAnsi="Times New Roman"/>
                <w:lang w:val="sk-SK"/>
              </w:rPr>
              <w:t xml:space="preserve"> Predpokladajú sa zmeny v riadení procesu informatizácie?</w:t>
            </w:r>
          </w:p>
          <w:p w:rsidR="00B516A4" w:rsidRPr="0088479B" w:rsidP="0088479B">
            <w:pPr>
              <w:bidi w:val="0"/>
              <w:rPr>
                <w:rFonts w:ascii="Times New Roman" w:hAnsi="Times New Roman"/>
                <w:lang w:val="sk-SK"/>
              </w:rPr>
            </w:pPr>
            <w:r w:rsidRPr="0088479B">
              <w:rPr>
                <w:rFonts w:ascii="Times New Roman" w:hAnsi="Times New Roman"/>
                <w:i/>
                <w:iCs/>
                <w:lang w:val="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6.14.</w:t>
            </w:r>
            <w:r w:rsidRPr="0088479B">
              <w:rPr>
                <w:rFonts w:ascii="Times New Roman" w:hAnsi="Times New Roman"/>
                <w:lang w:val="sk-SK"/>
              </w:rPr>
              <w:t xml:space="preserve"> Vyžaduje si proces informatizácie  finančné investície?</w:t>
            </w:r>
          </w:p>
          <w:p w:rsidR="00B516A4" w:rsidRPr="0088479B" w:rsidP="0088479B">
            <w:pPr>
              <w:bidi w:val="0"/>
              <w:rPr>
                <w:rFonts w:ascii="Times New Roman" w:hAnsi="Times New Roman"/>
                <w:lang w:val="sk-SK"/>
              </w:rPr>
            </w:pPr>
            <w:r w:rsidRPr="0088479B">
              <w:rPr>
                <w:rFonts w:ascii="Times New Roman" w:hAnsi="Times New Roman"/>
                <w:i/>
                <w:iCs/>
                <w:lang w:val="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lang w:val="sk-SK"/>
              </w:rPr>
            </w:pPr>
            <w:r w:rsidRPr="0088479B">
              <w:rPr>
                <w:rFonts w:ascii="Times New Roman" w:hAnsi="Times New Roman"/>
                <w:b/>
                <w:bCs/>
                <w:lang w:val="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516A4" w:rsidRPr="0088479B" w:rsidP="0088479B">
            <w:pPr>
              <w:bidi w:val="0"/>
              <w:rPr>
                <w:rFonts w:ascii="Times New Roman" w:hAnsi="Times New Roman"/>
                <w:b/>
                <w:bCs/>
                <w:i/>
                <w:iCs/>
                <w:lang w:val="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lang w:val="sk-SK"/>
              </w:rPr>
            </w:pPr>
            <w:r w:rsidRPr="0088479B">
              <w:rPr>
                <w:rFonts w:ascii="Times New Roman" w:hAnsi="Times New Roman"/>
                <w:b/>
                <w:bCs/>
                <w:lang w:val="sk-SK"/>
              </w:rPr>
              <w:t>6.15.</w:t>
            </w:r>
            <w:r w:rsidRPr="0088479B">
              <w:rPr>
                <w:rFonts w:ascii="Times New Roman" w:hAnsi="Times New Roman"/>
                <w:lang w:val="sk-SK"/>
              </w:rPr>
              <w:t xml:space="preserve"> Predpokladá nelegislatívny materiál potrebu úpravy legislatívneho prostredia  procesu informatizácie?</w:t>
            </w:r>
          </w:p>
          <w:p w:rsidR="00B516A4" w:rsidRPr="0088479B" w:rsidP="0088479B">
            <w:pPr>
              <w:bidi w:val="0"/>
              <w:rPr>
                <w:rFonts w:ascii="Times New Roman" w:hAnsi="Times New Roman"/>
                <w:lang w:val="sk-SK"/>
              </w:rPr>
            </w:pPr>
            <w:r w:rsidRPr="0088479B">
              <w:rPr>
                <w:rFonts w:ascii="Times New Roman" w:hAnsi="Times New Roman"/>
                <w:i/>
                <w:iCs/>
                <w:lang w:val="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516A4" w:rsidRPr="0088479B" w:rsidP="0088479B">
            <w:pPr>
              <w:bidi w:val="0"/>
              <w:rPr>
                <w:rFonts w:ascii="Times New Roman" w:hAnsi="Times New Roman"/>
                <w:i/>
                <w:iCs/>
                <w:lang w:val="sk-SK"/>
              </w:rPr>
            </w:pPr>
            <w:r w:rsidRPr="0088479B">
              <w:rPr>
                <w:rFonts w:ascii="Times New Roman" w:hAnsi="Times New Roman"/>
                <w:i/>
                <w:iCs/>
                <w:lang w:val="sk-SK"/>
              </w:rPr>
              <w:t>Nie</w:t>
            </w:r>
          </w:p>
        </w:tc>
      </w:tr>
    </w:tbl>
    <w:p w:rsidR="00B516A4" w:rsidRPr="0088479B" w:rsidP="0088479B">
      <w:pPr>
        <w:bidi w:val="0"/>
        <w:jc w:val="center"/>
        <w:rPr>
          <w:rFonts w:ascii="Times New Roman" w:hAnsi="Times New Roman"/>
          <w:b/>
          <w:bCs/>
          <w:lang w:val="sk-SK"/>
        </w:rPr>
      </w:pPr>
    </w:p>
    <w:p w:rsidR="00B516A4" w:rsidRPr="0088479B" w:rsidP="0088479B">
      <w:pPr>
        <w:bidi w:val="0"/>
        <w:rPr>
          <w:rFonts w:ascii="Times New Roman" w:hAnsi="Times New Roman"/>
          <w:b/>
          <w:bCs/>
          <w:lang w:val="sk-SK"/>
        </w:rPr>
      </w:pPr>
    </w:p>
    <w:p w:rsidR="00B516A4" w:rsidRPr="0088479B" w:rsidP="0088479B">
      <w:pPr>
        <w:bidi w:val="0"/>
        <w:rPr>
          <w:rFonts w:ascii="Times New Roman" w:hAnsi="Times New Roman"/>
          <w:lang w:val="sk-SK"/>
        </w:rPr>
      </w:pPr>
    </w:p>
    <w:sectPr w:rsidSect="00594A66">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lnNumType w:distance="0"/>
      <w:pgNumType w:start="2"/>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F" w:rsidP="00594A6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0269F" w:rsidP="0092179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A66" w:rsidP="006755B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C4EBB">
      <w:rPr>
        <w:rStyle w:val="PageNumber"/>
        <w:rFonts w:ascii="Times New Roman" w:hAnsi="Times New Roman"/>
        <w:noProof/>
      </w:rPr>
      <w:t>12</w:t>
    </w:r>
    <w:r>
      <w:rPr>
        <w:rStyle w:val="PageNumber"/>
        <w:rFonts w:ascii="Times New Roman" w:hAnsi="Times New Roman"/>
      </w:rPr>
      <w:fldChar w:fldCharType="end"/>
    </w:r>
  </w:p>
  <w:p w:rsidR="0090269F" w:rsidP="00921795">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F">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F">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F">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F">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BF4"/>
    <w:multiLevelType w:val="hybridMultilevel"/>
    <w:tmpl w:val="A3C8C1BC"/>
    <w:lvl w:ilvl="0">
      <w:start w:val="1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2250395"/>
    <w:multiLevelType w:val="hybridMultilevel"/>
    <w:tmpl w:val="5192C65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573B2827"/>
    <w:multiLevelType w:val="hybridMultilevel"/>
    <w:tmpl w:val="90A48084"/>
    <w:lvl w:ilvl="0">
      <w:start w:val="1"/>
      <w:numFmt w:val="bullet"/>
      <w:lvlText w:val="-"/>
      <w:lvlJc w:val="left"/>
      <w:pPr>
        <w:ind w:left="720" w:hanging="360"/>
      </w:pPr>
      <w:rPr>
        <w:rFonts w:ascii="Times New Roman" w:eastAsia="Calibri" w:hAnsi="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E29576C"/>
    <w:multiLevelType w:val="hybridMultilevel"/>
    <w:tmpl w:val="44365D88"/>
    <w:lvl w:ilvl="0">
      <w:start w:val="1"/>
      <w:numFmt w:val="decimal"/>
      <w:lvlText w:val="%1."/>
      <w:lvlJc w:val="left"/>
      <w:pPr>
        <w:ind w:left="420" w:hanging="360"/>
      </w:pPr>
      <w:rPr>
        <w:rFonts w:cs="Times New Roman" w:hint="default"/>
        <w:sz w:val="24"/>
        <w:szCs w:val="24"/>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
    <w:nsid w:val="77A120C0"/>
    <w:multiLevelType w:val="hybridMultilevel"/>
    <w:tmpl w:val="3B965F2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3"/>
  </w:num>
  <w:num w:numId="3">
    <w:abstractNumId w:val="0"/>
  </w:num>
  <w:num w:numId="4">
    <w:abstractNumId w:val="2"/>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921795"/>
    <w:rsid w:val="0000027A"/>
    <w:rsid w:val="000004E1"/>
    <w:rsid w:val="00000B86"/>
    <w:rsid w:val="000020B2"/>
    <w:rsid w:val="0000327E"/>
    <w:rsid w:val="000039FE"/>
    <w:rsid w:val="000044BF"/>
    <w:rsid w:val="00005C22"/>
    <w:rsid w:val="000068C7"/>
    <w:rsid w:val="00006A25"/>
    <w:rsid w:val="00006A37"/>
    <w:rsid w:val="0000727F"/>
    <w:rsid w:val="00007BE1"/>
    <w:rsid w:val="00011E92"/>
    <w:rsid w:val="00012B13"/>
    <w:rsid w:val="00014C04"/>
    <w:rsid w:val="00015867"/>
    <w:rsid w:val="00015FB5"/>
    <w:rsid w:val="00016E54"/>
    <w:rsid w:val="00017EB4"/>
    <w:rsid w:val="00020B86"/>
    <w:rsid w:val="00021514"/>
    <w:rsid w:val="000215B9"/>
    <w:rsid w:val="00021906"/>
    <w:rsid w:val="00021E5F"/>
    <w:rsid w:val="00023AF1"/>
    <w:rsid w:val="00024CDB"/>
    <w:rsid w:val="00024CE2"/>
    <w:rsid w:val="00024F9B"/>
    <w:rsid w:val="0002668B"/>
    <w:rsid w:val="0002713A"/>
    <w:rsid w:val="00030891"/>
    <w:rsid w:val="000308E3"/>
    <w:rsid w:val="000330A6"/>
    <w:rsid w:val="0003428B"/>
    <w:rsid w:val="00035042"/>
    <w:rsid w:val="0003573F"/>
    <w:rsid w:val="0003634D"/>
    <w:rsid w:val="000366C1"/>
    <w:rsid w:val="000371B8"/>
    <w:rsid w:val="00037FCA"/>
    <w:rsid w:val="00041BE2"/>
    <w:rsid w:val="00041DF7"/>
    <w:rsid w:val="00042725"/>
    <w:rsid w:val="00045F88"/>
    <w:rsid w:val="00046041"/>
    <w:rsid w:val="000474B9"/>
    <w:rsid w:val="00047934"/>
    <w:rsid w:val="00051176"/>
    <w:rsid w:val="00051F1C"/>
    <w:rsid w:val="00052DAE"/>
    <w:rsid w:val="000530DD"/>
    <w:rsid w:val="000541A9"/>
    <w:rsid w:val="000552FB"/>
    <w:rsid w:val="0005539D"/>
    <w:rsid w:val="000555F6"/>
    <w:rsid w:val="000614B8"/>
    <w:rsid w:val="00062117"/>
    <w:rsid w:val="000640C3"/>
    <w:rsid w:val="000652D0"/>
    <w:rsid w:val="00065E30"/>
    <w:rsid w:val="00066D23"/>
    <w:rsid w:val="00066FF3"/>
    <w:rsid w:val="000700AC"/>
    <w:rsid w:val="00070A8C"/>
    <w:rsid w:val="00070D66"/>
    <w:rsid w:val="000726A6"/>
    <w:rsid w:val="00074490"/>
    <w:rsid w:val="0007567C"/>
    <w:rsid w:val="00075DAD"/>
    <w:rsid w:val="000760AA"/>
    <w:rsid w:val="00077275"/>
    <w:rsid w:val="00077A93"/>
    <w:rsid w:val="00080E98"/>
    <w:rsid w:val="000823B3"/>
    <w:rsid w:val="000840D0"/>
    <w:rsid w:val="00084ABF"/>
    <w:rsid w:val="00084C15"/>
    <w:rsid w:val="0008507A"/>
    <w:rsid w:val="00085484"/>
    <w:rsid w:val="0008686E"/>
    <w:rsid w:val="00086B72"/>
    <w:rsid w:val="00090C29"/>
    <w:rsid w:val="000938AE"/>
    <w:rsid w:val="00093A88"/>
    <w:rsid w:val="000943E9"/>
    <w:rsid w:val="00094EA8"/>
    <w:rsid w:val="00095F7B"/>
    <w:rsid w:val="0009614C"/>
    <w:rsid w:val="00096290"/>
    <w:rsid w:val="000A01F3"/>
    <w:rsid w:val="000A0D45"/>
    <w:rsid w:val="000A1057"/>
    <w:rsid w:val="000A151A"/>
    <w:rsid w:val="000A20D2"/>
    <w:rsid w:val="000A2932"/>
    <w:rsid w:val="000A29D0"/>
    <w:rsid w:val="000A2BFD"/>
    <w:rsid w:val="000A3166"/>
    <w:rsid w:val="000A34C6"/>
    <w:rsid w:val="000A474C"/>
    <w:rsid w:val="000A5731"/>
    <w:rsid w:val="000A64D6"/>
    <w:rsid w:val="000A69FD"/>
    <w:rsid w:val="000A7327"/>
    <w:rsid w:val="000A76D1"/>
    <w:rsid w:val="000B057B"/>
    <w:rsid w:val="000B05FB"/>
    <w:rsid w:val="000B0D79"/>
    <w:rsid w:val="000B0FFF"/>
    <w:rsid w:val="000B2147"/>
    <w:rsid w:val="000B3024"/>
    <w:rsid w:val="000B444A"/>
    <w:rsid w:val="000B45D3"/>
    <w:rsid w:val="000B71D3"/>
    <w:rsid w:val="000C0087"/>
    <w:rsid w:val="000C064D"/>
    <w:rsid w:val="000C1224"/>
    <w:rsid w:val="000C24EC"/>
    <w:rsid w:val="000C301E"/>
    <w:rsid w:val="000C4A16"/>
    <w:rsid w:val="000C4DA7"/>
    <w:rsid w:val="000C4E1E"/>
    <w:rsid w:val="000C5587"/>
    <w:rsid w:val="000C6C7C"/>
    <w:rsid w:val="000C7636"/>
    <w:rsid w:val="000D0AC5"/>
    <w:rsid w:val="000D0FF3"/>
    <w:rsid w:val="000D2934"/>
    <w:rsid w:val="000D2A85"/>
    <w:rsid w:val="000D2DDC"/>
    <w:rsid w:val="000D4C74"/>
    <w:rsid w:val="000D7094"/>
    <w:rsid w:val="000D7356"/>
    <w:rsid w:val="000D7B71"/>
    <w:rsid w:val="000D7C40"/>
    <w:rsid w:val="000E12F6"/>
    <w:rsid w:val="000E2802"/>
    <w:rsid w:val="000E3748"/>
    <w:rsid w:val="000E57BC"/>
    <w:rsid w:val="000E6628"/>
    <w:rsid w:val="000E7B1E"/>
    <w:rsid w:val="000F0AC0"/>
    <w:rsid w:val="000F0B10"/>
    <w:rsid w:val="000F27C3"/>
    <w:rsid w:val="000F3FA3"/>
    <w:rsid w:val="000F426A"/>
    <w:rsid w:val="000F5AA1"/>
    <w:rsid w:val="000F5E90"/>
    <w:rsid w:val="000F717C"/>
    <w:rsid w:val="000F7880"/>
    <w:rsid w:val="001014FE"/>
    <w:rsid w:val="0010169B"/>
    <w:rsid w:val="00101AA7"/>
    <w:rsid w:val="001022CF"/>
    <w:rsid w:val="0010339C"/>
    <w:rsid w:val="00103772"/>
    <w:rsid w:val="00103893"/>
    <w:rsid w:val="00104EF3"/>
    <w:rsid w:val="00105EC8"/>
    <w:rsid w:val="0010643F"/>
    <w:rsid w:val="00106E33"/>
    <w:rsid w:val="0010764F"/>
    <w:rsid w:val="00110F19"/>
    <w:rsid w:val="00111D5E"/>
    <w:rsid w:val="00112120"/>
    <w:rsid w:val="0011288A"/>
    <w:rsid w:val="00113013"/>
    <w:rsid w:val="0011352D"/>
    <w:rsid w:val="001144A0"/>
    <w:rsid w:val="001149A1"/>
    <w:rsid w:val="00115216"/>
    <w:rsid w:val="0011675F"/>
    <w:rsid w:val="001169E1"/>
    <w:rsid w:val="00117F24"/>
    <w:rsid w:val="001209EE"/>
    <w:rsid w:val="00121DA2"/>
    <w:rsid w:val="001229F4"/>
    <w:rsid w:val="001241D4"/>
    <w:rsid w:val="00124711"/>
    <w:rsid w:val="00125376"/>
    <w:rsid w:val="0012629A"/>
    <w:rsid w:val="00130C7C"/>
    <w:rsid w:val="00131743"/>
    <w:rsid w:val="001317F4"/>
    <w:rsid w:val="0013210C"/>
    <w:rsid w:val="001324F5"/>
    <w:rsid w:val="00132517"/>
    <w:rsid w:val="001327C7"/>
    <w:rsid w:val="00134826"/>
    <w:rsid w:val="00134CC2"/>
    <w:rsid w:val="00137986"/>
    <w:rsid w:val="00137DE0"/>
    <w:rsid w:val="00140528"/>
    <w:rsid w:val="001432C7"/>
    <w:rsid w:val="00143652"/>
    <w:rsid w:val="0014751B"/>
    <w:rsid w:val="00147B65"/>
    <w:rsid w:val="001501ED"/>
    <w:rsid w:val="0015082E"/>
    <w:rsid w:val="00150D39"/>
    <w:rsid w:val="0015298A"/>
    <w:rsid w:val="001538EA"/>
    <w:rsid w:val="00154A03"/>
    <w:rsid w:val="00157BF8"/>
    <w:rsid w:val="00157FB6"/>
    <w:rsid w:val="00161080"/>
    <w:rsid w:val="00161097"/>
    <w:rsid w:val="00161679"/>
    <w:rsid w:val="00161EB7"/>
    <w:rsid w:val="0016245E"/>
    <w:rsid w:val="00162A5E"/>
    <w:rsid w:val="001631DD"/>
    <w:rsid w:val="001638C0"/>
    <w:rsid w:val="00164236"/>
    <w:rsid w:val="001665BD"/>
    <w:rsid w:val="001669B3"/>
    <w:rsid w:val="00166CF4"/>
    <w:rsid w:val="00167689"/>
    <w:rsid w:val="001676A3"/>
    <w:rsid w:val="00170664"/>
    <w:rsid w:val="001709D9"/>
    <w:rsid w:val="001722EF"/>
    <w:rsid w:val="0017359B"/>
    <w:rsid w:val="001740CE"/>
    <w:rsid w:val="0017413E"/>
    <w:rsid w:val="00174BC1"/>
    <w:rsid w:val="00175357"/>
    <w:rsid w:val="00176B1B"/>
    <w:rsid w:val="00176DD7"/>
    <w:rsid w:val="001802E3"/>
    <w:rsid w:val="001819A6"/>
    <w:rsid w:val="0018656F"/>
    <w:rsid w:val="0018787A"/>
    <w:rsid w:val="00190A88"/>
    <w:rsid w:val="00190DB9"/>
    <w:rsid w:val="0019106F"/>
    <w:rsid w:val="00191B42"/>
    <w:rsid w:val="001924A5"/>
    <w:rsid w:val="001925D2"/>
    <w:rsid w:val="00193D48"/>
    <w:rsid w:val="00194F50"/>
    <w:rsid w:val="00195AA2"/>
    <w:rsid w:val="00195B56"/>
    <w:rsid w:val="00195DCC"/>
    <w:rsid w:val="001978CB"/>
    <w:rsid w:val="001A09F3"/>
    <w:rsid w:val="001A0F30"/>
    <w:rsid w:val="001A17EC"/>
    <w:rsid w:val="001A37AA"/>
    <w:rsid w:val="001A6D24"/>
    <w:rsid w:val="001B0DDE"/>
    <w:rsid w:val="001B206A"/>
    <w:rsid w:val="001B3057"/>
    <w:rsid w:val="001B3106"/>
    <w:rsid w:val="001B42D7"/>
    <w:rsid w:val="001B4619"/>
    <w:rsid w:val="001B4FE9"/>
    <w:rsid w:val="001B5026"/>
    <w:rsid w:val="001B5A6B"/>
    <w:rsid w:val="001C1C23"/>
    <w:rsid w:val="001C1EC9"/>
    <w:rsid w:val="001C4E63"/>
    <w:rsid w:val="001C6DD3"/>
    <w:rsid w:val="001C7ACD"/>
    <w:rsid w:val="001D06C7"/>
    <w:rsid w:val="001D1ACD"/>
    <w:rsid w:val="001D3E54"/>
    <w:rsid w:val="001D4A12"/>
    <w:rsid w:val="001D5522"/>
    <w:rsid w:val="001D588B"/>
    <w:rsid w:val="001D5D94"/>
    <w:rsid w:val="001D5EB4"/>
    <w:rsid w:val="001D7DFD"/>
    <w:rsid w:val="001E026A"/>
    <w:rsid w:val="001E059D"/>
    <w:rsid w:val="001E1B9B"/>
    <w:rsid w:val="001E1BA5"/>
    <w:rsid w:val="001E1BF3"/>
    <w:rsid w:val="001E5575"/>
    <w:rsid w:val="001E6450"/>
    <w:rsid w:val="001E6DBE"/>
    <w:rsid w:val="001E72E5"/>
    <w:rsid w:val="001F0121"/>
    <w:rsid w:val="001F0F77"/>
    <w:rsid w:val="001F1C64"/>
    <w:rsid w:val="001F1CC7"/>
    <w:rsid w:val="001F2EF4"/>
    <w:rsid w:val="001F36CB"/>
    <w:rsid w:val="001F3CBB"/>
    <w:rsid w:val="001F4B01"/>
    <w:rsid w:val="001F4DB0"/>
    <w:rsid w:val="001F7730"/>
    <w:rsid w:val="00201439"/>
    <w:rsid w:val="00201627"/>
    <w:rsid w:val="00202408"/>
    <w:rsid w:val="0020256E"/>
    <w:rsid w:val="00203335"/>
    <w:rsid w:val="002036D7"/>
    <w:rsid w:val="00204238"/>
    <w:rsid w:val="002042FB"/>
    <w:rsid w:val="0020436E"/>
    <w:rsid w:val="00204478"/>
    <w:rsid w:val="0020779D"/>
    <w:rsid w:val="0021094B"/>
    <w:rsid w:val="00212E87"/>
    <w:rsid w:val="00214589"/>
    <w:rsid w:val="002146FE"/>
    <w:rsid w:val="00214B7D"/>
    <w:rsid w:val="0021505E"/>
    <w:rsid w:val="00215469"/>
    <w:rsid w:val="002156B7"/>
    <w:rsid w:val="00215B51"/>
    <w:rsid w:val="00216B25"/>
    <w:rsid w:val="002170B0"/>
    <w:rsid w:val="00217D9F"/>
    <w:rsid w:val="00220A00"/>
    <w:rsid w:val="00222663"/>
    <w:rsid w:val="00223039"/>
    <w:rsid w:val="00224209"/>
    <w:rsid w:val="00224559"/>
    <w:rsid w:val="0022549A"/>
    <w:rsid w:val="002255BD"/>
    <w:rsid w:val="002271C8"/>
    <w:rsid w:val="00231D67"/>
    <w:rsid w:val="002324C7"/>
    <w:rsid w:val="002334A2"/>
    <w:rsid w:val="00234216"/>
    <w:rsid w:val="00235B64"/>
    <w:rsid w:val="00235BC9"/>
    <w:rsid w:val="00236D66"/>
    <w:rsid w:val="002375B3"/>
    <w:rsid w:val="002375F1"/>
    <w:rsid w:val="00237CC3"/>
    <w:rsid w:val="002409EB"/>
    <w:rsid w:val="00241FB7"/>
    <w:rsid w:val="00242539"/>
    <w:rsid w:val="00244180"/>
    <w:rsid w:val="002502E8"/>
    <w:rsid w:val="0025070E"/>
    <w:rsid w:val="002507F3"/>
    <w:rsid w:val="0025315E"/>
    <w:rsid w:val="002536CE"/>
    <w:rsid w:val="0025411A"/>
    <w:rsid w:val="002547B7"/>
    <w:rsid w:val="00254C30"/>
    <w:rsid w:val="002555C6"/>
    <w:rsid w:val="0025568A"/>
    <w:rsid w:val="00256AB7"/>
    <w:rsid w:val="00256B70"/>
    <w:rsid w:val="002619BD"/>
    <w:rsid w:val="002626C5"/>
    <w:rsid w:val="002630E5"/>
    <w:rsid w:val="00266C98"/>
    <w:rsid w:val="0026742E"/>
    <w:rsid w:val="002677A0"/>
    <w:rsid w:val="002677B5"/>
    <w:rsid w:val="00267C21"/>
    <w:rsid w:val="00270FFB"/>
    <w:rsid w:val="002717E8"/>
    <w:rsid w:val="00272960"/>
    <w:rsid w:val="00274287"/>
    <w:rsid w:val="00275ADA"/>
    <w:rsid w:val="002762EA"/>
    <w:rsid w:val="002771FC"/>
    <w:rsid w:val="00280812"/>
    <w:rsid w:val="002809F6"/>
    <w:rsid w:val="00280DCC"/>
    <w:rsid w:val="00282FFE"/>
    <w:rsid w:val="002845EE"/>
    <w:rsid w:val="00284823"/>
    <w:rsid w:val="00284C8D"/>
    <w:rsid w:val="00284E5A"/>
    <w:rsid w:val="00285039"/>
    <w:rsid w:val="00286437"/>
    <w:rsid w:val="002900DD"/>
    <w:rsid w:val="002926CA"/>
    <w:rsid w:val="002928D9"/>
    <w:rsid w:val="002929B8"/>
    <w:rsid w:val="00292C7B"/>
    <w:rsid w:val="00292DF0"/>
    <w:rsid w:val="002937D7"/>
    <w:rsid w:val="00293C57"/>
    <w:rsid w:val="00293FF1"/>
    <w:rsid w:val="0029715C"/>
    <w:rsid w:val="00297397"/>
    <w:rsid w:val="00297587"/>
    <w:rsid w:val="002A1113"/>
    <w:rsid w:val="002A61AB"/>
    <w:rsid w:val="002A67F2"/>
    <w:rsid w:val="002A6E32"/>
    <w:rsid w:val="002A79AC"/>
    <w:rsid w:val="002B04F7"/>
    <w:rsid w:val="002B1972"/>
    <w:rsid w:val="002B23F5"/>
    <w:rsid w:val="002B2951"/>
    <w:rsid w:val="002B30B0"/>
    <w:rsid w:val="002B349D"/>
    <w:rsid w:val="002B37D1"/>
    <w:rsid w:val="002B425C"/>
    <w:rsid w:val="002B5399"/>
    <w:rsid w:val="002B6940"/>
    <w:rsid w:val="002C0B75"/>
    <w:rsid w:val="002C1896"/>
    <w:rsid w:val="002C252F"/>
    <w:rsid w:val="002C25ED"/>
    <w:rsid w:val="002C2DC9"/>
    <w:rsid w:val="002C381F"/>
    <w:rsid w:val="002C3990"/>
    <w:rsid w:val="002C3B2E"/>
    <w:rsid w:val="002C3F97"/>
    <w:rsid w:val="002C435B"/>
    <w:rsid w:val="002C5700"/>
    <w:rsid w:val="002C6E5A"/>
    <w:rsid w:val="002C78E0"/>
    <w:rsid w:val="002C7AD3"/>
    <w:rsid w:val="002C7E35"/>
    <w:rsid w:val="002D0DCF"/>
    <w:rsid w:val="002D3A09"/>
    <w:rsid w:val="002D3B77"/>
    <w:rsid w:val="002D56BE"/>
    <w:rsid w:val="002D581B"/>
    <w:rsid w:val="002D5F36"/>
    <w:rsid w:val="002D6621"/>
    <w:rsid w:val="002D705D"/>
    <w:rsid w:val="002E0A50"/>
    <w:rsid w:val="002E19F7"/>
    <w:rsid w:val="002E1E8F"/>
    <w:rsid w:val="002E365C"/>
    <w:rsid w:val="002E3E0B"/>
    <w:rsid w:val="002E664B"/>
    <w:rsid w:val="002F026F"/>
    <w:rsid w:val="002F129B"/>
    <w:rsid w:val="002F17AA"/>
    <w:rsid w:val="002F4464"/>
    <w:rsid w:val="002F4E03"/>
    <w:rsid w:val="002F511C"/>
    <w:rsid w:val="002F530E"/>
    <w:rsid w:val="002F5F0B"/>
    <w:rsid w:val="002F6391"/>
    <w:rsid w:val="002F6594"/>
    <w:rsid w:val="002F6810"/>
    <w:rsid w:val="002F6C4D"/>
    <w:rsid w:val="002F7560"/>
    <w:rsid w:val="002F7695"/>
    <w:rsid w:val="002F7924"/>
    <w:rsid w:val="002F7F39"/>
    <w:rsid w:val="00301B38"/>
    <w:rsid w:val="003023AC"/>
    <w:rsid w:val="003024EA"/>
    <w:rsid w:val="003035C9"/>
    <w:rsid w:val="0030419A"/>
    <w:rsid w:val="0030427C"/>
    <w:rsid w:val="00305D30"/>
    <w:rsid w:val="003071B5"/>
    <w:rsid w:val="00307ACA"/>
    <w:rsid w:val="00310C29"/>
    <w:rsid w:val="003121FF"/>
    <w:rsid w:val="00312C76"/>
    <w:rsid w:val="00313956"/>
    <w:rsid w:val="003148FC"/>
    <w:rsid w:val="00317ECA"/>
    <w:rsid w:val="00320BA0"/>
    <w:rsid w:val="003217D6"/>
    <w:rsid w:val="00322205"/>
    <w:rsid w:val="0032274C"/>
    <w:rsid w:val="00323179"/>
    <w:rsid w:val="00324CAF"/>
    <w:rsid w:val="003255D6"/>
    <w:rsid w:val="003266DC"/>
    <w:rsid w:val="0033107A"/>
    <w:rsid w:val="0033195A"/>
    <w:rsid w:val="00333AB2"/>
    <w:rsid w:val="00334F3F"/>
    <w:rsid w:val="00336905"/>
    <w:rsid w:val="003378C1"/>
    <w:rsid w:val="00341F68"/>
    <w:rsid w:val="00342223"/>
    <w:rsid w:val="00344058"/>
    <w:rsid w:val="003456D6"/>
    <w:rsid w:val="0034772E"/>
    <w:rsid w:val="00347D73"/>
    <w:rsid w:val="00347F0F"/>
    <w:rsid w:val="003501D5"/>
    <w:rsid w:val="00351A85"/>
    <w:rsid w:val="0035227F"/>
    <w:rsid w:val="003535A4"/>
    <w:rsid w:val="00353874"/>
    <w:rsid w:val="00355422"/>
    <w:rsid w:val="003568C2"/>
    <w:rsid w:val="00356EC7"/>
    <w:rsid w:val="00360641"/>
    <w:rsid w:val="00361AC9"/>
    <w:rsid w:val="00361C41"/>
    <w:rsid w:val="0036241C"/>
    <w:rsid w:val="00363D8E"/>
    <w:rsid w:val="0036404D"/>
    <w:rsid w:val="003652C5"/>
    <w:rsid w:val="00365D4E"/>
    <w:rsid w:val="003665FB"/>
    <w:rsid w:val="00366A44"/>
    <w:rsid w:val="0036734D"/>
    <w:rsid w:val="00367ED4"/>
    <w:rsid w:val="0037080D"/>
    <w:rsid w:val="00370834"/>
    <w:rsid w:val="00370DAE"/>
    <w:rsid w:val="003711A9"/>
    <w:rsid w:val="0037153B"/>
    <w:rsid w:val="00371676"/>
    <w:rsid w:val="003723D6"/>
    <w:rsid w:val="00373C3B"/>
    <w:rsid w:val="00374673"/>
    <w:rsid w:val="00375063"/>
    <w:rsid w:val="0037581B"/>
    <w:rsid w:val="003759F0"/>
    <w:rsid w:val="00375BD9"/>
    <w:rsid w:val="0037701A"/>
    <w:rsid w:val="00377041"/>
    <w:rsid w:val="00377BC9"/>
    <w:rsid w:val="003813C2"/>
    <w:rsid w:val="00382541"/>
    <w:rsid w:val="00382DD2"/>
    <w:rsid w:val="0038377B"/>
    <w:rsid w:val="00384CB0"/>
    <w:rsid w:val="0038692B"/>
    <w:rsid w:val="00387F05"/>
    <w:rsid w:val="00390B3A"/>
    <w:rsid w:val="00390C9D"/>
    <w:rsid w:val="003918E7"/>
    <w:rsid w:val="00392499"/>
    <w:rsid w:val="00393DAF"/>
    <w:rsid w:val="003940AE"/>
    <w:rsid w:val="00395A57"/>
    <w:rsid w:val="003965A7"/>
    <w:rsid w:val="00396D01"/>
    <w:rsid w:val="00397392"/>
    <w:rsid w:val="00397454"/>
    <w:rsid w:val="003977F2"/>
    <w:rsid w:val="003A08BD"/>
    <w:rsid w:val="003A3254"/>
    <w:rsid w:val="003A3E08"/>
    <w:rsid w:val="003A5893"/>
    <w:rsid w:val="003A66E0"/>
    <w:rsid w:val="003A671C"/>
    <w:rsid w:val="003A6882"/>
    <w:rsid w:val="003A6FCE"/>
    <w:rsid w:val="003A75CC"/>
    <w:rsid w:val="003A7A4E"/>
    <w:rsid w:val="003B0386"/>
    <w:rsid w:val="003B0E66"/>
    <w:rsid w:val="003B1DF9"/>
    <w:rsid w:val="003B1FC7"/>
    <w:rsid w:val="003B1FF7"/>
    <w:rsid w:val="003B2AF5"/>
    <w:rsid w:val="003B339D"/>
    <w:rsid w:val="003B34EA"/>
    <w:rsid w:val="003B365D"/>
    <w:rsid w:val="003B5F71"/>
    <w:rsid w:val="003B62E0"/>
    <w:rsid w:val="003C0996"/>
    <w:rsid w:val="003C0B48"/>
    <w:rsid w:val="003C22D6"/>
    <w:rsid w:val="003C296D"/>
    <w:rsid w:val="003C4B39"/>
    <w:rsid w:val="003C68C8"/>
    <w:rsid w:val="003C6B72"/>
    <w:rsid w:val="003C7D5B"/>
    <w:rsid w:val="003D1CD3"/>
    <w:rsid w:val="003D1F75"/>
    <w:rsid w:val="003D2324"/>
    <w:rsid w:val="003D2C9A"/>
    <w:rsid w:val="003D43A5"/>
    <w:rsid w:val="003D5501"/>
    <w:rsid w:val="003D7942"/>
    <w:rsid w:val="003D7F82"/>
    <w:rsid w:val="003D7F8C"/>
    <w:rsid w:val="003E15A1"/>
    <w:rsid w:val="003E176A"/>
    <w:rsid w:val="003E18EA"/>
    <w:rsid w:val="003E2248"/>
    <w:rsid w:val="003E518C"/>
    <w:rsid w:val="003E5E64"/>
    <w:rsid w:val="003E5EA8"/>
    <w:rsid w:val="003E7AA6"/>
    <w:rsid w:val="003E7B2F"/>
    <w:rsid w:val="003F0864"/>
    <w:rsid w:val="003F0F37"/>
    <w:rsid w:val="003F17EE"/>
    <w:rsid w:val="003F2274"/>
    <w:rsid w:val="003F376F"/>
    <w:rsid w:val="003F4C51"/>
    <w:rsid w:val="003F53C2"/>
    <w:rsid w:val="003F5E76"/>
    <w:rsid w:val="003F68F5"/>
    <w:rsid w:val="00400A47"/>
    <w:rsid w:val="004026A5"/>
    <w:rsid w:val="00402821"/>
    <w:rsid w:val="00402E16"/>
    <w:rsid w:val="00403135"/>
    <w:rsid w:val="00403AA4"/>
    <w:rsid w:val="00403C72"/>
    <w:rsid w:val="00404B8B"/>
    <w:rsid w:val="00405E17"/>
    <w:rsid w:val="004075B0"/>
    <w:rsid w:val="00407BE7"/>
    <w:rsid w:val="00407DFC"/>
    <w:rsid w:val="00407EEE"/>
    <w:rsid w:val="0041175E"/>
    <w:rsid w:val="00411C05"/>
    <w:rsid w:val="00413876"/>
    <w:rsid w:val="00413A55"/>
    <w:rsid w:val="00414980"/>
    <w:rsid w:val="004154AD"/>
    <w:rsid w:val="00417566"/>
    <w:rsid w:val="00417BBD"/>
    <w:rsid w:val="00417C70"/>
    <w:rsid w:val="00422CD1"/>
    <w:rsid w:val="00422FA1"/>
    <w:rsid w:val="00424399"/>
    <w:rsid w:val="00425A86"/>
    <w:rsid w:val="00425B54"/>
    <w:rsid w:val="004263DF"/>
    <w:rsid w:val="00427D46"/>
    <w:rsid w:val="00431051"/>
    <w:rsid w:val="00432AD2"/>
    <w:rsid w:val="00433BBE"/>
    <w:rsid w:val="00440932"/>
    <w:rsid w:val="00440C03"/>
    <w:rsid w:val="00442CD3"/>
    <w:rsid w:val="00443202"/>
    <w:rsid w:val="0044357A"/>
    <w:rsid w:val="004435C4"/>
    <w:rsid w:val="00445492"/>
    <w:rsid w:val="00446478"/>
    <w:rsid w:val="00446A5D"/>
    <w:rsid w:val="004506C0"/>
    <w:rsid w:val="004511B6"/>
    <w:rsid w:val="0045160B"/>
    <w:rsid w:val="00453F54"/>
    <w:rsid w:val="004548AE"/>
    <w:rsid w:val="00454B33"/>
    <w:rsid w:val="0045502F"/>
    <w:rsid w:val="00455145"/>
    <w:rsid w:val="004558DF"/>
    <w:rsid w:val="0045685F"/>
    <w:rsid w:val="004571AD"/>
    <w:rsid w:val="004574CF"/>
    <w:rsid w:val="00457DA5"/>
    <w:rsid w:val="00457FD5"/>
    <w:rsid w:val="00460016"/>
    <w:rsid w:val="00461FFD"/>
    <w:rsid w:val="00462869"/>
    <w:rsid w:val="00462B98"/>
    <w:rsid w:val="004650F2"/>
    <w:rsid w:val="00466001"/>
    <w:rsid w:val="0046660B"/>
    <w:rsid w:val="00467072"/>
    <w:rsid w:val="0046721B"/>
    <w:rsid w:val="0047170E"/>
    <w:rsid w:val="00471DAD"/>
    <w:rsid w:val="00471ED5"/>
    <w:rsid w:val="00472296"/>
    <w:rsid w:val="00472A3F"/>
    <w:rsid w:val="00472ED3"/>
    <w:rsid w:val="00472FE4"/>
    <w:rsid w:val="00473554"/>
    <w:rsid w:val="004738B5"/>
    <w:rsid w:val="00473E77"/>
    <w:rsid w:val="00474B48"/>
    <w:rsid w:val="00474E26"/>
    <w:rsid w:val="00475C14"/>
    <w:rsid w:val="0047619D"/>
    <w:rsid w:val="00476DB1"/>
    <w:rsid w:val="004772A9"/>
    <w:rsid w:val="0047733B"/>
    <w:rsid w:val="004779CB"/>
    <w:rsid w:val="00480E28"/>
    <w:rsid w:val="00480F85"/>
    <w:rsid w:val="00481AE2"/>
    <w:rsid w:val="004831DB"/>
    <w:rsid w:val="00483989"/>
    <w:rsid w:val="004845E0"/>
    <w:rsid w:val="00485225"/>
    <w:rsid w:val="004859A7"/>
    <w:rsid w:val="004859EE"/>
    <w:rsid w:val="00490275"/>
    <w:rsid w:val="0049199F"/>
    <w:rsid w:val="00491D9F"/>
    <w:rsid w:val="004920A7"/>
    <w:rsid w:val="00492286"/>
    <w:rsid w:val="00493519"/>
    <w:rsid w:val="00493B29"/>
    <w:rsid w:val="00495C89"/>
    <w:rsid w:val="004A0CD0"/>
    <w:rsid w:val="004A1123"/>
    <w:rsid w:val="004A126C"/>
    <w:rsid w:val="004A23A8"/>
    <w:rsid w:val="004A3411"/>
    <w:rsid w:val="004A3629"/>
    <w:rsid w:val="004A3B75"/>
    <w:rsid w:val="004A4E40"/>
    <w:rsid w:val="004A4F46"/>
    <w:rsid w:val="004A50AE"/>
    <w:rsid w:val="004A603F"/>
    <w:rsid w:val="004B0750"/>
    <w:rsid w:val="004B0F0C"/>
    <w:rsid w:val="004B0FF1"/>
    <w:rsid w:val="004B1B25"/>
    <w:rsid w:val="004B1C08"/>
    <w:rsid w:val="004B2EBE"/>
    <w:rsid w:val="004B31C1"/>
    <w:rsid w:val="004B3D26"/>
    <w:rsid w:val="004B4ABF"/>
    <w:rsid w:val="004B57FF"/>
    <w:rsid w:val="004B63A2"/>
    <w:rsid w:val="004B75D3"/>
    <w:rsid w:val="004C03EA"/>
    <w:rsid w:val="004C51A7"/>
    <w:rsid w:val="004D02B6"/>
    <w:rsid w:val="004D0599"/>
    <w:rsid w:val="004D1B8B"/>
    <w:rsid w:val="004D1C5C"/>
    <w:rsid w:val="004D2797"/>
    <w:rsid w:val="004D2E41"/>
    <w:rsid w:val="004D35F6"/>
    <w:rsid w:val="004D508C"/>
    <w:rsid w:val="004D5153"/>
    <w:rsid w:val="004D5D8A"/>
    <w:rsid w:val="004D6E44"/>
    <w:rsid w:val="004D7021"/>
    <w:rsid w:val="004D7360"/>
    <w:rsid w:val="004D7769"/>
    <w:rsid w:val="004D7968"/>
    <w:rsid w:val="004D7C61"/>
    <w:rsid w:val="004D7D28"/>
    <w:rsid w:val="004E00C2"/>
    <w:rsid w:val="004E29E4"/>
    <w:rsid w:val="004E2E1D"/>
    <w:rsid w:val="004E37A1"/>
    <w:rsid w:val="004E3F6E"/>
    <w:rsid w:val="004E4B54"/>
    <w:rsid w:val="004E5EEB"/>
    <w:rsid w:val="004E607B"/>
    <w:rsid w:val="004E643D"/>
    <w:rsid w:val="004E6B33"/>
    <w:rsid w:val="004E707C"/>
    <w:rsid w:val="004E7A87"/>
    <w:rsid w:val="004F03E4"/>
    <w:rsid w:val="004F0674"/>
    <w:rsid w:val="004F0907"/>
    <w:rsid w:val="004F1A13"/>
    <w:rsid w:val="004F1E86"/>
    <w:rsid w:val="004F276A"/>
    <w:rsid w:val="004F32D4"/>
    <w:rsid w:val="004F37C8"/>
    <w:rsid w:val="004F3CA6"/>
    <w:rsid w:val="004F5257"/>
    <w:rsid w:val="004F597A"/>
    <w:rsid w:val="004F59AE"/>
    <w:rsid w:val="004F6498"/>
    <w:rsid w:val="004F6565"/>
    <w:rsid w:val="004F70FB"/>
    <w:rsid w:val="00500199"/>
    <w:rsid w:val="005005AA"/>
    <w:rsid w:val="005008C5"/>
    <w:rsid w:val="00500A97"/>
    <w:rsid w:val="00500D2D"/>
    <w:rsid w:val="00500FC4"/>
    <w:rsid w:val="00502A77"/>
    <w:rsid w:val="0050638C"/>
    <w:rsid w:val="00506FC6"/>
    <w:rsid w:val="005073A0"/>
    <w:rsid w:val="005073B8"/>
    <w:rsid w:val="0050782E"/>
    <w:rsid w:val="00510BF3"/>
    <w:rsid w:val="00510EE9"/>
    <w:rsid w:val="00511A17"/>
    <w:rsid w:val="005124C1"/>
    <w:rsid w:val="0051334E"/>
    <w:rsid w:val="005134F4"/>
    <w:rsid w:val="00514F57"/>
    <w:rsid w:val="00515C36"/>
    <w:rsid w:val="00516D69"/>
    <w:rsid w:val="005202A7"/>
    <w:rsid w:val="00520EB8"/>
    <w:rsid w:val="00521342"/>
    <w:rsid w:val="005216E1"/>
    <w:rsid w:val="005217F1"/>
    <w:rsid w:val="00521C7C"/>
    <w:rsid w:val="005228CB"/>
    <w:rsid w:val="00523B2C"/>
    <w:rsid w:val="00523B49"/>
    <w:rsid w:val="005245FF"/>
    <w:rsid w:val="005250B7"/>
    <w:rsid w:val="00526C6F"/>
    <w:rsid w:val="00527159"/>
    <w:rsid w:val="00527C0A"/>
    <w:rsid w:val="00527E43"/>
    <w:rsid w:val="00532DAC"/>
    <w:rsid w:val="005336AC"/>
    <w:rsid w:val="00533B53"/>
    <w:rsid w:val="00533F31"/>
    <w:rsid w:val="00535432"/>
    <w:rsid w:val="0053621F"/>
    <w:rsid w:val="005368D7"/>
    <w:rsid w:val="00537C1B"/>
    <w:rsid w:val="005412A8"/>
    <w:rsid w:val="005426CC"/>
    <w:rsid w:val="00542DBE"/>
    <w:rsid w:val="00543A57"/>
    <w:rsid w:val="00543E79"/>
    <w:rsid w:val="005440E8"/>
    <w:rsid w:val="00544A37"/>
    <w:rsid w:val="00544E05"/>
    <w:rsid w:val="0054516A"/>
    <w:rsid w:val="00545C60"/>
    <w:rsid w:val="0054608C"/>
    <w:rsid w:val="00546D21"/>
    <w:rsid w:val="00547D91"/>
    <w:rsid w:val="00547FD1"/>
    <w:rsid w:val="00552C1C"/>
    <w:rsid w:val="00552CAC"/>
    <w:rsid w:val="00553773"/>
    <w:rsid w:val="005537DC"/>
    <w:rsid w:val="00554045"/>
    <w:rsid w:val="0055488C"/>
    <w:rsid w:val="005555B9"/>
    <w:rsid w:val="005569CF"/>
    <w:rsid w:val="00557A5F"/>
    <w:rsid w:val="00557A63"/>
    <w:rsid w:val="00560378"/>
    <w:rsid w:val="005612C3"/>
    <w:rsid w:val="005613AE"/>
    <w:rsid w:val="00561898"/>
    <w:rsid w:val="00562013"/>
    <w:rsid w:val="00562612"/>
    <w:rsid w:val="00563325"/>
    <w:rsid w:val="00563FE9"/>
    <w:rsid w:val="0056445F"/>
    <w:rsid w:val="005654E1"/>
    <w:rsid w:val="005657FB"/>
    <w:rsid w:val="00566798"/>
    <w:rsid w:val="0056797D"/>
    <w:rsid w:val="00567C4F"/>
    <w:rsid w:val="00567EB8"/>
    <w:rsid w:val="00571214"/>
    <w:rsid w:val="00572827"/>
    <w:rsid w:val="0057304B"/>
    <w:rsid w:val="00574380"/>
    <w:rsid w:val="005754A1"/>
    <w:rsid w:val="00576B18"/>
    <w:rsid w:val="00577419"/>
    <w:rsid w:val="00577F34"/>
    <w:rsid w:val="00580176"/>
    <w:rsid w:val="0058029F"/>
    <w:rsid w:val="00580498"/>
    <w:rsid w:val="005809D0"/>
    <w:rsid w:val="005846FE"/>
    <w:rsid w:val="00584824"/>
    <w:rsid w:val="005863F4"/>
    <w:rsid w:val="00586E70"/>
    <w:rsid w:val="0059069F"/>
    <w:rsid w:val="00590CCF"/>
    <w:rsid w:val="00593699"/>
    <w:rsid w:val="0059378D"/>
    <w:rsid w:val="00593AA0"/>
    <w:rsid w:val="00593BFE"/>
    <w:rsid w:val="00594A66"/>
    <w:rsid w:val="00594DC3"/>
    <w:rsid w:val="00595ACF"/>
    <w:rsid w:val="0059616C"/>
    <w:rsid w:val="005966D5"/>
    <w:rsid w:val="00596FCC"/>
    <w:rsid w:val="00597846"/>
    <w:rsid w:val="00597BFB"/>
    <w:rsid w:val="005A0DEB"/>
    <w:rsid w:val="005A1019"/>
    <w:rsid w:val="005A3B36"/>
    <w:rsid w:val="005A4572"/>
    <w:rsid w:val="005A5269"/>
    <w:rsid w:val="005A553A"/>
    <w:rsid w:val="005A67D8"/>
    <w:rsid w:val="005A6BA0"/>
    <w:rsid w:val="005A6D6C"/>
    <w:rsid w:val="005A79B0"/>
    <w:rsid w:val="005A7A0B"/>
    <w:rsid w:val="005A7D79"/>
    <w:rsid w:val="005B079C"/>
    <w:rsid w:val="005B0A8D"/>
    <w:rsid w:val="005B1099"/>
    <w:rsid w:val="005B1204"/>
    <w:rsid w:val="005B14AB"/>
    <w:rsid w:val="005B184B"/>
    <w:rsid w:val="005B1E21"/>
    <w:rsid w:val="005B1E99"/>
    <w:rsid w:val="005B202F"/>
    <w:rsid w:val="005B228B"/>
    <w:rsid w:val="005B2C3B"/>
    <w:rsid w:val="005B2E79"/>
    <w:rsid w:val="005B32C6"/>
    <w:rsid w:val="005B434E"/>
    <w:rsid w:val="005B4654"/>
    <w:rsid w:val="005B47D9"/>
    <w:rsid w:val="005B4DEF"/>
    <w:rsid w:val="005B53F0"/>
    <w:rsid w:val="005B595F"/>
    <w:rsid w:val="005B5DBD"/>
    <w:rsid w:val="005B65D7"/>
    <w:rsid w:val="005B7815"/>
    <w:rsid w:val="005C001C"/>
    <w:rsid w:val="005C06C4"/>
    <w:rsid w:val="005C0B3B"/>
    <w:rsid w:val="005C0C9A"/>
    <w:rsid w:val="005C555C"/>
    <w:rsid w:val="005C6118"/>
    <w:rsid w:val="005C71D6"/>
    <w:rsid w:val="005C7994"/>
    <w:rsid w:val="005D0370"/>
    <w:rsid w:val="005D075D"/>
    <w:rsid w:val="005D15EB"/>
    <w:rsid w:val="005D496D"/>
    <w:rsid w:val="005D6367"/>
    <w:rsid w:val="005D64C3"/>
    <w:rsid w:val="005E2245"/>
    <w:rsid w:val="005E2E77"/>
    <w:rsid w:val="005E36CE"/>
    <w:rsid w:val="005E4B5A"/>
    <w:rsid w:val="005E5A34"/>
    <w:rsid w:val="005E6EAF"/>
    <w:rsid w:val="005F16F7"/>
    <w:rsid w:val="005F17E3"/>
    <w:rsid w:val="005F1E3F"/>
    <w:rsid w:val="005F245B"/>
    <w:rsid w:val="005F42CC"/>
    <w:rsid w:val="005F665A"/>
    <w:rsid w:val="005F6854"/>
    <w:rsid w:val="006028E3"/>
    <w:rsid w:val="00602A62"/>
    <w:rsid w:val="006057FF"/>
    <w:rsid w:val="00610045"/>
    <w:rsid w:val="006108A9"/>
    <w:rsid w:val="00611396"/>
    <w:rsid w:val="00611758"/>
    <w:rsid w:val="00611D4D"/>
    <w:rsid w:val="006129EE"/>
    <w:rsid w:val="00612F20"/>
    <w:rsid w:val="006157B4"/>
    <w:rsid w:val="00623662"/>
    <w:rsid w:val="006238E4"/>
    <w:rsid w:val="006246D5"/>
    <w:rsid w:val="00625275"/>
    <w:rsid w:val="006254D8"/>
    <w:rsid w:val="00625D47"/>
    <w:rsid w:val="00626154"/>
    <w:rsid w:val="006271A8"/>
    <w:rsid w:val="00630799"/>
    <w:rsid w:val="00630E2B"/>
    <w:rsid w:val="00630F68"/>
    <w:rsid w:val="006316B1"/>
    <w:rsid w:val="00631BA6"/>
    <w:rsid w:val="00632B42"/>
    <w:rsid w:val="00632C7E"/>
    <w:rsid w:val="0063346C"/>
    <w:rsid w:val="00634B65"/>
    <w:rsid w:val="00636817"/>
    <w:rsid w:val="0064339F"/>
    <w:rsid w:val="00647DB8"/>
    <w:rsid w:val="006515C4"/>
    <w:rsid w:val="00651B2A"/>
    <w:rsid w:val="0065278B"/>
    <w:rsid w:val="00653B7F"/>
    <w:rsid w:val="00654262"/>
    <w:rsid w:val="0065538B"/>
    <w:rsid w:val="00655738"/>
    <w:rsid w:val="00655C3F"/>
    <w:rsid w:val="00655E0D"/>
    <w:rsid w:val="00655F63"/>
    <w:rsid w:val="006575FE"/>
    <w:rsid w:val="00657A14"/>
    <w:rsid w:val="00657A9A"/>
    <w:rsid w:val="006600D4"/>
    <w:rsid w:val="00660CC8"/>
    <w:rsid w:val="00662451"/>
    <w:rsid w:val="006626E8"/>
    <w:rsid w:val="00662802"/>
    <w:rsid w:val="00662A74"/>
    <w:rsid w:val="00662C0E"/>
    <w:rsid w:val="0066484E"/>
    <w:rsid w:val="006649FA"/>
    <w:rsid w:val="00664AC0"/>
    <w:rsid w:val="00664AC6"/>
    <w:rsid w:val="006665EC"/>
    <w:rsid w:val="0066682C"/>
    <w:rsid w:val="006669F1"/>
    <w:rsid w:val="0066737B"/>
    <w:rsid w:val="006679D4"/>
    <w:rsid w:val="00667F4A"/>
    <w:rsid w:val="00667FBA"/>
    <w:rsid w:val="006709B8"/>
    <w:rsid w:val="00670ED5"/>
    <w:rsid w:val="00671014"/>
    <w:rsid w:val="00671BBA"/>
    <w:rsid w:val="00672316"/>
    <w:rsid w:val="00673983"/>
    <w:rsid w:val="00673B81"/>
    <w:rsid w:val="0067429C"/>
    <w:rsid w:val="00674C4F"/>
    <w:rsid w:val="006752DA"/>
    <w:rsid w:val="006755B7"/>
    <w:rsid w:val="00675B1F"/>
    <w:rsid w:val="00676AFC"/>
    <w:rsid w:val="00676BC0"/>
    <w:rsid w:val="00676CC9"/>
    <w:rsid w:val="006772F9"/>
    <w:rsid w:val="006777BB"/>
    <w:rsid w:val="00677965"/>
    <w:rsid w:val="006779D0"/>
    <w:rsid w:val="00680827"/>
    <w:rsid w:val="00681B05"/>
    <w:rsid w:val="006839C2"/>
    <w:rsid w:val="00683A89"/>
    <w:rsid w:val="006857D9"/>
    <w:rsid w:val="00685F9D"/>
    <w:rsid w:val="006863A1"/>
    <w:rsid w:val="0068642A"/>
    <w:rsid w:val="0069186E"/>
    <w:rsid w:val="00691C68"/>
    <w:rsid w:val="00692A65"/>
    <w:rsid w:val="00694D5C"/>
    <w:rsid w:val="006956A0"/>
    <w:rsid w:val="0069650E"/>
    <w:rsid w:val="00696F60"/>
    <w:rsid w:val="0069776E"/>
    <w:rsid w:val="006A0C00"/>
    <w:rsid w:val="006A13D8"/>
    <w:rsid w:val="006A1C53"/>
    <w:rsid w:val="006A35B4"/>
    <w:rsid w:val="006A43D3"/>
    <w:rsid w:val="006A4E7D"/>
    <w:rsid w:val="006A5034"/>
    <w:rsid w:val="006A5910"/>
    <w:rsid w:val="006A6855"/>
    <w:rsid w:val="006A7C38"/>
    <w:rsid w:val="006A7D57"/>
    <w:rsid w:val="006B0B67"/>
    <w:rsid w:val="006B107B"/>
    <w:rsid w:val="006B11C2"/>
    <w:rsid w:val="006B1AAF"/>
    <w:rsid w:val="006B1BC0"/>
    <w:rsid w:val="006B344B"/>
    <w:rsid w:val="006B4383"/>
    <w:rsid w:val="006B58BC"/>
    <w:rsid w:val="006B5C42"/>
    <w:rsid w:val="006B5E1E"/>
    <w:rsid w:val="006B5F14"/>
    <w:rsid w:val="006B78BB"/>
    <w:rsid w:val="006C0600"/>
    <w:rsid w:val="006C07B9"/>
    <w:rsid w:val="006C142B"/>
    <w:rsid w:val="006C1B65"/>
    <w:rsid w:val="006C5720"/>
    <w:rsid w:val="006D0627"/>
    <w:rsid w:val="006D06E6"/>
    <w:rsid w:val="006D076F"/>
    <w:rsid w:val="006D131A"/>
    <w:rsid w:val="006D2310"/>
    <w:rsid w:val="006D29D2"/>
    <w:rsid w:val="006D2AE8"/>
    <w:rsid w:val="006D2E36"/>
    <w:rsid w:val="006D365C"/>
    <w:rsid w:val="006D3C1A"/>
    <w:rsid w:val="006D46CC"/>
    <w:rsid w:val="006D5607"/>
    <w:rsid w:val="006D5AF6"/>
    <w:rsid w:val="006D63A4"/>
    <w:rsid w:val="006D6E76"/>
    <w:rsid w:val="006D6F1E"/>
    <w:rsid w:val="006D73CA"/>
    <w:rsid w:val="006E05C2"/>
    <w:rsid w:val="006E063C"/>
    <w:rsid w:val="006E1C25"/>
    <w:rsid w:val="006E282A"/>
    <w:rsid w:val="006E3380"/>
    <w:rsid w:val="006E43FE"/>
    <w:rsid w:val="006E469D"/>
    <w:rsid w:val="006E51B7"/>
    <w:rsid w:val="006E78EF"/>
    <w:rsid w:val="006F01A0"/>
    <w:rsid w:val="006F1876"/>
    <w:rsid w:val="006F2E2D"/>
    <w:rsid w:val="006F36E2"/>
    <w:rsid w:val="006F4140"/>
    <w:rsid w:val="006F70EF"/>
    <w:rsid w:val="006F75C1"/>
    <w:rsid w:val="006F7FCE"/>
    <w:rsid w:val="00700204"/>
    <w:rsid w:val="00700830"/>
    <w:rsid w:val="00701E89"/>
    <w:rsid w:val="00702097"/>
    <w:rsid w:val="007024B0"/>
    <w:rsid w:val="00703A29"/>
    <w:rsid w:val="00705A65"/>
    <w:rsid w:val="007101F4"/>
    <w:rsid w:val="00711120"/>
    <w:rsid w:val="00711231"/>
    <w:rsid w:val="00711B36"/>
    <w:rsid w:val="00711DFB"/>
    <w:rsid w:val="00712962"/>
    <w:rsid w:val="00712E78"/>
    <w:rsid w:val="007134BF"/>
    <w:rsid w:val="007143BA"/>
    <w:rsid w:val="0071472E"/>
    <w:rsid w:val="007152BD"/>
    <w:rsid w:val="0071577F"/>
    <w:rsid w:val="00716033"/>
    <w:rsid w:val="007179DE"/>
    <w:rsid w:val="007216EA"/>
    <w:rsid w:val="00721E8C"/>
    <w:rsid w:val="00721F84"/>
    <w:rsid w:val="00722DE2"/>
    <w:rsid w:val="00723AD8"/>
    <w:rsid w:val="00723D77"/>
    <w:rsid w:val="00724B89"/>
    <w:rsid w:val="007270C3"/>
    <w:rsid w:val="0072734B"/>
    <w:rsid w:val="00730113"/>
    <w:rsid w:val="007309C2"/>
    <w:rsid w:val="00730B7D"/>
    <w:rsid w:val="007315F4"/>
    <w:rsid w:val="00731E1C"/>
    <w:rsid w:val="00732041"/>
    <w:rsid w:val="007322D5"/>
    <w:rsid w:val="007329BD"/>
    <w:rsid w:val="00732BD2"/>
    <w:rsid w:val="00732D7E"/>
    <w:rsid w:val="007331A7"/>
    <w:rsid w:val="00735A84"/>
    <w:rsid w:val="00735FE1"/>
    <w:rsid w:val="00737EC6"/>
    <w:rsid w:val="00742DE2"/>
    <w:rsid w:val="00744652"/>
    <w:rsid w:val="0074560A"/>
    <w:rsid w:val="00745F9B"/>
    <w:rsid w:val="00746D99"/>
    <w:rsid w:val="00746FC4"/>
    <w:rsid w:val="00750EAC"/>
    <w:rsid w:val="00751347"/>
    <w:rsid w:val="007516B0"/>
    <w:rsid w:val="00751FFD"/>
    <w:rsid w:val="007523DF"/>
    <w:rsid w:val="00752505"/>
    <w:rsid w:val="00752897"/>
    <w:rsid w:val="007538F1"/>
    <w:rsid w:val="00753F7E"/>
    <w:rsid w:val="00754214"/>
    <w:rsid w:val="0075560C"/>
    <w:rsid w:val="0075638C"/>
    <w:rsid w:val="007604F1"/>
    <w:rsid w:val="007608C4"/>
    <w:rsid w:val="007617C9"/>
    <w:rsid w:val="00762197"/>
    <w:rsid w:val="00762387"/>
    <w:rsid w:val="0076357B"/>
    <w:rsid w:val="00765633"/>
    <w:rsid w:val="007661E5"/>
    <w:rsid w:val="007662F8"/>
    <w:rsid w:val="00766895"/>
    <w:rsid w:val="0076735C"/>
    <w:rsid w:val="00767F81"/>
    <w:rsid w:val="00770714"/>
    <w:rsid w:val="007707F6"/>
    <w:rsid w:val="0077222B"/>
    <w:rsid w:val="00772237"/>
    <w:rsid w:val="00772830"/>
    <w:rsid w:val="00773635"/>
    <w:rsid w:val="00773C67"/>
    <w:rsid w:val="00774B5E"/>
    <w:rsid w:val="00775271"/>
    <w:rsid w:val="00776815"/>
    <w:rsid w:val="00776B37"/>
    <w:rsid w:val="00776EB7"/>
    <w:rsid w:val="00780868"/>
    <w:rsid w:val="0078109B"/>
    <w:rsid w:val="00781193"/>
    <w:rsid w:val="00783647"/>
    <w:rsid w:val="00783DA3"/>
    <w:rsid w:val="00783DE9"/>
    <w:rsid w:val="00784FE3"/>
    <w:rsid w:val="00785972"/>
    <w:rsid w:val="0078608B"/>
    <w:rsid w:val="00787538"/>
    <w:rsid w:val="00790FD4"/>
    <w:rsid w:val="00790FEE"/>
    <w:rsid w:val="00792626"/>
    <w:rsid w:val="00793706"/>
    <w:rsid w:val="00793769"/>
    <w:rsid w:val="00794851"/>
    <w:rsid w:val="007959AA"/>
    <w:rsid w:val="00795C00"/>
    <w:rsid w:val="00796686"/>
    <w:rsid w:val="007A00FA"/>
    <w:rsid w:val="007A18FA"/>
    <w:rsid w:val="007A2427"/>
    <w:rsid w:val="007A2EAA"/>
    <w:rsid w:val="007A3624"/>
    <w:rsid w:val="007A38D7"/>
    <w:rsid w:val="007A4A68"/>
    <w:rsid w:val="007A5C8A"/>
    <w:rsid w:val="007A66FA"/>
    <w:rsid w:val="007A7611"/>
    <w:rsid w:val="007B0371"/>
    <w:rsid w:val="007B570B"/>
    <w:rsid w:val="007B65A3"/>
    <w:rsid w:val="007C0EF7"/>
    <w:rsid w:val="007C2A24"/>
    <w:rsid w:val="007C372F"/>
    <w:rsid w:val="007C7846"/>
    <w:rsid w:val="007C7EFE"/>
    <w:rsid w:val="007C7F35"/>
    <w:rsid w:val="007D1CA6"/>
    <w:rsid w:val="007D2654"/>
    <w:rsid w:val="007D3DF8"/>
    <w:rsid w:val="007D4C2E"/>
    <w:rsid w:val="007D5386"/>
    <w:rsid w:val="007D57F5"/>
    <w:rsid w:val="007D77BC"/>
    <w:rsid w:val="007D781B"/>
    <w:rsid w:val="007E034A"/>
    <w:rsid w:val="007E04EE"/>
    <w:rsid w:val="007E1764"/>
    <w:rsid w:val="007E20D0"/>
    <w:rsid w:val="007E3A23"/>
    <w:rsid w:val="007E3D43"/>
    <w:rsid w:val="007E4FBC"/>
    <w:rsid w:val="007E4FC5"/>
    <w:rsid w:val="007E5D55"/>
    <w:rsid w:val="007E6E60"/>
    <w:rsid w:val="007E7BE6"/>
    <w:rsid w:val="007E7F3E"/>
    <w:rsid w:val="007F02AD"/>
    <w:rsid w:val="007F1376"/>
    <w:rsid w:val="007F213B"/>
    <w:rsid w:val="007F3A74"/>
    <w:rsid w:val="007F5590"/>
    <w:rsid w:val="007F61CE"/>
    <w:rsid w:val="008023A4"/>
    <w:rsid w:val="008024CD"/>
    <w:rsid w:val="00802B70"/>
    <w:rsid w:val="00803112"/>
    <w:rsid w:val="00803517"/>
    <w:rsid w:val="00803518"/>
    <w:rsid w:val="0080386E"/>
    <w:rsid w:val="008050F8"/>
    <w:rsid w:val="0080517D"/>
    <w:rsid w:val="008073CC"/>
    <w:rsid w:val="0080743F"/>
    <w:rsid w:val="00810433"/>
    <w:rsid w:val="00810C4F"/>
    <w:rsid w:val="00811128"/>
    <w:rsid w:val="0081201B"/>
    <w:rsid w:val="0081352E"/>
    <w:rsid w:val="0081381A"/>
    <w:rsid w:val="00813C99"/>
    <w:rsid w:val="008141CB"/>
    <w:rsid w:val="008142EE"/>
    <w:rsid w:val="00814771"/>
    <w:rsid w:val="008147D4"/>
    <w:rsid w:val="00815055"/>
    <w:rsid w:val="0081508F"/>
    <w:rsid w:val="00815FED"/>
    <w:rsid w:val="00816962"/>
    <w:rsid w:val="0081714A"/>
    <w:rsid w:val="0082028C"/>
    <w:rsid w:val="008205BB"/>
    <w:rsid w:val="0082382B"/>
    <w:rsid w:val="00824777"/>
    <w:rsid w:val="008249D8"/>
    <w:rsid w:val="00824EF9"/>
    <w:rsid w:val="0083006C"/>
    <w:rsid w:val="00832746"/>
    <w:rsid w:val="008327BF"/>
    <w:rsid w:val="008334B9"/>
    <w:rsid w:val="00833927"/>
    <w:rsid w:val="0083404E"/>
    <w:rsid w:val="00834A01"/>
    <w:rsid w:val="00835B0D"/>
    <w:rsid w:val="00835C40"/>
    <w:rsid w:val="00836639"/>
    <w:rsid w:val="0083696E"/>
    <w:rsid w:val="008418E9"/>
    <w:rsid w:val="00841F61"/>
    <w:rsid w:val="00842ABA"/>
    <w:rsid w:val="00842C55"/>
    <w:rsid w:val="00842DB9"/>
    <w:rsid w:val="00844021"/>
    <w:rsid w:val="008440A5"/>
    <w:rsid w:val="008443D6"/>
    <w:rsid w:val="008455D4"/>
    <w:rsid w:val="00845E3C"/>
    <w:rsid w:val="0084649D"/>
    <w:rsid w:val="0084664A"/>
    <w:rsid w:val="00846B08"/>
    <w:rsid w:val="00847C86"/>
    <w:rsid w:val="00851A36"/>
    <w:rsid w:val="008524D1"/>
    <w:rsid w:val="008530CB"/>
    <w:rsid w:val="0085718A"/>
    <w:rsid w:val="008573FC"/>
    <w:rsid w:val="008576B0"/>
    <w:rsid w:val="00857D90"/>
    <w:rsid w:val="00861663"/>
    <w:rsid w:val="00861678"/>
    <w:rsid w:val="00861BFD"/>
    <w:rsid w:val="00861F59"/>
    <w:rsid w:val="00862ACA"/>
    <w:rsid w:val="00864310"/>
    <w:rsid w:val="00866CCA"/>
    <w:rsid w:val="0087092F"/>
    <w:rsid w:val="00871412"/>
    <w:rsid w:val="00871A1C"/>
    <w:rsid w:val="00872D9A"/>
    <w:rsid w:val="008744EE"/>
    <w:rsid w:val="00874E81"/>
    <w:rsid w:val="008751D0"/>
    <w:rsid w:val="00875665"/>
    <w:rsid w:val="0087605C"/>
    <w:rsid w:val="0087769C"/>
    <w:rsid w:val="008802FF"/>
    <w:rsid w:val="008806A5"/>
    <w:rsid w:val="00880B5E"/>
    <w:rsid w:val="0088127F"/>
    <w:rsid w:val="00881F7E"/>
    <w:rsid w:val="00882C15"/>
    <w:rsid w:val="00882F04"/>
    <w:rsid w:val="00883A47"/>
    <w:rsid w:val="00883DF2"/>
    <w:rsid w:val="0088479B"/>
    <w:rsid w:val="0088499D"/>
    <w:rsid w:val="008849E7"/>
    <w:rsid w:val="00884FF7"/>
    <w:rsid w:val="008853B8"/>
    <w:rsid w:val="0088714C"/>
    <w:rsid w:val="0088758E"/>
    <w:rsid w:val="008876E7"/>
    <w:rsid w:val="00891434"/>
    <w:rsid w:val="008926A1"/>
    <w:rsid w:val="008932CA"/>
    <w:rsid w:val="008959BF"/>
    <w:rsid w:val="00895E97"/>
    <w:rsid w:val="00896341"/>
    <w:rsid w:val="00897241"/>
    <w:rsid w:val="008A125E"/>
    <w:rsid w:val="008A180A"/>
    <w:rsid w:val="008A26F4"/>
    <w:rsid w:val="008A325B"/>
    <w:rsid w:val="008A3542"/>
    <w:rsid w:val="008A410C"/>
    <w:rsid w:val="008A579A"/>
    <w:rsid w:val="008A6101"/>
    <w:rsid w:val="008A649B"/>
    <w:rsid w:val="008B0A82"/>
    <w:rsid w:val="008B10F3"/>
    <w:rsid w:val="008B1628"/>
    <w:rsid w:val="008B168E"/>
    <w:rsid w:val="008B1F1A"/>
    <w:rsid w:val="008B2161"/>
    <w:rsid w:val="008B2604"/>
    <w:rsid w:val="008B30B3"/>
    <w:rsid w:val="008B5F42"/>
    <w:rsid w:val="008B66EA"/>
    <w:rsid w:val="008B7737"/>
    <w:rsid w:val="008B7E9E"/>
    <w:rsid w:val="008C013F"/>
    <w:rsid w:val="008C127C"/>
    <w:rsid w:val="008C1C09"/>
    <w:rsid w:val="008C414E"/>
    <w:rsid w:val="008C615B"/>
    <w:rsid w:val="008C62CA"/>
    <w:rsid w:val="008C7187"/>
    <w:rsid w:val="008C7547"/>
    <w:rsid w:val="008D187B"/>
    <w:rsid w:val="008D2C7B"/>
    <w:rsid w:val="008D3DAC"/>
    <w:rsid w:val="008D43CB"/>
    <w:rsid w:val="008D683D"/>
    <w:rsid w:val="008D70DA"/>
    <w:rsid w:val="008E0BE3"/>
    <w:rsid w:val="008E0D96"/>
    <w:rsid w:val="008E0DB7"/>
    <w:rsid w:val="008E120D"/>
    <w:rsid w:val="008E126D"/>
    <w:rsid w:val="008E1348"/>
    <w:rsid w:val="008E169C"/>
    <w:rsid w:val="008E24FF"/>
    <w:rsid w:val="008E29D7"/>
    <w:rsid w:val="008E2D52"/>
    <w:rsid w:val="008E3B79"/>
    <w:rsid w:val="008E4284"/>
    <w:rsid w:val="008E50BE"/>
    <w:rsid w:val="008E532F"/>
    <w:rsid w:val="008E5AC7"/>
    <w:rsid w:val="008E5EED"/>
    <w:rsid w:val="008E6439"/>
    <w:rsid w:val="008E70B4"/>
    <w:rsid w:val="008E71C6"/>
    <w:rsid w:val="008E73D9"/>
    <w:rsid w:val="008E7A0D"/>
    <w:rsid w:val="008F0C75"/>
    <w:rsid w:val="008F219D"/>
    <w:rsid w:val="008F229A"/>
    <w:rsid w:val="008F3413"/>
    <w:rsid w:val="008F349E"/>
    <w:rsid w:val="008F3B21"/>
    <w:rsid w:val="008F5564"/>
    <w:rsid w:val="008F6071"/>
    <w:rsid w:val="008F7F40"/>
    <w:rsid w:val="00901617"/>
    <w:rsid w:val="00901C4C"/>
    <w:rsid w:val="0090269F"/>
    <w:rsid w:val="00904323"/>
    <w:rsid w:val="00904FDA"/>
    <w:rsid w:val="00905199"/>
    <w:rsid w:val="0090556D"/>
    <w:rsid w:val="009062C8"/>
    <w:rsid w:val="00906B80"/>
    <w:rsid w:val="00911E2D"/>
    <w:rsid w:val="00912666"/>
    <w:rsid w:val="00912872"/>
    <w:rsid w:val="009133BF"/>
    <w:rsid w:val="00914446"/>
    <w:rsid w:val="00914E32"/>
    <w:rsid w:val="00917600"/>
    <w:rsid w:val="00917AE0"/>
    <w:rsid w:val="00921795"/>
    <w:rsid w:val="00921C1D"/>
    <w:rsid w:val="00921C36"/>
    <w:rsid w:val="009256C0"/>
    <w:rsid w:val="00925A87"/>
    <w:rsid w:val="009268C8"/>
    <w:rsid w:val="00926CEC"/>
    <w:rsid w:val="0092749A"/>
    <w:rsid w:val="00930014"/>
    <w:rsid w:val="0093159D"/>
    <w:rsid w:val="00932D35"/>
    <w:rsid w:val="00933044"/>
    <w:rsid w:val="009337EC"/>
    <w:rsid w:val="00933AA9"/>
    <w:rsid w:val="00934BEC"/>
    <w:rsid w:val="009351E4"/>
    <w:rsid w:val="0093586E"/>
    <w:rsid w:val="009370B1"/>
    <w:rsid w:val="00937BF9"/>
    <w:rsid w:val="009400A5"/>
    <w:rsid w:val="009401EA"/>
    <w:rsid w:val="00940280"/>
    <w:rsid w:val="009420AC"/>
    <w:rsid w:val="00943248"/>
    <w:rsid w:val="0094444A"/>
    <w:rsid w:val="00945A51"/>
    <w:rsid w:val="009478BB"/>
    <w:rsid w:val="0094799D"/>
    <w:rsid w:val="009504F7"/>
    <w:rsid w:val="00951044"/>
    <w:rsid w:val="009521B1"/>
    <w:rsid w:val="0095295D"/>
    <w:rsid w:val="00954DBB"/>
    <w:rsid w:val="00954FF3"/>
    <w:rsid w:val="0095578D"/>
    <w:rsid w:val="009618DB"/>
    <w:rsid w:val="00961B2E"/>
    <w:rsid w:val="00966753"/>
    <w:rsid w:val="00967572"/>
    <w:rsid w:val="00967908"/>
    <w:rsid w:val="00970488"/>
    <w:rsid w:val="00973AAC"/>
    <w:rsid w:val="009748E9"/>
    <w:rsid w:val="00975FEF"/>
    <w:rsid w:val="0097681F"/>
    <w:rsid w:val="00976F94"/>
    <w:rsid w:val="00980123"/>
    <w:rsid w:val="00980D42"/>
    <w:rsid w:val="0098138C"/>
    <w:rsid w:val="009818E3"/>
    <w:rsid w:val="00983014"/>
    <w:rsid w:val="00983135"/>
    <w:rsid w:val="00984C44"/>
    <w:rsid w:val="00984D85"/>
    <w:rsid w:val="009872F9"/>
    <w:rsid w:val="009918D7"/>
    <w:rsid w:val="00991C05"/>
    <w:rsid w:val="009926AB"/>
    <w:rsid w:val="009933EC"/>
    <w:rsid w:val="00993CC2"/>
    <w:rsid w:val="009969B2"/>
    <w:rsid w:val="009A013A"/>
    <w:rsid w:val="009A0238"/>
    <w:rsid w:val="009A2CED"/>
    <w:rsid w:val="009A41E3"/>
    <w:rsid w:val="009A59A3"/>
    <w:rsid w:val="009A746C"/>
    <w:rsid w:val="009A760F"/>
    <w:rsid w:val="009B0660"/>
    <w:rsid w:val="009B0F18"/>
    <w:rsid w:val="009B23EB"/>
    <w:rsid w:val="009B27E3"/>
    <w:rsid w:val="009B3575"/>
    <w:rsid w:val="009B5210"/>
    <w:rsid w:val="009B6632"/>
    <w:rsid w:val="009B73FA"/>
    <w:rsid w:val="009C0BCF"/>
    <w:rsid w:val="009C133B"/>
    <w:rsid w:val="009C1EB7"/>
    <w:rsid w:val="009C224B"/>
    <w:rsid w:val="009C44AA"/>
    <w:rsid w:val="009C456F"/>
    <w:rsid w:val="009C4995"/>
    <w:rsid w:val="009C5475"/>
    <w:rsid w:val="009C5C68"/>
    <w:rsid w:val="009C634A"/>
    <w:rsid w:val="009C76AA"/>
    <w:rsid w:val="009D1859"/>
    <w:rsid w:val="009D1A19"/>
    <w:rsid w:val="009D1B6D"/>
    <w:rsid w:val="009D1CAA"/>
    <w:rsid w:val="009D2560"/>
    <w:rsid w:val="009D28A8"/>
    <w:rsid w:val="009D3656"/>
    <w:rsid w:val="009D41D1"/>
    <w:rsid w:val="009D70E8"/>
    <w:rsid w:val="009D76BD"/>
    <w:rsid w:val="009E3437"/>
    <w:rsid w:val="009E35A9"/>
    <w:rsid w:val="009E3621"/>
    <w:rsid w:val="009E4210"/>
    <w:rsid w:val="009E437F"/>
    <w:rsid w:val="009E44A2"/>
    <w:rsid w:val="009E44AF"/>
    <w:rsid w:val="009E5301"/>
    <w:rsid w:val="009E53B7"/>
    <w:rsid w:val="009E543B"/>
    <w:rsid w:val="009E595D"/>
    <w:rsid w:val="009E5975"/>
    <w:rsid w:val="009E6902"/>
    <w:rsid w:val="009E70B9"/>
    <w:rsid w:val="009E7220"/>
    <w:rsid w:val="009E73B4"/>
    <w:rsid w:val="009F0824"/>
    <w:rsid w:val="009F09AD"/>
    <w:rsid w:val="009F2D6D"/>
    <w:rsid w:val="009F2E07"/>
    <w:rsid w:val="009F4186"/>
    <w:rsid w:val="009F434C"/>
    <w:rsid w:val="009F533A"/>
    <w:rsid w:val="009F550F"/>
    <w:rsid w:val="009F70FC"/>
    <w:rsid w:val="009F7C33"/>
    <w:rsid w:val="009F7CC0"/>
    <w:rsid w:val="00A0000B"/>
    <w:rsid w:val="00A00692"/>
    <w:rsid w:val="00A00773"/>
    <w:rsid w:val="00A02182"/>
    <w:rsid w:val="00A03062"/>
    <w:rsid w:val="00A030E9"/>
    <w:rsid w:val="00A03364"/>
    <w:rsid w:val="00A0447D"/>
    <w:rsid w:val="00A05280"/>
    <w:rsid w:val="00A05E08"/>
    <w:rsid w:val="00A07075"/>
    <w:rsid w:val="00A07971"/>
    <w:rsid w:val="00A10677"/>
    <w:rsid w:val="00A11AEE"/>
    <w:rsid w:val="00A12B3C"/>
    <w:rsid w:val="00A12D2A"/>
    <w:rsid w:val="00A135D5"/>
    <w:rsid w:val="00A13E12"/>
    <w:rsid w:val="00A15291"/>
    <w:rsid w:val="00A1562D"/>
    <w:rsid w:val="00A1581A"/>
    <w:rsid w:val="00A1588D"/>
    <w:rsid w:val="00A16A23"/>
    <w:rsid w:val="00A17C23"/>
    <w:rsid w:val="00A17F15"/>
    <w:rsid w:val="00A21CF1"/>
    <w:rsid w:val="00A2257A"/>
    <w:rsid w:val="00A23E84"/>
    <w:rsid w:val="00A2596B"/>
    <w:rsid w:val="00A26C0B"/>
    <w:rsid w:val="00A26D20"/>
    <w:rsid w:val="00A271F9"/>
    <w:rsid w:val="00A27F82"/>
    <w:rsid w:val="00A3021F"/>
    <w:rsid w:val="00A30923"/>
    <w:rsid w:val="00A30D45"/>
    <w:rsid w:val="00A3138B"/>
    <w:rsid w:val="00A3155B"/>
    <w:rsid w:val="00A33878"/>
    <w:rsid w:val="00A359EF"/>
    <w:rsid w:val="00A35DAE"/>
    <w:rsid w:val="00A4114F"/>
    <w:rsid w:val="00A41BC6"/>
    <w:rsid w:val="00A420F1"/>
    <w:rsid w:val="00A421FF"/>
    <w:rsid w:val="00A42268"/>
    <w:rsid w:val="00A42A42"/>
    <w:rsid w:val="00A43B0F"/>
    <w:rsid w:val="00A43C10"/>
    <w:rsid w:val="00A445AB"/>
    <w:rsid w:val="00A4596D"/>
    <w:rsid w:val="00A463F3"/>
    <w:rsid w:val="00A52038"/>
    <w:rsid w:val="00A52CC9"/>
    <w:rsid w:val="00A5376E"/>
    <w:rsid w:val="00A545EA"/>
    <w:rsid w:val="00A54758"/>
    <w:rsid w:val="00A55EE5"/>
    <w:rsid w:val="00A608D1"/>
    <w:rsid w:val="00A60F14"/>
    <w:rsid w:val="00A61884"/>
    <w:rsid w:val="00A6219D"/>
    <w:rsid w:val="00A62496"/>
    <w:rsid w:val="00A6278F"/>
    <w:rsid w:val="00A62BC7"/>
    <w:rsid w:val="00A63064"/>
    <w:rsid w:val="00A6322D"/>
    <w:rsid w:val="00A64046"/>
    <w:rsid w:val="00A64C23"/>
    <w:rsid w:val="00A64E96"/>
    <w:rsid w:val="00A65E4E"/>
    <w:rsid w:val="00A670B2"/>
    <w:rsid w:val="00A71079"/>
    <w:rsid w:val="00A71E1D"/>
    <w:rsid w:val="00A71EEF"/>
    <w:rsid w:val="00A72E42"/>
    <w:rsid w:val="00A72F83"/>
    <w:rsid w:val="00A74315"/>
    <w:rsid w:val="00A75E29"/>
    <w:rsid w:val="00A80FC4"/>
    <w:rsid w:val="00A82354"/>
    <w:rsid w:val="00A82E04"/>
    <w:rsid w:val="00A832A4"/>
    <w:rsid w:val="00A832FF"/>
    <w:rsid w:val="00A83724"/>
    <w:rsid w:val="00A839C7"/>
    <w:rsid w:val="00A83BB8"/>
    <w:rsid w:val="00A841BF"/>
    <w:rsid w:val="00A84AA9"/>
    <w:rsid w:val="00A8603A"/>
    <w:rsid w:val="00A87735"/>
    <w:rsid w:val="00A87948"/>
    <w:rsid w:val="00A87BC0"/>
    <w:rsid w:val="00A92CAF"/>
    <w:rsid w:val="00A93B5B"/>
    <w:rsid w:val="00A949C7"/>
    <w:rsid w:val="00A94E63"/>
    <w:rsid w:val="00A95A14"/>
    <w:rsid w:val="00A95D42"/>
    <w:rsid w:val="00A962C2"/>
    <w:rsid w:val="00A96FB6"/>
    <w:rsid w:val="00AA02FE"/>
    <w:rsid w:val="00AA0E9B"/>
    <w:rsid w:val="00AA139E"/>
    <w:rsid w:val="00AA14F0"/>
    <w:rsid w:val="00AA1B77"/>
    <w:rsid w:val="00AA1E80"/>
    <w:rsid w:val="00AA587E"/>
    <w:rsid w:val="00AA6146"/>
    <w:rsid w:val="00AA7170"/>
    <w:rsid w:val="00AB035E"/>
    <w:rsid w:val="00AB0C82"/>
    <w:rsid w:val="00AB22F3"/>
    <w:rsid w:val="00AB3F3B"/>
    <w:rsid w:val="00AB48D7"/>
    <w:rsid w:val="00AB5445"/>
    <w:rsid w:val="00AB58E4"/>
    <w:rsid w:val="00AB611F"/>
    <w:rsid w:val="00AB65EC"/>
    <w:rsid w:val="00AB67EE"/>
    <w:rsid w:val="00AB7EA8"/>
    <w:rsid w:val="00AC0414"/>
    <w:rsid w:val="00AC11F0"/>
    <w:rsid w:val="00AC1419"/>
    <w:rsid w:val="00AC17D5"/>
    <w:rsid w:val="00AC330A"/>
    <w:rsid w:val="00AC394D"/>
    <w:rsid w:val="00AC464C"/>
    <w:rsid w:val="00AC5306"/>
    <w:rsid w:val="00AC577A"/>
    <w:rsid w:val="00AC68E9"/>
    <w:rsid w:val="00AC6F21"/>
    <w:rsid w:val="00AC7FAD"/>
    <w:rsid w:val="00AD175B"/>
    <w:rsid w:val="00AD2559"/>
    <w:rsid w:val="00AD29B3"/>
    <w:rsid w:val="00AD3296"/>
    <w:rsid w:val="00AD40F4"/>
    <w:rsid w:val="00AD4281"/>
    <w:rsid w:val="00AD5A38"/>
    <w:rsid w:val="00AE076B"/>
    <w:rsid w:val="00AE1969"/>
    <w:rsid w:val="00AE1E6C"/>
    <w:rsid w:val="00AE2136"/>
    <w:rsid w:val="00AE2229"/>
    <w:rsid w:val="00AE60CF"/>
    <w:rsid w:val="00AE7098"/>
    <w:rsid w:val="00AE71CC"/>
    <w:rsid w:val="00AF02A7"/>
    <w:rsid w:val="00AF05E7"/>
    <w:rsid w:val="00AF0ACF"/>
    <w:rsid w:val="00AF0B05"/>
    <w:rsid w:val="00AF253D"/>
    <w:rsid w:val="00AF317D"/>
    <w:rsid w:val="00AF5BCA"/>
    <w:rsid w:val="00AF5D1A"/>
    <w:rsid w:val="00AF5D21"/>
    <w:rsid w:val="00AF649E"/>
    <w:rsid w:val="00AF6B66"/>
    <w:rsid w:val="00AF7F6F"/>
    <w:rsid w:val="00B000C8"/>
    <w:rsid w:val="00B01055"/>
    <w:rsid w:val="00B0150D"/>
    <w:rsid w:val="00B01714"/>
    <w:rsid w:val="00B02502"/>
    <w:rsid w:val="00B0328E"/>
    <w:rsid w:val="00B044FB"/>
    <w:rsid w:val="00B045F0"/>
    <w:rsid w:val="00B062E8"/>
    <w:rsid w:val="00B06D88"/>
    <w:rsid w:val="00B0744B"/>
    <w:rsid w:val="00B1076B"/>
    <w:rsid w:val="00B10788"/>
    <w:rsid w:val="00B1086B"/>
    <w:rsid w:val="00B10FB3"/>
    <w:rsid w:val="00B145E5"/>
    <w:rsid w:val="00B14ACE"/>
    <w:rsid w:val="00B14F97"/>
    <w:rsid w:val="00B154EF"/>
    <w:rsid w:val="00B15FAB"/>
    <w:rsid w:val="00B163B1"/>
    <w:rsid w:val="00B16495"/>
    <w:rsid w:val="00B16EF7"/>
    <w:rsid w:val="00B17A6F"/>
    <w:rsid w:val="00B2034B"/>
    <w:rsid w:val="00B224CE"/>
    <w:rsid w:val="00B22BE6"/>
    <w:rsid w:val="00B22E75"/>
    <w:rsid w:val="00B235A4"/>
    <w:rsid w:val="00B23B79"/>
    <w:rsid w:val="00B23DA1"/>
    <w:rsid w:val="00B25FFC"/>
    <w:rsid w:val="00B26EE5"/>
    <w:rsid w:val="00B31A41"/>
    <w:rsid w:val="00B32C80"/>
    <w:rsid w:val="00B32F1B"/>
    <w:rsid w:val="00B3327C"/>
    <w:rsid w:val="00B334D0"/>
    <w:rsid w:val="00B33DA9"/>
    <w:rsid w:val="00B349F8"/>
    <w:rsid w:val="00B35399"/>
    <w:rsid w:val="00B358EB"/>
    <w:rsid w:val="00B367AC"/>
    <w:rsid w:val="00B37703"/>
    <w:rsid w:val="00B37B08"/>
    <w:rsid w:val="00B4044A"/>
    <w:rsid w:val="00B40DB5"/>
    <w:rsid w:val="00B4116F"/>
    <w:rsid w:val="00B41545"/>
    <w:rsid w:val="00B42996"/>
    <w:rsid w:val="00B44134"/>
    <w:rsid w:val="00B46280"/>
    <w:rsid w:val="00B478CA"/>
    <w:rsid w:val="00B50B1F"/>
    <w:rsid w:val="00B51236"/>
    <w:rsid w:val="00B516A4"/>
    <w:rsid w:val="00B51EEE"/>
    <w:rsid w:val="00B52DF5"/>
    <w:rsid w:val="00B54B81"/>
    <w:rsid w:val="00B55060"/>
    <w:rsid w:val="00B5590D"/>
    <w:rsid w:val="00B55DDB"/>
    <w:rsid w:val="00B5617C"/>
    <w:rsid w:val="00B5642F"/>
    <w:rsid w:val="00B5717A"/>
    <w:rsid w:val="00B616C6"/>
    <w:rsid w:val="00B620DC"/>
    <w:rsid w:val="00B62147"/>
    <w:rsid w:val="00B6297D"/>
    <w:rsid w:val="00B62C7C"/>
    <w:rsid w:val="00B632FC"/>
    <w:rsid w:val="00B639FC"/>
    <w:rsid w:val="00B646A6"/>
    <w:rsid w:val="00B647F5"/>
    <w:rsid w:val="00B6492B"/>
    <w:rsid w:val="00B64DEF"/>
    <w:rsid w:val="00B659CD"/>
    <w:rsid w:val="00B65BE5"/>
    <w:rsid w:val="00B67422"/>
    <w:rsid w:val="00B70799"/>
    <w:rsid w:val="00B7227F"/>
    <w:rsid w:val="00B72B8E"/>
    <w:rsid w:val="00B72B8F"/>
    <w:rsid w:val="00B73BDF"/>
    <w:rsid w:val="00B75252"/>
    <w:rsid w:val="00B75284"/>
    <w:rsid w:val="00B7540D"/>
    <w:rsid w:val="00B75ADD"/>
    <w:rsid w:val="00B75FAD"/>
    <w:rsid w:val="00B76D03"/>
    <w:rsid w:val="00B80F9E"/>
    <w:rsid w:val="00B81532"/>
    <w:rsid w:val="00B8176E"/>
    <w:rsid w:val="00B8533C"/>
    <w:rsid w:val="00B86121"/>
    <w:rsid w:val="00B87C2D"/>
    <w:rsid w:val="00B87CF5"/>
    <w:rsid w:val="00B87D36"/>
    <w:rsid w:val="00B912A0"/>
    <w:rsid w:val="00B913F5"/>
    <w:rsid w:val="00B91505"/>
    <w:rsid w:val="00B93C91"/>
    <w:rsid w:val="00B9404E"/>
    <w:rsid w:val="00B947E4"/>
    <w:rsid w:val="00B94E9D"/>
    <w:rsid w:val="00B9567D"/>
    <w:rsid w:val="00B97AFC"/>
    <w:rsid w:val="00B97DF7"/>
    <w:rsid w:val="00BA186C"/>
    <w:rsid w:val="00BA559B"/>
    <w:rsid w:val="00BA65E3"/>
    <w:rsid w:val="00BA711E"/>
    <w:rsid w:val="00BA7511"/>
    <w:rsid w:val="00BB2365"/>
    <w:rsid w:val="00BB31F8"/>
    <w:rsid w:val="00BB3ACE"/>
    <w:rsid w:val="00BB445F"/>
    <w:rsid w:val="00BB65C2"/>
    <w:rsid w:val="00BB722C"/>
    <w:rsid w:val="00BB7C23"/>
    <w:rsid w:val="00BB7D06"/>
    <w:rsid w:val="00BB7DF4"/>
    <w:rsid w:val="00BC125B"/>
    <w:rsid w:val="00BC34E7"/>
    <w:rsid w:val="00BC4FFB"/>
    <w:rsid w:val="00BC5EAA"/>
    <w:rsid w:val="00BC60DF"/>
    <w:rsid w:val="00BC63DE"/>
    <w:rsid w:val="00BC68C7"/>
    <w:rsid w:val="00BC6D62"/>
    <w:rsid w:val="00BC6EDE"/>
    <w:rsid w:val="00BC76D2"/>
    <w:rsid w:val="00BC7964"/>
    <w:rsid w:val="00BC7B24"/>
    <w:rsid w:val="00BC7CF0"/>
    <w:rsid w:val="00BD00A9"/>
    <w:rsid w:val="00BD0D1E"/>
    <w:rsid w:val="00BD120C"/>
    <w:rsid w:val="00BD1408"/>
    <w:rsid w:val="00BD17EA"/>
    <w:rsid w:val="00BD3D77"/>
    <w:rsid w:val="00BD3E0B"/>
    <w:rsid w:val="00BD44E4"/>
    <w:rsid w:val="00BD4BA7"/>
    <w:rsid w:val="00BD563A"/>
    <w:rsid w:val="00BD7395"/>
    <w:rsid w:val="00BE154B"/>
    <w:rsid w:val="00BE17BA"/>
    <w:rsid w:val="00BE1F31"/>
    <w:rsid w:val="00BE2034"/>
    <w:rsid w:val="00BE3A21"/>
    <w:rsid w:val="00BE5BBF"/>
    <w:rsid w:val="00BE5D6B"/>
    <w:rsid w:val="00BE79F6"/>
    <w:rsid w:val="00BF0228"/>
    <w:rsid w:val="00BF18A8"/>
    <w:rsid w:val="00BF393D"/>
    <w:rsid w:val="00BF4828"/>
    <w:rsid w:val="00BF6F42"/>
    <w:rsid w:val="00C0114D"/>
    <w:rsid w:val="00C0128B"/>
    <w:rsid w:val="00C01D1D"/>
    <w:rsid w:val="00C03058"/>
    <w:rsid w:val="00C03070"/>
    <w:rsid w:val="00C04406"/>
    <w:rsid w:val="00C05DC3"/>
    <w:rsid w:val="00C0714A"/>
    <w:rsid w:val="00C074FC"/>
    <w:rsid w:val="00C07D93"/>
    <w:rsid w:val="00C10CC6"/>
    <w:rsid w:val="00C10F23"/>
    <w:rsid w:val="00C126F0"/>
    <w:rsid w:val="00C1462A"/>
    <w:rsid w:val="00C150C0"/>
    <w:rsid w:val="00C155AB"/>
    <w:rsid w:val="00C16355"/>
    <w:rsid w:val="00C16805"/>
    <w:rsid w:val="00C206AD"/>
    <w:rsid w:val="00C21186"/>
    <w:rsid w:val="00C220F1"/>
    <w:rsid w:val="00C2262C"/>
    <w:rsid w:val="00C24997"/>
    <w:rsid w:val="00C2608A"/>
    <w:rsid w:val="00C26D33"/>
    <w:rsid w:val="00C2767A"/>
    <w:rsid w:val="00C27FBF"/>
    <w:rsid w:val="00C30715"/>
    <w:rsid w:val="00C307E1"/>
    <w:rsid w:val="00C30ACF"/>
    <w:rsid w:val="00C31104"/>
    <w:rsid w:val="00C31C8C"/>
    <w:rsid w:val="00C31FA6"/>
    <w:rsid w:val="00C331D2"/>
    <w:rsid w:val="00C34C71"/>
    <w:rsid w:val="00C35D64"/>
    <w:rsid w:val="00C36066"/>
    <w:rsid w:val="00C40439"/>
    <w:rsid w:val="00C409D6"/>
    <w:rsid w:val="00C42466"/>
    <w:rsid w:val="00C425C9"/>
    <w:rsid w:val="00C42DA7"/>
    <w:rsid w:val="00C44373"/>
    <w:rsid w:val="00C44375"/>
    <w:rsid w:val="00C44810"/>
    <w:rsid w:val="00C454FA"/>
    <w:rsid w:val="00C465AE"/>
    <w:rsid w:val="00C4761B"/>
    <w:rsid w:val="00C47846"/>
    <w:rsid w:val="00C47E30"/>
    <w:rsid w:val="00C510FC"/>
    <w:rsid w:val="00C511FE"/>
    <w:rsid w:val="00C51263"/>
    <w:rsid w:val="00C51C6D"/>
    <w:rsid w:val="00C51CBD"/>
    <w:rsid w:val="00C53CF3"/>
    <w:rsid w:val="00C54590"/>
    <w:rsid w:val="00C6054A"/>
    <w:rsid w:val="00C605A8"/>
    <w:rsid w:val="00C608D1"/>
    <w:rsid w:val="00C61849"/>
    <w:rsid w:val="00C62588"/>
    <w:rsid w:val="00C625A7"/>
    <w:rsid w:val="00C627D9"/>
    <w:rsid w:val="00C63CC7"/>
    <w:rsid w:val="00C64896"/>
    <w:rsid w:val="00C652AB"/>
    <w:rsid w:val="00C653F7"/>
    <w:rsid w:val="00C66C9E"/>
    <w:rsid w:val="00C676A4"/>
    <w:rsid w:val="00C67E40"/>
    <w:rsid w:val="00C72DB5"/>
    <w:rsid w:val="00C74560"/>
    <w:rsid w:val="00C7489C"/>
    <w:rsid w:val="00C7553C"/>
    <w:rsid w:val="00C7570A"/>
    <w:rsid w:val="00C765F6"/>
    <w:rsid w:val="00C803F4"/>
    <w:rsid w:val="00C822E9"/>
    <w:rsid w:val="00C824E9"/>
    <w:rsid w:val="00C82F24"/>
    <w:rsid w:val="00C84622"/>
    <w:rsid w:val="00C85874"/>
    <w:rsid w:val="00C85DFE"/>
    <w:rsid w:val="00C86714"/>
    <w:rsid w:val="00C874C4"/>
    <w:rsid w:val="00C9111F"/>
    <w:rsid w:val="00C919EB"/>
    <w:rsid w:val="00C91EC1"/>
    <w:rsid w:val="00C91F8C"/>
    <w:rsid w:val="00C925D0"/>
    <w:rsid w:val="00C9314B"/>
    <w:rsid w:val="00C93E1A"/>
    <w:rsid w:val="00C9447A"/>
    <w:rsid w:val="00C94DC9"/>
    <w:rsid w:val="00CA0932"/>
    <w:rsid w:val="00CA1F06"/>
    <w:rsid w:val="00CA343F"/>
    <w:rsid w:val="00CA47E4"/>
    <w:rsid w:val="00CA5C5B"/>
    <w:rsid w:val="00CA656E"/>
    <w:rsid w:val="00CA7B27"/>
    <w:rsid w:val="00CB0597"/>
    <w:rsid w:val="00CB1B31"/>
    <w:rsid w:val="00CB1C6C"/>
    <w:rsid w:val="00CB358F"/>
    <w:rsid w:val="00CB42ED"/>
    <w:rsid w:val="00CB45E2"/>
    <w:rsid w:val="00CB5409"/>
    <w:rsid w:val="00CB61A8"/>
    <w:rsid w:val="00CB773B"/>
    <w:rsid w:val="00CC08B0"/>
    <w:rsid w:val="00CC0E51"/>
    <w:rsid w:val="00CC0E85"/>
    <w:rsid w:val="00CC17AF"/>
    <w:rsid w:val="00CC19BC"/>
    <w:rsid w:val="00CC2584"/>
    <w:rsid w:val="00CC2DE6"/>
    <w:rsid w:val="00CC3F58"/>
    <w:rsid w:val="00CC4397"/>
    <w:rsid w:val="00CC5146"/>
    <w:rsid w:val="00CC549F"/>
    <w:rsid w:val="00CC7ACA"/>
    <w:rsid w:val="00CD1427"/>
    <w:rsid w:val="00CD2033"/>
    <w:rsid w:val="00CD28F4"/>
    <w:rsid w:val="00CD2C8E"/>
    <w:rsid w:val="00CD41D3"/>
    <w:rsid w:val="00CD4791"/>
    <w:rsid w:val="00CD5A8C"/>
    <w:rsid w:val="00CD7E20"/>
    <w:rsid w:val="00CE0C4B"/>
    <w:rsid w:val="00CE1391"/>
    <w:rsid w:val="00CE15AE"/>
    <w:rsid w:val="00CE2126"/>
    <w:rsid w:val="00CE2818"/>
    <w:rsid w:val="00CE2F7C"/>
    <w:rsid w:val="00CE3FF4"/>
    <w:rsid w:val="00CE589D"/>
    <w:rsid w:val="00CE5CA1"/>
    <w:rsid w:val="00CE7425"/>
    <w:rsid w:val="00CF0450"/>
    <w:rsid w:val="00CF1EAD"/>
    <w:rsid w:val="00CF1F97"/>
    <w:rsid w:val="00CF2040"/>
    <w:rsid w:val="00CF2D02"/>
    <w:rsid w:val="00CF4145"/>
    <w:rsid w:val="00CF4D27"/>
    <w:rsid w:val="00CF5170"/>
    <w:rsid w:val="00CF5714"/>
    <w:rsid w:val="00CF650D"/>
    <w:rsid w:val="00CF6621"/>
    <w:rsid w:val="00CF6782"/>
    <w:rsid w:val="00CF6D98"/>
    <w:rsid w:val="00CF7F06"/>
    <w:rsid w:val="00D01235"/>
    <w:rsid w:val="00D0243E"/>
    <w:rsid w:val="00D05140"/>
    <w:rsid w:val="00D06B00"/>
    <w:rsid w:val="00D06CCF"/>
    <w:rsid w:val="00D10ECC"/>
    <w:rsid w:val="00D13DF1"/>
    <w:rsid w:val="00D13F44"/>
    <w:rsid w:val="00D13FBA"/>
    <w:rsid w:val="00D147FC"/>
    <w:rsid w:val="00D164F8"/>
    <w:rsid w:val="00D20049"/>
    <w:rsid w:val="00D201A9"/>
    <w:rsid w:val="00D20483"/>
    <w:rsid w:val="00D22BD4"/>
    <w:rsid w:val="00D2445B"/>
    <w:rsid w:val="00D255BB"/>
    <w:rsid w:val="00D25EB9"/>
    <w:rsid w:val="00D265A9"/>
    <w:rsid w:val="00D27317"/>
    <w:rsid w:val="00D27818"/>
    <w:rsid w:val="00D30049"/>
    <w:rsid w:val="00D3271B"/>
    <w:rsid w:val="00D32B3A"/>
    <w:rsid w:val="00D33704"/>
    <w:rsid w:val="00D33B59"/>
    <w:rsid w:val="00D33D13"/>
    <w:rsid w:val="00D342BF"/>
    <w:rsid w:val="00D37658"/>
    <w:rsid w:val="00D4383B"/>
    <w:rsid w:val="00D43C41"/>
    <w:rsid w:val="00D468BC"/>
    <w:rsid w:val="00D47522"/>
    <w:rsid w:val="00D5000E"/>
    <w:rsid w:val="00D5089F"/>
    <w:rsid w:val="00D50D44"/>
    <w:rsid w:val="00D52F93"/>
    <w:rsid w:val="00D530C7"/>
    <w:rsid w:val="00D53283"/>
    <w:rsid w:val="00D53E44"/>
    <w:rsid w:val="00D54BFE"/>
    <w:rsid w:val="00D54E4D"/>
    <w:rsid w:val="00D55465"/>
    <w:rsid w:val="00D55585"/>
    <w:rsid w:val="00D57D4F"/>
    <w:rsid w:val="00D60D25"/>
    <w:rsid w:val="00D63276"/>
    <w:rsid w:val="00D632DD"/>
    <w:rsid w:val="00D63915"/>
    <w:rsid w:val="00D6404C"/>
    <w:rsid w:val="00D64A56"/>
    <w:rsid w:val="00D65538"/>
    <w:rsid w:val="00D6569E"/>
    <w:rsid w:val="00D65B3F"/>
    <w:rsid w:val="00D65DEC"/>
    <w:rsid w:val="00D65E79"/>
    <w:rsid w:val="00D67660"/>
    <w:rsid w:val="00D67D4F"/>
    <w:rsid w:val="00D700E1"/>
    <w:rsid w:val="00D7089E"/>
    <w:rsid w:val="00D714E8"/>
    <w:rsid w:val="00D71730"/>
    <w:rsid w:val="00D71EFA"/>
    <w:rsid w:val="00D741A5"/>
    <w:rsid w:val="00D75DFF"/>
    <w:rsid w:val="00D75F85"/>
    <w:rsid w:val="00D76FE5"/>
    <w:rsid w:val="00D827FD"/>
    <w:rsid w:val="00D8408E"/>
    <w:rsid w:val="00D857C3"/>
    <w:rsid w:val="00D86C0E"/>
    <w:rsid w:val="00D87476"/>
    <w:rsid w:val="00D87C46"/>
    <w:rsid w:val="00D87E77"/>
    <w:rsid w:val="00D900DF"/>
    <w:rsid w:val="00D9182E"/>
    <w:rsid w:val="00D927C9"/>
    <w:rsid w:val="00D92CC3"/>
    <w:rsid w:val="00D94140"/>
    <w:rsid w:val="00D94165"/>
    <w:rsid w:val="00D94366"/>
    <w:rsid w:val="00D97242"/>
    <w:rsid w:val="00D973FA"/>
    <w:rsid w:val="00DA0DC7"/>
    <w:rsid w:val="00DA1234"/>
    <w:rsid w:val="00DA1277"/>
    <w:rsid w:val="00DA18FD"/>
    <w:rsid w:val="00DA218F"/>
    <w:rsid w:val="00DA32C2"/>
    <w:rsid w:val="00DA3DE7"/>
    <w:rsid w:val="00DA4C47"/>
    <w:rsid w:val="00DB05DA"/>
    <w:rsid w:val="00DB0776"/>
    <w:rsid w:val="00DB123E"/>
    <w:rsid w:val="00DB146F"/>
    <w:rsid w:val="00DB1960"/>
    <w:rsid w:val="00DB1A92"/>
    <w:rsid w:val="00DB1D4D"/>
    <w:rsid w:val="00DB2281"/>
    <w:rsid w:val="00DB237F"/>
    <w:rsid w:val="00DB399A"/>
    <w:rsid w:val="00DB4035"/>
    <w:rsid w:val="00DB46B5"/>
    <w:rsid w:val="00DB6C89"/>
    <w:rsid w:val="00DB7793"/>
    <w:rsid w:val="00DC0B3E"/>
    <w:rsid w:val="00DC3178"/>
    <w:rsid w:val="00DC4EBB"/>
    <w:rsid w:val="00DC5759"/>
    <w:rsid w:val="00DC5810"/>
    <w:rsid w:val="00DC64E8"/>
    <w:rsid w:val="00DC6EC1"/>
    <w:rsid w:val="00DD0CCB"/>
    <w:rsid w:val="00DD1232"/>
    <w:rsid w:val="00DD2404"/>
    <w:rsid w:val="00DD2541"/>
    <w:rsid w:val="00DD3490"/>
    <w:rsid w:val="00DD408A"/>
    <w:rsid w:val="00DD4A73"/>
    <w:rsid w:val="00DD4C34"/>
    <w:rsid w:val="00DD58AC"/>
    <w:rsid w:val="00DD6F53"/>
    <w:rsid w:val="00DD74C7"/>
    <w:rsid w:val="00DE0090"/>
    <w:rsid w:val="00DE0691"/>
    <w:rsid w:val="00DE074A"/>
    <w:rsid w:val="00DE0880"/>
    <w:rsid w:val="00DE0D89"/>
    <w:rsid w:val="00DE210B"/>
    <w:rsid w:val="00DE38A7"/>
    <w:rsid w:val="00DE3F06"/>
    <w:rsid w:val="00DE4369"/>
    <w:rsid w:val="00DE4BDB"/>
    <w:rsid w:val="00DE6393"/>
    <w:rsid w:val="00DF0E0D"/>
    <w:rsid w:val="00DF1161"/>
    <w:rsid w:val="00DF4163"/>
    <w:rsid w:val="00DF44BC"/>
    <w:rsid w:val="00DF5308"/>
    <w:rsid w:val="00DF5AAF"/>
    <w:rsid w:val="00DF6058"/>
    <w:rsid w:val="00DF6F97"/>
    <w:rsid w:val="00DF7861"/>
    <w:rsid w:val="00DF7C5B"/>
    <w:rsid w:val="00DF7DA3"/>
    <w:rsid w:val="00E00D8C"/>
    <w:rsid w:val="00E01538"/>
    <w:rsid w:val="00E01AA0"/>
    <w:rsid w:val="00E01F02"/>
    <w:rsid w:val="00E02292"/>
    <w:rsid w:val="00E02656"/>
    <w:rsid w:val="00E0379F"/>
    <w:rsid w:val="00E03D0D"/>
    <w:rsid w:val="00E04117"/>
    <w:rsid w:val="00E0417B"/>
    <w:rsid w:val="00E043AD"/>
    <w:rsid w:val="00E047D6"/>
    <w:rsid w:val="00E04B82"/>
    <w:rsid w:val="00E054AC"/>
    <w:rsid w:val="00E057B5"/>
    <w:rsid w:val="00E05F68"/>
    <w:rsid w:val="00E062A2"/>
    <w:rsid w:val="00E07D5C"/>
    <w:rsid w:val="00E10605"/>
    <w:rsid w:val="00E10CB4"/>
    <w:rsid w:val="00E12377"/>
    <w:rsid w:val="00E140F0"/>
    <w:rsid w:val="00E15814"/>
    <w:rsid w:val="00E15E3E"/>
    <w:rsid w:val="00E1644A"/>
    <w:rsid w:val="00E17DFC"/>
    <w:rsid w:val="00E2197B"/>
    <w:rsid w:val="00E22D0F"/>
    <w:rsid w:val="00E22DAC"/>
    <w:rsid w:val="00E22F59"/>
    <w:rsid w:val="00E250EA"/>
    <w:rsid w:val="00E26563"/>
    <w:rsid w:val="00E26CEF"/>
    <w:rsid w:val="00E2727A"/>
    <w:rsid w:val="00E30756"/>
    <w:rsid w:val="00E3093B"/>
    <w:rsid w:val="00E30B25"/>
    <w:rsid w:val="00E31737"/>
    <w:rsid w:val="00E31B53"/>
    <w:rsid w:val="00E31F7C"/>
    <w:rsid w:val="00E36737"/>
    <w:rsid w:val="00E42D95"/>
    <w:rsid w:val="00E43536"/>
    <w:rsid w:val="00E43681"/>
    <w:rsid w:val="00E437BC"/>
    <w:rsid w:val="00E4470B"/>
    <w:rsid w:val="00E45149"/>
    <w:rsid w:val="00E50AF5"/>
    <w:rsid w:val="00E50CC3"/>
    <w:rsid w:val="00E50EBB"/>
    <w:rsid w:val="00E51FF3"/>
    <w:rsid w:val="00E523EC"/>
    <w:rsid w:val="00E52F5A"/>
    <w:rsid w:val="00E53155"/>
    <w:rsid w:val="00E53514"/>
    <w:rsid w:val="00E53DCC"/>
    <w:rsid w:val="00E54329"/>
    <w:rsid w:val="00E545AA"/>
    <w:rsid w:val="00E60C1F"/>
    <w:rsid w:val="00E612CF"/>
    <w:rsid w:val="00E617E2"/>
    <w:rsid w:val="00E61D0A"/>
    <w:rsid w:val="00E61FE8"/>
    <w:rsid w:val="00E623C7"/>
    <w:rsid w:val="00E62D7C"/>
    <w:rsid w:val="00E62FB3"/>
    <w:rsid w:val="00E637EE"/>
    <w:rsid w:val="00E64581"/>
    <w:rsid w:val="00E6550B"/>
    <w:rsid w:val="00E66B04"/>
    <w:rsid w:val="00E672A6"/>
    <w:rsid w:val="00E677DD"/>
    <w:rsid w:val="00E71BED"/>
    <w:rsid w:val="00E72ADB"/>
    <w:rsid w:val="00E73207"/>
    <w:rsid w:val="00E73E33"/>
    <w:rsid w:val="00E74207"/>
    <w:rsid w:val="00E7482C"/>
    <w:rsid w:val="00E7485B"/>
    <w:rsid w:val="00E74971"/>
    <w:rsid w:val="00E7553D"/>
    <w:rsid w:val="00E76680"/>
    <w:rsid w:val="00E77585"/>
    <w:rsid w:val="00E7794D"/>
    <w:rsid w:val="00E77BAC"/>
    <w:rsid w:val="00E802C5"/>
    <w:rsid w:val="00E81D65"/>
    <w:rsid w:val="00E83D3D"/>
    <w:rsid w:val="00E84249"/>
    <w:rsid w:val="00E87907"/>
    <w:rsid w:val="00E87A78"/>
    <w:rsid w:val="00E913C9"/>
    <w:rsid w:val="00E92F7F"/>
    <w:rsid w:val="00E93816"/>
    <w:rsid w:val="00E93CCF"/>
    <w:rsid w:val="00E942CE"/>
    <w:rsid w:val="00E95C9E"/>
    <w:rsid w:val="00E95FFC"/>
    <w:rsid w:val="00E972B5"/>
    <w:rsid w:val="00EA0C27"/>
    <w:rsid w:val="00EA153B"/>
    <w:rsid w:val="00EA1B6E"/>
    <w:rsid w:val="00EA1C2D"/>
    <w:rsid w:val="00EA2163"/>
    <w:rsid w:val="00EA33EA"/>
    <w:rsid w:val="00EA3922"/>
    <w:rsid w:val="00EA42FA"/>
    <w:rsid w:val="00EA4B63"/>
    <w:rsid w:val="00EA6247"/>
    <w:rsid w:val="00EA671D"/>
    <w:rsid w:val="00EA67B6"/>
    <w:rsid w:val="00EA6F06"/>
    <w:rsid w:val="00EA769A"/>
    <w:rsid w:val="00EA7E74"/>
    <w:rsid w:val="00EB18A4"/>
    <w:rsid w:val="00EB20A9"/>
    <w:rsid w:val="00EB2145"/>
    <w:rsid w:val="00EB2404"/>
    <w:rsid w:val="00EB2C41"/>
    <w:rsid w:val="00EB2E7B"/>
    <w:rsid w:val="00EB31EE"/>
    <w:rsid w:val="00EB3A28"/>
    <w:rsid w:val="00EB4B29"/>
    <w:rsid w:val="00EB4F17"/>
    <w:rsid w:val="00EB52FA"/>
    <w:rsid w:val="00EC4440"/>
    <w:rsid w:val="00EC4B39"/>
    <w:rsid w:val="00EC5814"/>
    <w:rsid w:val="00EC6BE8"/>
    <w:rsid w:val="00EC7CFC"/>
    <w:rsid w:val="00EC7D7E"/>
    <w:rsid w:val="00ED182B"/>
    <w:rsid w:val="00ED25BC"/>
    <w:rsid w:val="00ED337A"/>
    <w:rsid w:val="00ED368C"/>
    <w:rsid w:val="00ED49D4"/>
    <w:rsid w:val="00ED4C08"/>
    <w:rsid w:val="00ED5876"/>
    <w:rsid w:val="00ED59C5"/>
    <w:rsid w:val="00ED5C30"/>
    <w:rsid w:val="00ED6034"/>
    <w:rsid w:val="00ED61CF"/>
    <w:rsid w:val="00ED6266"/>
    <w:rsid w:val="00ED7904"/>
    <w:rsid w:val="00EE09FA"/>
    <w:rsid w:val="00EE14B4"/>
    <w:rsid w:val="00EE1A51"/>
    <w:rsid w:val="00EE25DE"/>
    <w:rsid w:val="00EE3D80"/>
    <w:rsid w:val="00EE4006"/>
    <w:rsid w:val="00EE5EB8"/>
    <w:rsid w:val="00EE6726"/>
    <w:rsid w:val="00EF0953"/>
    <w:rsid w:val="00EF149F"/>
    <w:rsid w:val="00EF53B1"/>
    <w:rsid w:val="00EF5BBA"/>
    <w:rsid w:val="00EF6652"/>
    <w:rsid w:val="00EF6674"/>
    <w:rsid w:val="00EF7189"/>
    <w:rsid w:val="00F004B2"/>
    <w:rsid w:val="00F006A9"/>
    <w:rsid w:val="00F0155B"/>
    <w:rsid w:val="00F018F9"/>
    <w:rsid w:val="00F031D3"/>
    <w:rsid w:val="00F03AD1"/>
    <w:rsid w:val="00F03AD8"/>
    <w:rsid w:val="00F04B12"/>
    <w:rsid w:val="00F058D5"/>
    <w:rsid w:val="00F0630B"/>
    <w:rsid w:val="00F10A1E"/>
    <w:rsid w:val="00F118A3"/>
    <w:rsid w:val="00F1249E"/>
    <w:rsid w:val="00F17610"/>
    <w:rsid w:val="00F2148B"/>
    <w:rsid w:val="00F22080"/>
    <w:rsid w:val="00F23669"/>
    <w:rsid w:val="00F23B2B"/>
    <w:rsid w:val="00F2411D"/>
    <w:rsid w:val="00F25FD7"/>
    <w:rsid w:val="00F26617"/>
    <w:rsid w:val="00F27A1C"/>
    <w:rsid w:val="00F305AC"/>
    <w:rsid w:val="00F30654"/>
    <w:rsid w:val="00F30DAB"/>
    <w:rsid w:val="00F33C35"/>
    <w:rsid w:val="00F33CD6"/>
    <w:rsid w:val="00F34DAA"/>
    <w:rsid w:val="00F3576C"/>
    <w:rsid w:val="00F3610A"/>
    <w:rsid w:val="00F36AE3"/>
    <w:rsid w:val="00F37E23"/>
    <w:rsid w:val="00F41906"/>
    <w:rsid w:val="00F42868"/>
    <w:rsid w:val="00F42DE1"/>
    <w:rsid w:val="00F436C9"/>
    <w:rsid w:val="00F443BB"/>
    <w:rsid w:val="00F4520C"/>
    <w:rsid w:val="00F509FB"/>
    <w:rsid w:val="00F50C76"/>
    <w:rsid w:val="00F511A6"/>
    <w:rsid w:val="00F51352"/>
    <w:rsid w:val="00F51F81"/>
    <w:rsid w:val="00F52C85"/>
    <w:rsid w:val="00F53F1B"/>
    <w:rsid w:val="00F56A1E"/>
    <w:rsid w:val="00F600D4"/>
    <w:rsid w:val="00F60D26"/>
    <w:rsid w:val="00F62462"/>
    <w:rsid w:val="00F653B5"/>
    <w:rsid w:val="00F6583E"/>
    <w:rsid w:val="00F667BC"/>
    <w:rsid w:val="00F6757D"/>
    <w:rsid w:val="00F6765C"/>
    <w:rsid w:val="00F70E71"/>
    <w:rsid w:val="00F717BE"/>
    <w:rsid w:val="00F72A53"/>
    <w:rsid w:val="00F73717"/>
    <w:rsid w:val="00F74033"/>
    <w:rsid w:val="00F7460E"/>
    <w:rsid w:val="00F74791"/>
    <w:rsid w:val="00F7522C"/>
    <w:rsid w:val="00F768E0"/>
    <w:rsid w:val="00F76F6E"/>
    <w:rsid w:val="00F807A7"/>
    <w:rsid w:val="00F81784"/>
    <w:rsid w:val="00F83743"/>
    <w:rsid w:val="00F83DDF"/>
    <w:rsid w:val="00F83EA8"/>
    <w:rsid w:val="00F86293"/>
    <w:rsid w:val="00F8682B"/>
    <w:rsid w:val="00F871EE"/>
    <w:rsid w:val="00F87793"/>
    <w:rsid w:val="00F87E4E"/>
    <w:rsid w:val="00F902DF"/>
    <w:rsid w:val="00F9200D"/>
    <w:rsid w:val="00F92B74"/>
    <w:rsid w:val="00F931A5"/>
    <w:rsid w:val="00F9343E"/>
    <w:rsid w:val="00F9386D"/>
    <w:rsid w:val="00F93954"/>
    <w:rsid w:val="00F94106"/>
    <w:rsid w:val="00F9738A"/>
    <w:rsid w:val="00F97973"/>
    <w:rsid w:val="00FA0103"/>
    <w:rsid w:val="00FA049E"/>
    <w:rsid w:val="00FA1084"/>
    <w:rsid w:val="00FA23ED"/>
    <w:rsid w:val="00FA2640"/>
    <w:rsid w:val="00FA3F9A"/>
    <w:rsid w:val="00FA4689"/>
    <w:rsid w:val="00FA46D5"/>
    <w:rsid w:val="00FA5470"/>
    <w:rsid w:val="00FA6DBD"/>
    <w:rsid w:val="00FA7379"/>
    <w:rsid w:val="00FA7CCD"/>
    <w:rsid w:val="00FB0447"/>
    <w:rsid w:val="00FB0DB7"/>
    <w:rsid w:val="00FB0EBA"/>
    <w:rsid w:val="00FB11E0"/>
    <w:rsid w:val="00FB1D1E"/>
    <w:rsid w:val="00FB1F88"/>
    <w:rsid w:val="00FB2403"/>
    <w:rsid w:val="00FB4F71"/>
    <w:rsid w:val="00FB63B7"/>
    <w:rsid w:val="00FB6890"/>
    <w:rsid w:val="00FB7C57"/>
    <w:rsid w:val="00FC18D6"/>
    <w:rsid w:val="00FC1B7D"/>
    <w:rsid w:val="00FC35B3"/>
    <w:rsid w:val="00FC3FA9"/>
    <w:rsid w:val="00FC4F97"/>
    <w:rsid w:val="00FC5AE5"/>
    <w:rsid w:val="00FC75E6"/>
    <w:rsid w:val="00FD095F"/>
    <w:rsid w:val="00FD0D13"/>
    <w:rsid w:val="00FD15E4"/>
    <w:rsid w:val="00FD1932"/>
    <w:rsid w:val="00FD2B85"/>
    <w:rsid w:val="00FD3A5E"/>
    <w:rsid w:val="00FD3FB1"/>
    <w:rsid w:val="00FD562A"/>
    <w:rsid w:val="00FD60A3"/>
    <w:rsid w:val="00FD65B3"/>
    <w:rsid w:val="00FD6A66"/>
    <w:rsid w:val="00FD73A1"/>
    <w:rsid w:val="00FE0DC8"/>
    <w:rsid w:val="00FE1DB1"/>
    <w:rsid w:val="00FE1EDF"/>
    <w:rsid w:val="00FE2CE4"/>
    <w:rsid w:val="00FE3FF5"/>
    <w:rsid w:val="00FE4A00"/>
    <w:rsid w:val="00FE4CA3"/>
    <w:rsid w:val="00FE5B24"/>
    <w:rsid w:val="00FE725E"/>
    <w:rsid w:val="00FF1FAE"/>
    <w:rsid w:val="00FF2202"/>
    <w:rsid w:val="00FF29E0"/>
    <w:rsid w:val="00FF35F3"/>
    <w:rsid w:val="00FF56D0"/>
    <w:rsid w:val="00FF581A"/>
    <w:rsid w:val="00FF674B"/>
    <w:rsid w:val="00FF6756"/>
    <w:rsid w:val="00FF6FB8"/>
    <w:rsid w:val="00FF79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795"/>
    <w:pPr>
      <w:framePr w:wrap="auto"/>
      <w:widowControl/>
      <w:autoSpaceDE/>
      <w:autoSpaceDN/>
      <w:adjustRightInd/>
      <w:ind w:left="0" w:right="0"/>
      <w:jc w:val="both"/>
      <w:textAlignment w:val="auto"/>
    </w:pPr>
    <w:rPr>
      <w:rFonts w:cs="Times New Roman"/>
      <w:sz w:val="24"/>
      <w:szCs w:val="24"/>
      <w:rtl w:val="0"/>
      <w:cs w:val="0"/>
      <w:lang w:val="cs-CZ" w:eastAsia="cs-CZ"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link w:val="BodyTextChar"/>
    <w:rsid w:val="00921795"/>
    <w:pPr>
      <w:jc w:val="both"/>
    </w:pPr>
    <w:rPr>
      <w:lang w:val="sk-SK" w:eastAsia="sk-SK"/>
    </w:rPr>
  </w:style>
  <w:style w:type="character" w:customStyle="1" w:styleId="BodyTextChar">
    <w:name w:val="Body Text Char"/>
    <w:basedOn w:val="DefaultParagraphFont"/>
    <w:link w:val="BodyText"/>
    <w:locked/>
    <w:rsid w:val="00921795"/>
    <w:rPr>
      <w:rFonts w:cs="Times New Roman"/>
      <w:sz w:val="24"/>
      <w:szCs w:val="24"/>
      <w:rtl w:val="0"/>
      <w:cs w:val="0"/>
      <w:lang w:val="sk-SK" w:eastAsia="sk-SK" w:bidi="ar-SA"/>
    </w:rPr>
  </w:style>
  <w:style w:type="paragraph" w:styleId="BodyText2">
    <w:name w:val="Body Text 2"/>
    <w:basedOn w:val="Normal"/>
    <w:link w:val="BodyText2Char"/>
    <w:rsid w:val="00921795"/>
    <w:pPr>
      <w:ind w:firstLine="708"/>
      <w:jc w:val="both"/>
    </w:pPr>
    <w:rPr>
      <w:b/>
      <w:bCs/>
      <w:lang w:val="sk-SK" w:eastAsia="sk-SK"/>
    </w:rPr>
  </w:style>
  <w:style w:type="character" w:customStyle="1" w:styleId="BodyText2Char">
    <w:name w:val="Body Text 2 Char"/>
    <w:basedOn w:val="DefaultParagraphFont"/>
    <w:link w:val="BodyText2"/>
    <w:locked/>
    <w:rsid w:val="00921795"/>
    <w:rPr>
      <w:rFonts w:cs="Times New Roman"/>
      <w:b/>
      <w:bCs/>
      <w:sz w:val="24"/>
      <w:szCs w:val="24"/>
      <w:rtl w:val="0"/>
      <w:cs w:val="0"/>
      <w:lang w:val="sk-SK" w:eastAsia="sk-SK" w:bidi="ar-SA"/>
    </w:rPr>
  </w:style>
  <w:style w:type="paragraph" w:styleId="NormalWeb">
    <w:name w:val="Normal (Web)"/>
    <w:aliases w:val="webb"/>
    <w:basedOn w:val="Normal"/>
    <w:uiPriority w:val="99"/>
    <w:rsid w:val="00921795"/>
    <w:pPr>
      <w:spacing w:before="100" w:beforeAutospacing="1" w:after="100" w:afterAutospacing="1"/>
      <w:jc w:val="left"/>
    </w:pPr>
    <w:rPr>
      <w:lang w:val="sk-SK" w:eastAsia="sk-SK"/>
    </w:rPr>
  </w:style>
  <w:style w:type="paragraph" w:styleId="Footer">
    <w:name w:val="footer"/>
    <w:basedOn w:val="Normal"/>
    <w:rsid w:val="00921795"/>
    <w:pPr>
      <w:tabs>
        <w:tab w:val="center" w:pos="4536"/>
        <w:tab w:val="right" w:pos="9072"/>
      </w:tabs>
      <w:jc w:val="both"/>
    </w:pPr>
  </w:style>
  <w:style w:type="character" w:styleId="PageNumber">
    <w:name w:val="page number"/>
    <w:basedOn w:val="DefaultParagraphFont"/>
    <w:rsid w:val="00921795"/>
    <w:rPr>
      <w:rFonts w:cs="Times New Roman"/>
      <w:rtl w:val="0"/>
      <w:cs w:val="0"/>
    </w:rPr>
  </w:style>
  <w:style w:type="table" w:styleId="TableGrid">
    <w:name w:val="Table Grid"/>
    <w:basedOn w:val="TableNormal"/>
    <w:rsid w:val="00176DD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locked/>
    <w:rsid w:val="005D6367"/>
    <w:rPr>
      <w:rFonts w:ascii="Consolas" w:hAnsi="Consolas" w:cs="Times New Roman"/>
      <w:rtl w:val="0"/>
      <w:cs w:val="0"/>
    </w:rPr>
  </w:style>
  <w:style w:type="paragraph" w:styleId="PlainText">
    <w:name w:val="Plain Text"/>
    <w:basedOn w:val="Normal"/>
    <w:link w:val="PlainTextChar"/>
    <w:rsid w:val="005D6367"/>
    <w:pPr>
      <w:jc w:val="left"/>
    </w:pPr>
    <w:rPr>
      <w:rFonts w:ascii="Consolas" w:hAnsi="Consolas"/>
      <w:sz w:val="20"/>
      <w:szCs w:val="20"/>
      <w:lang w:val="sk-SK" w:eastAsia="sk-SK"/>
    </w:rPr>
  </w:style>
  <w:style w:type="character" w:customStyle="1" w:styleId="ProsttextChar1">
    <w:name w:val="Prostý text Char1"/>
    <w:basedOn w:val="DefaultParagraphFont"/>
    <w:link w:val="PlainText"/>
    <w:locked/>
    <w:rsid w:val="005D6367"/>
    <w:rPr>
      <w:rFonts w:ascii="Courier New" w:hAnsi="Courier New" w:cs="Courier New"/>
      <w:rtl w:val="0"/>
      <w:cs w:val="0"/>
      <w:lang w:val="cs-CZ" w:eastAsia="cs-CZ"/>
    </w:rPr>
  </w:style>
  <w:style w:type="paragraph" w:styleId="Header">
    <w:name w:val="header"/>
    <w:basedOn w:val="Normal"/>
    <w:rsid w:val="0090269F"/>
    <w:pPr>
      <w:tabs>
        <w:tab w:val="center" w:pos="4536"/>
        <w:tab w:val="right" w:pos="9072"/>
      </w:tabs>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3546</Words>
  <Characters>20218</Characters>
  <Application>Microsoft Office Word</Application>
  <DocSecurity>0</DocSecurity>
  <Lines>0</Lines>
  <Paragraphs>0</Paragraphs>
  <ScaleCrop>false</ScaleCrop>
  <Company>MZ SR</Company>
  <LinksUpToDate>false</LinksUpToDate>
  <CharactersWithSpaces>23717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Zuzana Földesová Motajová</dc:creator>
  <cp:lastModifiedBy>Gašparíková, Jarmila</cp:lastModifiedBy>
  <cp:revision>2</cp:revision>
  <cp:lastPrinted>2011-03-22T13:35:00Z</cp:lastPrinted>
  <dcterms:created xsi:type="dcterms:W3CDTF">2011-04-29T15:11:00Z</dcterms:created>
  <dcterms:modified xsi:type="dcterms:W3CDTF">2011-04-29T15:11:00Z</dcterms:modified>
</cp:coreProperties>
</file>