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01AA" w:rsidP="00935D79">
      <w:pPr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Sociálne vplyvy - vplyvy na hospodárenie obyvateľstva, sociálnu exklúziu, rovnosť príležitostí a rodovú rovnosť a na zamestnanosť</w:t>
      </w:r>
    </w:p>
    <w:p w:rsidR="000D01AA" w:rsidP="00935D79">
      <w:pPr>
        <w:bidi w:val="0"/>
        <w:rPr>
          <w:rFonts w:ascii="Times New Roman" w:hAnsi="Times New Roman"/>
          <w:b/>
          <w:bCs/>
          <w:lang w:val="sk-SK"/>
        </w:rPr>
      </w:pPr>
    </w:p>
    <w:p w:rsidR="000D01AA" w:rsidP="00935D79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0D01AA" w:rsidP="00AC5A1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DE5" w:rsidP="00E7715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CB3C42">
              <w:rPr>
                <w:rFonts w:ascii="Times New Roman" w:hAnsi="Times New Roman"/>
                <w:lang w:val="sk-SK"/>
              </w:rPr>
              <w:t xml:space="preserve">Môže mať jednorazovo negatívny vplyv na príjmy zamestnanca prepusteného z organizačných alebo zdravotných dôvodov, nakoľko dohoda pri ukončení pracovného pomeru garantuje len vyplatenie odstupného </w:t>
            </w:r>
            <w:r w:rsidR="00F82D0A">
              <w:rPr>
                <w:rFonts w:ascii="Times New Roman" w:hAnsi="Times New Roman"/>
                <w:lang w:val="sk-SK"/>
              </w:rPr>
              <w:t>vo</w:t>
            </w:r>
            <w:r w:rsidR="00CB3C42">
              <w:rPr>
                <w:rFonts w:ascii="Times New Roman" w:hAnsi="Times New Roman"/>
                <w:lang w:val="sk-SK"/>
              </w:rPr>
              <w:t xml:space="preserve"> výške</w:t>
            </w:r>
            <w:r w:rsidR="00F82D0A">
              <w:rPr>
                <w:rFonts w:ascii="Times New Roman" w:hAnsi="Times New Roman"/>
                <w:lang w:val="sk-SK"/>
              </w:rPr>
              <w:t xml:space="preserve"> zohľadňujúcej dĺžku trvania pracovného pomeru</w:t>
            </w:r>
            <w:r w:rsidR="00CB3C42">
              <w:rPr>
                <w:rFonts w:ascii="Times New Roman" w:hAnsi="Times New Roman"/>
                <w:lang w:val="sk-SK"/>
              </w:rPr>
              <w:t>. Vzhľadom na možnosť dohodnúť ďalšie náležitosti ukončenia pracovného pomeru</w:t>
            </w:r>
            <w:r w:rsidR="006F4020">
              <w:rPr>
                <w:rFonts w:ascii="Times New Roman" w:hAnsi="Times New Roman"/>
                <w:lang w:val="sk-SK"/>
              </w:rPr>
              <w:t xml:space="preserve"> je možné negatívny dopad zmierniť alebo úplne zrušiť.</w:t>
            </w:r>
          </w:p>
          <w:p w:rsidR="009A43D1" w:rsidP="00E7715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Primerané peňažné vyrovnanie vyplatené podľa §83a má pozitívny vplyv na hospodárenie dotknutého zamestnanca.</w:t>
            </w:r>
          </w:p>
          <w:p w:rsidR="004D5DE5" w:rsidP="00E7715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Skrátenie výpovednej doby na 1 mesiac u zamestnancov s trvaním pracovného pomeru menej než 1 rok má negatívny vplyv na hospodárenie prepusteného zamestnanca.</w:t>
            </w:r>
          </w:p>
          <w:p w:rsidR="00211323" w:rsidP="00E7715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9215C" w:rsidP="00D71379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D71379">
              <w:rPr>
                <w:rFonts w:ascii="Times New Roman" w:hAnsi="Times New Roman"/>
                <w:lang w:val="sk-SK"/>
              </w:rPr>
              <w:t xml:space="preserve">Vypustenie §120 môže mať negatívny vplyv na hospodárenie niektorých domácností zamestnancov </w:t>
            </w:r>
            <w:r w:rsidRPr="00D71379" w:rsidR="00A17186">
              <w:rPr>
                <w:rFonts w:ascii="Times New Roman" w:hAnsi="Times New Roman"/>
                <w:lang w:val="sk-SK"/>
              </w:rPr>
              <w:t xml:space="preserve">vykonávajúcich </w:t>
            </w:r>
            <w:r w:rsidRPr="00D71379" w:rsidR="00D71379">
              <w:rPr>
                <w:rFonts w:ascii="Times New Roman" w:hAnsi="Times New Roman"/>
                <w:lang w:val="sk-SK"/>
              </w:rPr>
              <w:t xml:space="preserve">kvalifikačne </w:t>
            </w:r>
            <w:r w:rsidR="008934F6">
              <w:rPr>
                <w:rFonts w:ascii="Times New Roman" w:hAnsi="Times New Roman"/>
                <w:lang w:val="sk-SK"/>
              </w:rPr>
              <w:t>nižšie až stredne náročné</w:t>
            </w:r>
            <w:r w:rsidRPr="00D71379" w:rsidR="00D71379">
              <w:rPr>
                <w:rFonts w:ascii="Times New Roman" w:hAnsi="Times New Roman"/>
                <w:lang w:val="sk-SK"/>
              </w:rPr>
              <w:t xml:space="preserve"> práce</w:t>
            </w:r>
            <w:r w:rsidRPr="00D71379">
              <w:rPr>
                <w:rFonts w:ascii="Times New Roman" w:hAnsi="Times New Roman"/>
                <w:lang w:val="sk-SK"/>
              </w:rPr>
              <w:t xml:space="preserve">, u ktorých </w:t>
            </w:r>
            <w:r w:rsidRPr="00D71379" w:rsidR="00211323">
              <w:rPr>
                <w:rFonts w:ascii="Times New Roman" w:hAnsi="Times New Roman"/>
                <w:lang w:val="sk-SK"/>
              </w:rPr>
              <w:t xml:space="preserve">môže </w:t>
            </w:r>
            <w:r w:rsidRPr="00D71379">
              <w:rPr>
                <w:rFonts w:ascii="Times New Roman" w:hAnsi="Times New Roman"/>
                <w:lang w:val="sk-SK"/>
              </w:rPr>
              <w:t>dôjde k zníženiu príjmov v dôsledku zrušenia minimálnych mzdových nárokov.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69"/>
          <w:jc w:val="center"/>
        </w:trPr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856A35" w:rsidP="00F54446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  <w:p w:rsidR="00856A35" w:rsidP="00F54446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  <w:p w:rsidR="00856A35" w:rsidP="00F54446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856A35" w:rsidP="00F54446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856A35" w:rsidP="006F402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Pri prepustení zamestnanca z organizačných alebo zdravotných dôvodov s dĺžkou pracovného pomeru menej než rok sa môže príjem jednorazovo znížiť najviac o trojnásobok, s dĺžkou 1-5 rokov o dvojnásobok, s dĺžkou 5-10 rokov o trojnásobok, s dĺžkou 10-20 rokov o dvojnásobok mesačného príjmu a s dĺžkou viac než 20 rokov o výšku mesačného príjmu. Ďalšie aspekty dohody o ukončení pracovného pomeru môžu tento negatívny vplyv zmierniť alebo úplne zvrátiť.</w:t>
            </w:r>
          </w:p>
          <w:p w:rsidR="00856A35" w:rsidP="006F402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856A35" w:rsidP="006F402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Peňažné vyrovnanie podľa §83a má výšku najmenej 50% priemerného mesačného zárobku zamestnanca za každý mesiac plnenia záväzku (najviac 1 rok).</w:t>
            </w:r>
          </w:p>
          <w:p w:rsidR="00856A35" w:rsidP="006F402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856A35" w:rsidP="006F402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Skrátenie výpovednej doby na jeden mesiac môže mať negatívny vplyv na príjmy zamestnancov s trvaním pracovného pomeru menej než jeden rok vo výške mesačného príjmu.</w:t>
            </w:r>
          </w:p>
          <w:p w:rsidR="0009215C" w:rsidP="006F402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856A35" w:rsidP="00211323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016763" w:rsidR="0009215C">
              <w:rPr>
                <w:rFonts w:ascii="Times New Roman" w:hAnsi="Times New Roman"/>
                <w:lang w:val="sk-SK"/>
              </w:rPr>
              <w:t xml:space="preserve">V dôsledku zrušenia minimálnych mzdových nárokov môže dôjsť k  poskytovaniu mzdy zamestnancom na úrovni minimálnej mzdy bez ohľadu na náročnosť nimi vykonávaných </w:t>
            </w:r>
            <w:smartTag w:uri="urn:schemas-microsoft-com:office:smarttags" w:element="PersonName">
              <w:r w:rsidRPr="00016763" w:rsidR="0009215C">
                <w:rPr>
                  <w:rFonts w:ascii="Times New Roman" w:hAnsi="Times New Roman"/>
                  <w:lang w:val="sk-SK"/>
                </w:rPr>
                <w:t>pr</w:t>
              </w:r>
            </w:smartTag>
            <w:r w:rsidRPr="00016763" w:rsidR="0009215C">
              <w:rPr>
                <w:rFonts w:ascii="Times New Roman" w:hAnsi="Times New Roman"/>
                <w:lang w:val="sk-SK"/>
              </w:rPr>
              <w:t>ác. Možné zníženie príjmu bude pravdepodobné najmä v stupni 2 (do výšky max. 0,2 násobok minimálnej mzdy) a 3 (do výšky max. 0,4 násobok minimálnej mzdy).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99"/>
          <w:jc w:val="center"/>
        </w:trPr>
        <w:tc>
          <w:tcPr>
            <w:tcW w:w="4875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856A35" w:rsidP="00F54446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6A35" w:rsidP="006F402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Pozitívny prístup k právam. </w:t>
            </w:r>
            <w:r w:rsidR="003303C0">
              <w:rPr>
                <w:rFonts w:ascii="Times New Roman" w:hAnsi="Times New Roman"/>
                <w:lang w:val="sk-SK"/>
              </w:rPr>
              <w:t>Zdieľané pracovné miesto sa označuje ako opatrenie, ktoré pomáha zamestnať tehotný ženy a matky, ktoré sa starajú o dieťa. Možnosť kumulácie pracovného voľna za prácu nadčas umožní jeho využívanie v prípade, ak je potrebné plniť si aj rodičovské povinnosti.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Pozitívny vplyv na dodržiavanie práv na rovnaké zaobchádzanie. </w:t>
            </w:r>
            <w:r w:rsidR="003303C0">
              <w:rPr>
                <w:rFonts w:ascii="Times New Roman" w:hAnsi="Times New Roman"/>
                <w:lang w:val="sk-SK"/>
              </w:rPr>
              <w:t>Zvýšenie ochrany a zamestnateľnosti predovšetkým tehotných žien a matiek, ktoré sa starajú o deti.</w:t>
            </w:r>
          </w:p>
          <w:p w:rsidR="00211323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211323" w:rsidRPr="00016763" w:rsidP="00211323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016763">
              <w:rPr>
                <w:rFonts w:ascii="Times New Roman" w:hAnsi="Times New Roman"/>
                <w:lang w:val="sk-SK"/>
              </w:rPr>
              <w:t xml:space="preserve">Vypustením Charakteristík stupňov náročnosti </w:t>
            </w:r>
            <w:smartTag w:uri="urn:schemas-microsoft-com:office:smarttags" w:element="PersonName">
              <w:r w:rsidRPr="00016763">
                <w:rPr>
                  <w:rFonts w:ascii="Times New Roman" w:hAnsi="Times New Roman"/>
                  <w:lang w:val="sk-SK"/>
                </w:rPr>
                <w:t>pr</w:t>
              </w:r>
            </w:smartTag>
            <w:r w:rsidRPr="00016763">
              <w:rPr>
                <w:rFonts w:ascii="Times New Roman" w:hAnsi="Times New Roman"/>
                <w:lang w:val="sk-SK"/>
              </w:rPr>
              <w:t xml:space="preserve">acovných miest sa odstráni nástroj na posudzovanie a hodnotenie náročnosti </w:t>
            </w:r>
            <w:smartTag w:uri="urn:schemas-microsoft-com:office:smarttags" w:element="PersonName">
              <w:r w:rsidRPr="00016763">
                <w:rPr>
                  <w:rFonts w:ascii="Times New Roman" w:hAnsi="Times New Roman"/>
                  <w:lang w:val="sk-SK"/>
                </w:rPr>
                <w:t>pr</w:t>
              </w:r>
            </w:smartTag>
            <w:r w:rsidRPr="00016763">
              <w:rPr>
                <w:rFonts w:ascii="Times New Roman" w:hAnsi="Times New Roman"/>
                <w:lang w:val="sk-SK"/>
              </w:rPr>
              <w:t>áce na účely garancie rovnakej odmeny pre muža a ženu (u zamestnan</w:t>
            </w:r>
            <w:r w:rsidRPr="00016763" w:rsidR="00A17186">
              <w:rPr>
                <w:rFonts w:ascii="Times New Roman" w:hAnsi="Times New Roman"/>
                <w:lang w:val="sk-SK"/>
              </w:rPr>
              <w:t>í</w:t>
            </w:r>
            <w:r w:rsidRPr="00016763">
              <w:rPr>
                <w:rFonts w:ascii="Times New Roman" w:hAnsi="Times New Roman"/>
                <w:lang w:val="sk-SK"/>
              </w:rPr>
              <w:t>, ktoré nie sú pokryté kolektívnym vyjednávaním), čím môže byť negatívne ovplyvnený princíp rodovej rovnosti.</w:t>
            </w:r>
          </w:p>
          <w:p w:rsidR="00211323" w:rsidP="00211323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0D01AA" w:rsidP="00AC5A18">
            <w:pPr>
              <w:bidi w:val="0"/>
              <w:jc w:val="both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Aké sú  vplyvy na zamestnanosť ?</w:t>
            </w:r>
          </w:p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Ktoré skupiny zamestnancov budú ohrozené schválením predkladaného materiálu ?</w:t>
            </w:r>
          </w:p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</w:p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3303C0">
              <w:rPr>
                <w:rFonts w:ascii="Times New Roman" w:hAnsi="Times New Roman"/>
                <w:lang w:val="sk-SK"/>
              </w:rPr>
              <w:t xml:space="preserve">                 Pozitívny</w:t>
            </w:r>
          </w:p>
          <w:p w:rsidR="000D01AA" w:rsidP="00AC5A1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0D01AA" w:rsidP="00856A35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3303C0">
              <w:rPr>
                <w:rFonts w:ascii="Times New Roman" w:hAnsi="Times New Roman"/>
                <w:lang w:val="sk-SK"/>
              </w:rPr>
              <w:t>V prípade zvýšenia flexibility predpokladáme zvýšenie pozitívne vplyvu na zamestnanosť a motiváciu zamestnávateľov zamestnať väčší počet zamestnancov.</w:t>
            </w:r>
          </w:p>
        </w:tc>
      </w:tr>
    </w:tbl>
    <w:p w:rsidR="000D01AA" w:rsidRPr="00A17186" w:rsidP="00856A35">
      <w:pPr>
        <w:bidi w:val="0"/>
        <w:rPr>
          <w:rFonts w:ascii="Times New Roman" w:hAnsi="Times New Roman"/>
          <w:lang w:val="sk-SK"/>
        </w:rPr>
      </w:pPr>
    </w:p>
    <w:sectPr w:rsidSect="007A09B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60A"/>
    <w:multiLevelType w:val="hybridMultilevel"/>
    <w:tmpl w:val="6D42F6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935D79"/>
    <w:rsid w:val="00016763"/>
    <w:rsid w:val="0009215C"/>
    <w:rsid w:val="000D01AA"/>
    <w:rsid w:val="00121078"/>
    <w:rsid w:val="00183D53"/>
    <w:rsid w:val="001E5909"/>
    <w:rsid w:val="00211323"/>
    <w:rsid w:val="00290C57"/>
    <w:rsid w:val="00291C49"/>
    <w:rsid w:val="003303C0"/>
    <w:rsid w:val="0036501C"/>
    <w:rsid w:val="00407F76"/>
    <w:rsid w:val="00413A43"/>
    <w:rsid w:val="0042448A"/>
    <w:rsid w:val="004D5DE5"/>
    <w:rsid w:val="00506FFC"/>
    <w:rsid w:val="005612B9"/>
    <w:rsid w:val="005D1697"/>
    <w:rsid w:val="005E46B5"/>
    <w:rsid w:val="006D7924"/>
    <w:rsid w:val="006F4020"/>
    <w:rsid w:val="007010DE"/>
    <w:rsid w:val="007A09BD"/>
    <w:rsid w:val="00805505"/>
    <w:rsid w:val="00856A35"/>
    <w:rsid w:val="00871F45"/>
    <w:rsid w:val="00891534"/>
    <w:rsid w:val="008934F6"/>
    <w:rsid w:val="00935D79"/>
    <w:rsid w:val="009368B2"/>
    <w:rsid w:val="00995999"/>
    <w:rsid w:val="009A43D1"/>
    <w:rsid w:val="00A17186"/>
    <w:rsid w:val="00AC31BA"/>
    <w:rsid w:val="00AC5A18"/>
    <w:rsid w:val="00AC632C"/>
    <w:rsid w:val="00AE68C1"/>
    <w:rsid w:val="00AE70C8"/>
    <w:rsid w:val="00B3216E"/>
    <w:rsid w:val="00B3642F"/>
    <w:rsid w:val="00BA1687"/>
    <w:rsid w:val="00C84D01"/>
    <w:rsid w:val="00CB07A9"/>
    <w:rsid w:val="00CB3C42"/>
    <w:rsid w:val="00CD25A1"/>
    <w:rsid w:val="00CF3E45"/>
    <w:rsid w:val="00D65DB4"/>
    <w:rsid w:val="00D71379"/>
    <w:rsid w:val="00D83CBD"/>
    <w:rsid w:val="00DC42F5"/>
    <w:rsid w:val="00DF7984"/>
    <w:rsid w:val="00E57C44"/>
    <w:rsid w:val="00E6259C"/>
    <w:rsid w:val="00E7715B"/>
    <w:rsid w:val="00EC201A"/>
    <w:rsid w:val="00F23F04"/>
    <w:rsid w:val="00F54446"/>
    <w:rsid w:val="00F82D0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35D79"/>
    <w:pPr>
      <w:jc w:val="left"/>
    </w:pPr>
    <w:rPr>
      <w:b/>
      <w:bCs/>
      <w:lang w:val="sk-SK"/>
    </w:rPr>
  </w:style>
  <w:style w:type="character" w:customStyle="1" w:styleId="BodyTextChar">
    <w:name w:val="Body Text Char"/>
    <w:link w:val="BodyText"/>
    <w:uiPriority w:val="99"/>
    <w:locked/>
    <w:rsid w:val="00935D79"/>
    <w:rPr>
      <w:rFonts w:ascii="Times New Roman" w:hAnsi="Times New Roman" w:cs="Times New Roman"/>
      <w:b/>
      <w:sz w:val="2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76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16763"/>
    <w:rPr>
      <w:rFonts w:ascii="Tahoma" w:hAnsi="Tahoma" w:cs="Tahoma"/>
      <w:sz w:val="16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610</Words>
  <Characters>3478</Characters>
  <Application>Microsoft Office Word</Application>
  <DocSecurity>0</DocSecurity>
  <Lines>0</Lines>
  <Paragraphs>0</Paragraphs>
  <ScaleCrop>false</ScaleCrop>
  <Company>MPSVR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vplyvy na hospodárenie obyvateľstva, sociálnu exklúziu, rovnosť príležitostí a rodovú rovnosť a na zamestnanosť</dc:title>
  <dc:creator>toman</dc:creator>
  <cp:lastModifiedBy>Gašparíková, Jarmila</cp:lastModifiedBy>
  <cp:revision>2</cp:revision>
  <cp:lastPrinted>2011-04-29T09:23:00Z</cp:lastPrinted>
  <dcterms:created xsi:type="dcterms:W3CDTF">2011-04-29T14:22:00Z</dcterms:created>
  <dcterms:modified xsi:type="dcterms:W3CDTF">2011-04-29T14:22:00Z</dcterms:modified>
</cp:coreProperties>
</file>