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2CC1" w:rsidP="00682CC1">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682CC1" w:rsidP="00682CC1">
      <w:pPr>
        <w:bidi w:val="0"/>
        <w:jc w:val="center"/>
        <w:rPr>
          <w:rFonts w:ascii="Times New Roman" w:hAnsi="Times New Roman"/>
          <w:b/>
          <w:bCs/>
          <w:color w:val="000000"/>
        </w:rPr>
      </w:pPr>
      <w:r>
        <w:rPr>
          <w:rFonts w:ascii="Times New Roman" w:hAnsi="Times New Roman"/>
          <w:b/>
          <w:bCs/>
          <w:color w:val="000000"/>
        </w:rPr>
        <w:t>vybraných vplyvov</w:t>
      </w:r>
    </w:p>
    <w:p w:rsidR="00682CC1" w:rsidP="00682CC1">
      <w:pPr>
        <w:bidi w:val="0"/>
        <w:rPr>
          <w:rFonts w:ascii="Times New Roman" w:hAnsi="Times New Roman"/>
          <w:color w:val="000000"/>
        </w:rPr>
      </w:pPr>
    </w:p>
    <w:p w:rsidR="00682CC1" w:rsidP="00682CC1">
      <w:pPr>
        <w:bidi w:val="0"/>
        <w:rPr>
          <w:rFonts w:ascii="Times New Roman" w:hAnsi="Times New Roman"/>
          <w:color w:val="000000"/>
        </w:rPr>
      </w:pPr>
    </w:p>
    <w:p w:rsidR="00682CC1" w:rsidP="00682CC1">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ktorým sa mení a dopĺňa zákon č. 82/2005 Z. z. o nelegálnej práci a nelegálnom zamestnávaní a o zmene a doplnení niektorých zákonov v znení neskorších predpisov a ktorým sa menia a dopĺňajú niektoré zákony </w:t>
      </w:r>
    </w:p>
    <w:p w:rsidR="00682CC1" w:rsidP="00682CC1">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14.2.2011-18.2.2011  </w:t>
      </w:r>
    </w:p>
    <w:p w:rsidR="00682CC1" w:rsidP="00682CC1">
      <w:pPr>
        <w:bidi w:val="0"/>
        <w:jc w:val="both"/>
        <w:rPr>
          <w:rFonts w:ascii="Times New Roman" w:hAnsi="Times New Roman"/>
          <w:b/>
          <w:bCs/>
          <w:color w:val="000000"/>
        </w:rPr>
      </w:pPr>
    </w:p>
    <w:p w:rsidR="00682CC1" w:rsidP="00682CC1">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82CC1" w:rsidP="00223D89">
            <w:pPr>
              <w:bidi w:val="0"/>
              <w:jc w:val="center"/>
              <w:rPr>
                <w:rFonts w:ascii="Times New Roman" w:hAnsi="Times New Roman"/>
                <w:color w:val="000000"/>
              </w:rPr>
            </w:pPr>
          </w:p>
        </w:tc>
      </w:tr>
    </w:tbl>
    <w:p w:rsidR="00682CC1" w:rsidP="00682CC1">
      <w:pPr>
        <w:bidi w:val="0"/>
        <w:rPr>
          <w:rFonts w:ascii="Times New Roman" w:hAnsi="Times New Roman"/>
          <w:color w:val="000000"/>
        </w:rPr>
      </w:pPr>
      <w:r>
        <w:rPr>
          <w:rFonts w:ascii="Times New Roman" w:hAnsi="Times New Roman"/>
          <w:color w:val="000000"/>
        </w:rPr>
        <w:t> </w:t>
      </w:r>
    </w:p>
    <w:p w:rsidR="00682CC1" w:rsidP="00682CC1">
      <w:pPr>
        <w:bidi w:val="0"/>
        <w:jc w:val="both"/>
        <w:rPr>
          <w:rFonts w:ascii="Times New Roman" w:hAnsi="Times New Roman"/>
          <w:b/>
          <w:bCs/>
          <w:color w:val="000000"/>
        </w:rPr>
      </w:pPr>
    </w:p>
    <w:p w:rsidR="00682CC1" w:rsidP="00682CC1">
      <w:pPr>
        <w:bidi w:val="0"/>
        <w:jc w:val="both"/>
        <w:rPr>
          <w:rFonts w:ascii="Times New Roman" w:hAnsi="Times New Roman"/>
          <w:b/>
          <w:bCs/>
          <w:color w:val="000000"/>
        </w:rPr>
      </w:pPr>
      <w:r>
        <w:rPr>
          <w:rFonts w:ascii="Times New Roman" w:hAnsi="Times New Roman"/>
          <w:b/>
          <w:bCs/>
          <w:color w:val="000000"/>
        </w:rPr>
        <w:t>A.3. Poznámky</w:t>
      </w:r>
    </w:p>
    <w:p w:rsidR="00682CC1" w:rsidP="00682CC1">
      <w:pPr>
        <w:bidi w:val="0"/>
        <w:jc w:val="both"/>
        <w:rPr>
          <w:rFonts w:ascii="Times New Roman" w:hAnsi="Times New Roman"/>
          <w:color w:val="000000"/>
        </w:rPr>
      </w:pPr>
      <w:r>
        <w:rPr>
          <w:rFonts w:ascii="Times New Roman" w:hAnsi="Times New Roman"/>
          <w:color w:val="000000"/>
        </w:rPr>
        <w:t>            Na základe vyhodnotenia vplyvov sa celkovo odhaduje prevažujúci pozitívny vplyv na rozpočet verejnej správy.</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Vplyv vyplývajúci z prenosu kompetencií v kontrole nelegálnej práce a nelegálneho zamestnávania z Ústredia práce, sociálnych vecí a rodiny a úradov práce, sociálnych vecí a rodiny na inšpektoráty práce bude zabezpečený v rámci schválených limitov kapitoly MPSVR SR na príslušný rozpočtový rok.</w:t>
      </w:r>
    </w:p>
    <w:p w:rsidR="00682CC1" w:rsidP="00682CC1">
      <w:pPr>
        <w:bidi w:val="0"/>
        <w:spacing w:after="280" w:afterAutospacing="1"/>
        <w:rPr>
          <w:rFonts w:ascii="Times New Roman" w:hAnsi="Times New Roman"/>
          <w:i/>
          <w:iCs/>
          <w:color w:val="000000"/>
        </w:rPr>
      </w:pPr>
      <w:r>
        <w:rPr>
          <w:rFonts w:ascii="Times New Roman" w:hAnsi="Times New Roman"/>
          <w:color w:val="000000"/>
        </w:rPr>
        <w:t> </w:t>
      </w:r>
      <w:r>
        <w:rPr>
          <w:rFonts w:ascii="Times New Roman" w:hAnsi="Times New Roman"/>
          <w:i/>
          <w:iCs/>
          <w:color w:val="000000"/>
        </w:rPr>
        <w:t xml:space="preserve">    </w:t>
      </w:r>
    </w:p>
    <w:p w:rsidR="00682CC1" w:rsidP="00682CC1">
      <w:pPr>
        <w:bidi w:val="0"/>
        <w:jc w:val="both"/>
        <w:rPr>
          <w:rFonts w:ascii="Times New Roman" w:hAnsi="Times New Roman"/>
          <w:b/>
          <w:bCs/>
          <w:color w:val="000000"/>
        </w:rPr>
      </w:pPr>
      <w:r>
        <w:rPr>
          <w:rFonts w:ascii="Times New Roman" w:hAnsi="Times New Roman"/>
          <w:b/>
          <w:bCs/>
          <w:color w:val="000000"/>
        </w:rPr>
        <w:t>A.4. Alternatívne riešenia</w:t>
      </w:r>
    </w:p>
    <w:p w:rsidR="00682CC1" w:rsidP="00682CC1">
      <w:pPr>
        <w:bidi w:val="0"/>
        <w:spacing w:after="280" w:afterAutospacing="1"/>
        <w:rPr>
          <w:rFonts w:ascii="Times New Roman" w:hAnsi="Times New Roman"/>
          <w:b/>
          <w:bCs/>
          <w:color w:val="000000"/>
        </w:rPr>
      </w:pPr>
    </w:p>
    <w:p w:rsidR="00682CC1" w:rsidP="00682CC1">
      <w:pPr>
        <w:bidi w:val="0"/>
        <w:spacing w:after="280" w:afterAutospacing="1"/>
        <w:rPr>
          <w:rFonts w:ascii="Times New Roman" w:hAnsi="Times New Roman"/>
          <w:b/>
          <w:bCs/>
          <w:color w:val="000000"/>
        </w:rPr>
      </w:pPr>
      <w:r>
        <w:rPr>
          <w:rFonts w:ascii="Times New Roman" w:hAnsi="Times New Roman"/>
          <w:b/>
          <w:bCs/>
          <w:color w:val="000000"/>
        </w:rPr>
        <w:t>A.5. Stanovisko gestorov</w:t>
      </w:r>
    </w:p>
    <w:p w:rsidR="00682CC1" w:rsidP="00682CC1">
      <w:pPr>
        <w:bidi w:val="0"/>
        <w:rPr>
          <w:rFonts w:ascii="Times New Roman" w:hAnsi="Times New Roman"/>
          <w:b/>
          <w:bCs/>
          <w:color w:val="000000"/>
        </w:rPr>
      </w:pPr>
      <w:r>
        <w:rPr>
          <w:rFonts w:ascii="Times New Roman" w:hAnsi="Times New Roman"/>
          <w:b/>
          <w:color w:val="000000"/>
        </w:rPr>
        <w:t>Ministerstvo životného prostredia SR:</w:t>
      </w:r>
    </w:p>
    <w:p w:rsidR="00682CC1" w:rsidP="00682CC1">
      <w:pPr>
        <w:bidi w:val="0"/>
        <w:rPr>
          <w:rFonts w:ascii="Times New Roman" w:hAnsi="Times New Roman"/>
          <w:color w:val="000000"/>
        </w:rPr>
      </w:pPr>
      <w:r>
        <w:rPr>
          <w:rFonts w:ascii="Times New Roman" w:hAnsi="Times New Roman"/>
          <w:b/>
          <w:i/>
          <w:color w:val="000000"/>
        </w:rPr>
        <w:t>k časti</w:t>
      </w:r>
      <w:r>
        <w:rPr>
          <w:rFonts w:ascii="Times New Roman" w:hAnsi="Times New Roman"/>
          <w:b/>
          <w:color w:val="000000"/>
        </w:rPr>
        <w:t xml:space="preserve"> </w:t>
      </w:r>
      <w:r>
        <w:rPr>
          <w:rFonts w:ascii="Times New Roman" w:hAnsi="Times New Roman"/>
          <w:b/>
          <w:i/>
          <w:color w:val="000000"/>
        </w:rPr>
        <w:t>Vplyvy na životné prostredie</w:t>
      </w:r>
    </w:p>
    <w:p w:rsidR="00682CC1" w:rsidP="00682CC1">
      <w:pPr>
        <w:bidi w:val="0"/>
        <w:ind w:firstLine="708"/>
        <w:rPr>
          <w:rFonts w:ascii="Times New Roman" w:hAnsi="Times New Roman"/>
          <w:color w:val="000000"/>
        </w:rPr>
      </w:pPr>
      <w:r>
        <w:rPr>
          <w:rFonts w:ascii="Times New Roman" w:hAnsi="Times New Roman"/>
          <w:color w:val="000000"/>
        </w:rPr>
        <w:t>Súhlasí s predloženou doložkou vybraných vplyvov bez pripomienok.</w:t>
      </w:r>
    </w:p>
    <w:p w:rsidR="00682CC1" w:rsidP="00682CC1">
      <w:pPr>
        <w:bidi w:val="0"/>
        <w:rPr>
          <w:rFonts w:ascii="Times New Roman" w:hAnsi="Times New Roman"/>
          <w:color w:val="000000"/>
        </w:rPr>
      </w:pPr>
      <w:r>
        <w:rPr>
          <w:rFonts w:ascii="Arial" w:hAnsi="Arial" w:cs="Arial"/>
          <w:color w:val="000000"/>
          <w:sz w:val="20"/>
        </w:rPr>
        <w:t> </w:t>
      </w:r>
    </w:p>
    <w:p w:rsidR="00682CC1" w:rsidP="00682CC1">
      <w:pPr>
        <w:bidi w:val="0"/>
        <w:rPr>
          <w:rFonts w:ascii="Times New Roman" w:hAnsi="Times New Roman"/>
          <w:color w:val="000000"/>
        </w:rPr>
      </w:pPr>
      <w:r>
        <w:rPr>
          <w:rFonts w:ascii="Times New Roman" w:hAnsi="Times New Roman"/>
          <w:b/>
          <w:color w:val="000000"/>
        </w:rPr>
        <w:t>Ministerstvo hospodárstva SR:</w:t>
      </w:r>
    </w:p>
    <w:p w:rsidR="00682CC1" w:rsidP="00682CC1">
      <w:pPr>
        <w:bidi w:val="0"/>
        <w:jc w:val="both"/>
        <w:rPr>
          <w:rFonts w:ascii="Times New Roman" w:hAnsi="Times New Roman"/>
          <w:color w:val="000000"/>
        </w:rPr>
      </w:pPr>
      <w:r>
        <w:rPr>
          <w:rFonts w:ascii="Times New Roman" w:hAnsi="Times New Roman"/>
          <w:b/>
          <w:i/>
          <w:color w:val="000000"/>
        </w:rPr>
        <w:t>k časti Vplyvy na podnikateľské prostredie</w:t>
      </w:r>
    </w:p>
    <w:p w:rsidR="00682CC1" w:rsidP="00682CC1">
      <w:pPr>
        <w:bidi w:val="0"/>
        <w:jc w:val="both"/>
        <w:rPr>
          <w:rFonts w:ascii="Times New Roman" w:hAnsi="Times New Roman"/>
          <w:color w:val="000000"/>
        </w:rPr>
      </w:pPr>
      <w:r>
        <w:rPr>
          <w:rFonts w:ascii="Times New Roman" w:hAnsi="Times New Roman"/>
          <w:color w:val="000000"/>
        </w:rPr>
        <w:t>Pripomienka k bodu 3.1.:</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Odporúčame doplniť mimo zamestnávateľov – právnických a fyzických osôb aj nepodnikajúce fyzické osoby, ktoré zamestnávajú fyzické osoby výkonom závislej práce podľa § 1 ods. 2 Zákonníka práce. Ide o výkon závislej práce na súkromné účely v prospech nepodnikajúcej fyzickej osoby, (napr. môže dôjsť k zisteniu, že v domácnosti nepodnikajúcej fyzickej osoby sú nelegálne zamestnávaní na výkon domácich prác štátni príslušníci tretích krajín, ktorí nemajú oprávnenie na pobyt v Slovenskej republike).</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xml:space="preserve">: </w:t>
      </w:r>
      <w:smartTag w:uri="urn:schemas-microsoft-com:office:smarttags" w:element="place">
        <w:r>
          <w:rPr>
            <w:rFonts w:ascii="Times New Roman" w:hAnsi="Times New Roman"/>
            <w:color w:val="000000"/>
          </w:rPr>
          <w:t>Po</w:t>
        </w:r>
      </w:smartTag>
      <w:r>
        <w:rPr>
          <w:rFonts w:ascii="Times New Roman" w:hAnsi="Times New Roman"/>
          <w:color w:val="000000"/>
        </w:rPr>
        <w:t xml:space="preserve"> prerokovaní pripomienky MH SR odstúpilo od navrhnutej pripomienky, nakoľko je obsiahnutá v bode 4.1 prílohy č. 13.c Sociálne vplyvy.</w:t>
      </w:r>
    </w:p>
    <w:p w:rsidR="00682CC1" w:rsidP="00682CC1">
      <w:pPr>
        <w:bidi w:val="0"/>
        <w:jc w:val="both"/>
        <w:rPr>
          <w:rFonts w:ascii="Times New Roman" w:hAnsi="Times New Roman"/>
          <w:color w:val="000000"/>
        </w:rPr>
      </w:pPr>
      <w:r>
        <w:rPr>
          <w:rFonts w:ascii="Arial" w:hAnsi="Arial" w:cs="Arial"/>
          <w:color w:val="000000"/>
          <w:sz w:val="20"/>
        </w:rPr>
        <w:t> </w:t>
      </w:r>
    </w:p>
    <w:p w:rsidR="00682CC1" w:rsidP="00682CC1">
      <w:pPr>
        <w:bidi w:val="0"/>
        <w:jc w:val="both"/>
        <w:rPr>
          <w:rFonts w:ascii="Times New Roman" w:hAnsi="Times New Roman"/>
          <w:color w:val="000000"/>
        </w:rPr>
      </w:pPr>
      <w:r>
        <w:rPr>
          <w:rFonts w:ascii="Times New Roman" w:hAnsi="Times New Roman"/>
          <w:color w:val="000000"/>
        </w:rPr>
        <w:t>Pripomienka k bodu 3.2.:</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Odporúčame doplniť náklady zamestnávateľov na doručenie povinných dodatočných platieb. Ide o náklady súvisiace s doručením dlžnej mzdy podľa platných predpisov do krajiny, do ktorej bola nelegálne zamestnaná fyzická osoba administratívne vyhostená.</w:t>
      </w:r>
    </w:p>
    <w:p w:rsidR="00682CC1" w:rsidP="00682CC1">
      <w:pPr>
        <w:bidi w:val="0"/>
        <w:jc w:val="both"/>
        <w:rPr>
          <w:rFonts w:ascii="Times New Roman" w:hAnsi="Times New Roman"/>
          <w:color w:val="000000"/>
        </w:rPr>
      </w:pPr>
      <w:r>
        <w:rPr>
          <w:rFonts w:ascii="Times New Roman" w:hAnsi="Times New Roman"/>
          <w:color w:val="000000"/>
        </w:rPr>
        <w:t xml:space="preserve">Žiadame doplniť náklady v súlade s čl. 8 smernice, podľa ktorého sa ustanoví prechod zodpovednosti zaplatiť pokutu za porušenie zákazu nelegálneho zamestnávania podľa § 2 ods. 5 zákona o nelegálnej práci a nelegálnom zamestnávaní a dodatočné platby na iné zákonom vymedzené osoby, ak povinná právnická osoba alebo fyzická osoba nesplatila ustanovenú pokutu alebo dodatočné platby. </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Akceptované. Doložka vybraných vplyvov bola doplnená v zmysle pripomienky.   </w:t>
      </w:r>
    </w:p>
    <w:p w:rsidR="00682CC1" w:rsidP="00682CC1">
      <w:pPr>
        <w:bidi w:val="0"/>
        <w:jc w:val="both"/>
        <w:rPr>
          <w:rFonts w:ascii="Times New Roman" w:hAnsi="Times New Roman"/>
          <w:color w:val="000000"/>
        </w:rPr>
      </w:pPr>
      <w:r>
        <w:rPr>
          <w:rFonts w:ascii="Times New Roman" w:hAnsi="Times New Roman"/>
          <w:color w:val="000000"/>
        </w:rPr>
        <w:t> </w:t>
      </w:r>
    </w:p>
    <w:p w:rsidR="00682CC1" w:rsidP="00682CC1">
      <w:pPr>
        <w:bidi w:val="0"/>
        <w:jc w:val="both"/>
        <w:rPr>
          <w:rFonts w:ascii="Times New Roman" w:hAnsi="Times New Roman"/>
          <w:color w:val="000000"/>
        </w:rPr>
      </w:pPr>
      <w:r>
        <w:rPr>
          <w:rFonts w:ascii="Times New Roman" w:hAnsi="Times New Roman"/>
          <w:color w:val="000000"/>
        </w:rPr>
        <w:t>Pripomienka k bodu 3.3.:</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 xml:space="preserve">Odporúčame doplniť administratívne náklady zamestnávateľov (účastníkov správneho konania) v prípade uplatnenia odvolania, voči rozhodnutiu správneho orgánu vo veci porušenia zákazu nelegálneho zamestnávania. Ide  o uplatnenie riadneho opravného prostriedku, v záujme ktorého môže zamestnávateľa zastupovať právny zástupca za odplatu. V týchto súvislostiach môže vzniknúť aj nútený výkon rozhodnutia, ktorý má svoje opodstatnenie vtedy, ak účastník konania nesplnil dobrovoľne v určenej lehote povinnosť (sankciu) uloženú v právoplatnom rozhodnutí správneho orgánu. Výkon rozhodnutia ukladajúceho peňažné plnenie  sa uskutočňuje zrážkami zo mzdy, prikázaním pohľadávky alebo predajom hnuteľných vecí alebo nehnuteľností (exekúciou). Uvedené administratívne náklady v prípade uplatnenia riadneho opravného prostriedku nemožno kvantifikovať ako paušálnu náhradu, ich výška závisí od daného prípadu (dĺžky správneho alebo súdneho konania, dokladovaním poľahčujúcich dôkazov účastníka správneho konania) a tým celkových nákladov vo veci správneho alebo súdneho konania. </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Akceptované. Doložka vybraných vplyvov bola doplnená v zmysle pripomienky.</w:t>
      </w:r>
    </w:p>
    <w:p w:rsidR="00682CC1" w:rsidP="00682CC1">
      <w:pPr>
        <w:bidi w:val="0"/>
        <w:jc w:val="both"/>
        <w:rPr>
          <w:rFonts w:ascii="Times New Roman" w:hAnsi="Times New Roman"/>
          <w:color w:val="000000"/>
        </w:rPr>
      </w:pPr>
      <w:r>
        <w:rPr>
          <w:rFonts w:ascii="Arial" w:hAnsi="Arial" w:cs="Arial"/>
          <w:color w:val="000000"/>
          <w:sz w:val="20"/>
        </w:rPr>
        <w:t> </w:t>
      </w:r>
    </w:p>
    <w:p w:rsidR="00682CC1" w:rsidP="00682CC1">
      <w:pPr>
        <w:bidi w:val="0"/>
        <w:jc w:val="both"/>
        <w:rPr>
          <w:rFonts w:ascii="Times New Roman" w:hAnsi="Times New Roman"/>
          <w:color w:val="000000"/>
        </w:rPr>
      </w:pPr>
      <w:r>
        <w:rPr>
          <w:rFonts w:ascii="Times New Roman" w:hAnsi="Times New Roman"/>
          <w:color w:val="000000"/>
        </w:rPr>
        <w:t xml:space="preserve">Pripomienka k bodu 3.4.: </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Odporúčame doplniť ako dôsledky pripravovaného návrhu pre fungovanie podnikateľských subjektov – zabránenie voči nerešpektovaniu a porušovaniu zákazu nelegálneho zamestnávania a to priamo (sankciami) i nepriamo (subjekt, ktorému právo ukladá príslušné právne povinnosti, má dobrovoľne splniť primárnu právnu povinnosť; v prípade jej nesplnenia má dobrovoľne splniť sekundárnu právnu povinnosť; ak nesplní ani túto, nastupuje priame vynútenie (exekúcia), respektíve prechod zodpovednosti znášať príslušné sankcie za porušenie zákazu nelegálneho zamestnávania podľa § 2 ods. 5 zákona o nelegálnej práci a nelegálnom zamestnávaní na iné zákonom vymedzené osoby).</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xml:space="preserve">: Akceptované. Doložka vybraných vplyvov bola doplnená v zmysle pripomienky. </w:t>
      </w:r>
    </w:p>
    <w:p w:rsidR="00682CC1" w:rsidP="00682CC1">
      <w:pPr>
        <w:bidi w:val="0"/>
        <w:jc w:val="both"/>
        <w:rPr>
          <w:rFonts w:ascii="Times New Roman" w:hAnsi="Times New Roman"/>
          <w:color w:val="000000"/>
        </w:rPr>
      </w:pPr>
      <w:r>
        <w:rPr>
          <w:rFonts w:ascii="Times New Roman" w:hAnsi="Times New Roman"/>
          <w:color w:val="000000"/>
        </w:rPr>
        <w:t> </w:t>
      </w:r>
    </w:p>
    <w:p w:rsidR="00682CC1" w:rsidP="00682CC1">
      <w:pPr>
        <w:bidi w:val="0"/>
        <w:rPr>
          <w:rFonts w:ascii="Times New Roman" w:hAnsi="Times New Roman"/>
          <w:color w:val="000000"/>
        </w:rPr>
      </w:pPr>
      <w:r>
        <w:rPr>
          <w:rFonts w:ascii="Times New Roman" w:hAnsi="Times New Roman"/>
          <w:b/>
          <w:color w:val="000000"/>
        </w:rPr>
        <w:t>Ministerstvo financií SR:</w:t>
      </w:r>
    </w:p>
    <w:p w:rsidR="00682CC1" w:rsidP="00682CC1">
      <w:pPr>
        <w:bidi w:val="0"/>
        <w:rPr>
          <w:rFonts w:ascii="Times New Roman" w:hAnsi="Times New Roman"/>
          <w:color w:val="000000"/>
        </w:rPr>
      </w:pPr>
      <w:r>
        <w:rPr>
          <w:rFonts w:ascii="Times New Roman" w:hAnsi="Times New Roman"/>
          <w:b/>
          <w:i/>
          <w:color w:val="000000"/>
        </w:rPr>
        <w:t xml:space="preserve">k časti Vplyvy na rozpočet verejnej správy  </w:t>
      </w:r>
    </w:p>
    <w:p w:rsidR="00682CC1" w:rsidP="00682CC1">
      <w:pPr>
        <w:bidi w:val="0"/>
        <w:spacing w:before="120"/>
        <w:jc w:val="both"/>
        <w:rPr>
          <w:rFonts w:ascii="Times New Roman" w:hAnsi="Times New Roman"/>
          <w:color w:val="000000"/>
        </w:rPr>
      </w:pPr>
      <w:r>
        <w:rPr>
          <w:rFonts w:ascii="Times New Roman" w:hAnsi="Times New Roman"/>
          <w:color w:val="000000"/>
        </w:rPr>
        <w:t xml:space="preserve">Zásadná pripomienka k tabuľke č. 1 </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V  príjmovej časti uviesť príjmy verejnej správy za každý subjekt verejnej správy zvlášť, podľa toho, ktorého subjektu, resp. kapitoly sa daný príjem týka (Sociálna poisťovňa, Všeobecná pokladničná správa, Ministerstvo práce, sociálnych vecí a rodiny SR).</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Akceptované. Doložka vybraných vplyvov bola doplnená v zmysle pripomienky.  </w:t>
      </w:r>
    </w:p>
    <w:p w:rsidR="00682CC1" w:rsidP="00682CC1">
      <w:pPr>
        <w:bidi w:val="0"/>
        <w:spacing w:before="120"/>
        <w:jc w:val="both"/>
        <w:rPr>
          <w:rFonts w:ascii="Times New Roman" w:hAnsi="Times New Roman"/>
          <w:color w:val="000000"/>
        </w:rPr>
      </w:pPr>
      <w:r>
        <w:rPr>
          <w:rFonts w:ascii="Times New Roman" w:hAnsi="Times New Roman"/>
          <w:color w:val="000000"/>
        </w:rPr>
        <w:t xml:space="preserve">Zásadná pripomienka k návrhu zákona </w:t>
      </w:r>
    </w:p>
    <w:p w:rsidR="00682CC1" w:rsidP="00682CC1">
      <w:pPr>
        <w:bidi w:val="0"/>
        <w:spacing w:before="120"/>
        <w:ind w:firstLine="708"/>
        <w:jc w:val="both"/>
        <w:rPr>
          <w:rFonts w:ascii="Times New Roman" w:hAnsi="Times New Roman"/>
          <w:color w:val="000000"/>
        </w:rPr>
      </w:pPr>
      <w:r>
        <w:rPr>
          <w:rFonts w:ascii="Times New Roman" w:hAnsi="Times New Roman"/>
          <w:color w:val="000000"/>
        </w:rPr>
        <w:t>Nakoľko v predloženom návrhu zákona sa rozširujú kompetencie inšpektorátu práce, ústredia práce, sociálnych vecí a rodiny a úradu práce,  sociálnych vecí a rodiny v doložke vplyvov jednoznačne uviesť, že tieto budú zabezpečené v rámci schválených limitov kapitoly Ministerstva práce, sociálnych vecí a rodiny SR na príslušný rozpočtový rok.</w:t>
      </w:r>
    </w:p>
    <w:p w:rsidR="00682CC1" w:rsidP="00682CC1">
      <w:pPr>
        <w:bidi w:val="0"/>
        <w:jc w:val="both"/>
        <w:rPr>
          <w:rFonts w:ascii="Times New Roman" w:hAnsi="Times New Roman"/>
          <w:color w:val="000000"/>
        </w:rPr>
      </w:pPr>
      <w:r>
        <w:rPr>
          <w:rFonts w:ascii="Times New Roman" w:hAnsi="Times New Roman"/>
          <w:b/>
          <w:color w:val="000000"/>
        </w:rPr>
        <w:t>Stanovisko predkladateľa</w:t>
      </w:r>
      <w:r>
        <w:rPr>
          <w:rFonts w:ascii="Times New Roman" w:hAnsi="Times New Roman"/>
          <w:color w:val="000000"/>
        </w:rPr>
        <w:t>: Akceptované. Doložka vybraných vplyvov v časti A.3. bola doplnená v zmysle pripomienky.  </w:t>
      </w:r>
    </w:p>
    <w:p w:rsidR="00682CC1" w:rsidP="00682CC1">
      <w:pPr>
        <w:bidi w:val="0"/>
        <w:jc w:val="both"/>
        <w:rPr>
          <w:rFonts w:ascii="Times New Roman" w:hAnsi="Times New Roman"/>
          <w:color w:val="000000"/>
        </w:rPr>
      </w:pPr>
      <w:r>
        <w:rPr>
          <w:rFonts w:ascii="Times New Roman" w:hAnsi="Times New Roman"/>
          <w:color w:val="000000"/>
        </w:rPr>
        <w:t> </w:t>
      </w:r>
    </w:p>
    <w:p w:rsidR="00682CC1" w:rsidP="00682CC1">
      <w:pPr>
        <w:bidi w:val="0"/>
        <w:jc w:val="both"/>
        <w:rPr>
          <w:rFonts w:ascii="Times New Roman" w:hAnsi="Times New Roman"/>
          <w:color w:val="000000"/>
        </w:rPr>
      </w:pPr>
      <w:r>
        <w:rPr>
          <w:rFonts w:ascii="Times New Roman" w:hAnsi="Times New Roman"/>
          <w:b/>
          <w:i/>
          <w:color w:val="000000"/>
        </w:rPr>
        <w:t>k časti Vplyvy na informatizáciu spoločnosti</w:t>
      </w:r>
    </w:p>
    <w:p w:rsidR="00682CC1" w:rsidP="00682CC1">
      <w:pPr>
        <w:bidi w:val="0"/>
        <w:ind w:firstLine="708"/>
        <w:jc w:val="both"/>
        <w:rPr>
          <w:rFonts w:ascii="Times New Roman" w:hAnsi="Times New Roman"/>
          <w:color w:val="000000"/>
        </w:rPr>
      </w:pPr>
      <w:r>
        <w:rPr>
          <w:rFonts w:ascii="Times New Roman" w:hAnsi="Times New Roman"/>
          <w:color w:val="000000"/>
        </w:rPr>
        <w:t>Súhlasí s predkladateľom, že predmetný materiál nemá vplyv na informatizáciu spoločnosti.</w:t>
      </w:r>
    </w:p>
    <w:p w:rsidR="00682CC1" w:rsidP="00682CC1">
      <w:pPr>
        <w:bidi w:val="0"/>
        <w:spacing w:after="280" w:afterAutospacing="1"/>
        <w:rPr>
          <w:rFonts w:ascii="Times New Roman" w:hAnsi="Times New Roman"/>
          <w:color w:val="000000"/>
        </w:rPr>
      </w:pPr>
      <w:r>
        <w:rPr>
          <w:rFonts w:ascii="Times New Roman" w:hAnsi="Times New Roman"/>
          <w:color w:val="000000"/>
        </w:rPr>
        <w:t> </w:t>
      </w:r>
    </w:p>
    <w:p w:rsidR="00682CC1" w:rsidP="00682CC1">
      <w:pPr>
        <w:bidi w:val="0"/>
        <w:spacing w:after="280" w:afterAutospacing="1"/>
        <w:rPr>
          <w:rFonts w:ascii="Times New Roman" w:hAnsi="Times New Roman"/>
          <w:color w:val="000000"/>
        </w:rPr>
      </w:pPr>
      <w:r>
        <w:rPr>
          <w:rFonts w:ascii="Times New Roman" w:hAnsi="Times New Roman"/>
          <w:color w:val="000000"/>
        </w:rPr>
        <w:t> </w:t>
      </w:r>
    </w:p>
    <w:p w:rsidR="00682CC1" w:rsidP="00682CC1">
      <w:pPr>
        <w:pStyle w:val="NormalWeb"/>
        <w:bidi w:val="0"/>
        <w:spacing w:before="0" w:beforeAutospacing="0" w:after="0" w:afterAutospacing="0"/>
        <w:jc w:val="right"/>
        <w:rPr>
          <w:rFonts w:ascii="Times New Roman" w:hAnsi="Times New Roman"/>
        </w:rPr>
      </w:pPr>
    </w:p>
    <w:p w:rsidR="00682CC1" w:rsidRPr="00A90DE8" w:rsidP="00682CC1">
      <w:pPr>
        <w:bidi w:val="0"/>
        <w:jc w:val="center"/>
        <w:rPr>
          <w:rFonts w:ascii="Times New Roman" w:hAnsi="Times New Roman"/>
        </w:rPr>
      </w:pPr>
      <w:r>
        <w:rPr>
          <w:rFonts w:ascii="Times New Roman" w:hAnsi="Times New Roman"/>
          <w:b/>
          <w:bCs/>
          <w:sz w:val="28"/>
          <w:szCs w:val="28"/>
        </w:rPr>
        <w:br w:type="page"/>
      </w:r>
      <w:r w:rsidRPr="00A90DE8">
        <w:rPr>
          <w:rFonts w:ascii="Times New Roman" w:hAnsi="Times New Roman"/>
          <w:b/>
          <w:bCs/>
        </w:rPr>
        <w:t>Vplyvy na rozpočet verejnej správy,</w:t>
      </w:r>
    </w:p>
    <w:p w:rsidR="00682CC1" w:rsidRPr="00A90DE8" w:rsidP="00682CC1">
      <w:pPr>
        <w:bidi w:val="0"/>
        <w:jc w:val="center"/>
        <w:rPr>
          <w:rFonts w:ascii="Times New Roman" w:hAnsi="Times New Roman"/>
        </w:rPr>
      </w:pPr>
      <w:r w:rsidRPr="00A90DE8">
        <w:rPr>
          <w:rFonts w:ascii="Times New Roman" w:hAnsi="Times New Roman"/>
          <w:b/>
          <w:bCs/>
        </w:rPr>
        <w:t>na zamestnanosť vo verejnej správe a financovanie návrhu</w:t>
      </w:r>
    </w:p>
    <w:p w:rsidR="00682CC1" w:rsidP="00682CC1">
      <w:pPr>
        <w:bidi w:val="0"/>
        <w:rPr>
          <w:rFonts w:ascii="Times New Roman" w:hAnsi="Times New Roman"/>
        </w:rPr>
      </w:pPr>
      <w:r>
        <w:rPr>
          <w:rFonts w:ascii="Times New Roman" w:hAnsi="Times New Roman"/>
        </w:rPr>
        <w:t> </w:t>
      </w:r>
    </w:p>
    <w:p w:rsidR="00682CC1" w:rsidP="00682CC1">
      <w:pPr>
        <w:bidi w:val="0"/>
        <w:rPr>
          <w:rFonts w:ascii="Times New Roman" w:hAnsi="Times New Roman"/>
        </w:rPr>
      </w:pPr>
      <w:r w:rsidRPr="004161A1">
        <w:rPr>
          <w:rFonts w:ascii="Times New Roman" w:hAnsi="Times New Roman"/>
          <w:b/>
          <w:bCs/>
        </w:rPr>
        <w:t>2.1. Zhrnutie vplyvov na rozpočet verejnej správy v návrhu</w:t>
      </w:r>
    </w:p>
    <w:p w:rsidR="00682CC1" w:rsidP="00682CC1">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9729" w:type="dxa"/>
        <w:tblCellMar>
          <w:left w:w="0" w:type="dxa"/>
          <w:right w:w="0" w:type="dxa"/>
        </w:tblCellMar>
      </w:tblPr>
      <w:tblGrid>
        <w:gridCol w:w="2914"/>
        <w:gridCol w:w="1477"/>
        <w:gridCol w:w="1477"/>
        <w:gridCol w:w="1924"/>
        <w:gridCol w:w="1937"/>
      </w:tblGrid>
      <w:tr>
        <w:tblPrEx>
          <w:tblW w:w="9729" w:type="dxa"/>
          <w:tblCellMar>
            <w:left w:w="0" w:type="dxa"/>
            <w:right w:w="0" w:type="dxa"/>
          </w:tblCellMar>
        </w:tblPrEx>
        <w:trPr>
          <w:trHeight w:val="194"/>
        </w:trPr>
        <w:tc>
          <w:tcPr>
            <w:tcW w:w="291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82CC1" w:rsidRPr="004161A1" w:rsidP="00223D89">
            <w:pPr>
              <w:bidi w:val="0"/>
              <w:rPr>
                <w:rFonts w:ascii="Times New Roman" w:hAnsi="Times New Roman"/>
              </w:rPr>
            </w:pPr>
          </w:p>
        </w:tc>
        <w:tc>
          <w:tcPr>
            <w:tcW w:w="147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2011</w:t>
            </w:r>
          </w:p>
        </w:tc>
        <w:tc>
          <w:tcPr>
            <w:tcW w:w="147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2012</w:t>
            </w:r>
          </w:p>
        </w:tc>
        <w:tc>
          <w:tcPr>
            <w:tcW w:w="192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2013</w:t>
            </w:r>
          </w:p>
        </w:tc>
        <w:tc>
          <w:tcPr>
            <w:tcW w:w="193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2014</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rPr>
              <w:t>Príjmy verejnej správy celkom</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Pr>
                <w:rFonts w:ascii="Times New Roman" w:hAnsi="Times New Roman"/>
                <w:b/>
              </w:rPr>
              <w:t>+ 12 406</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sidRPr="005339E8">
              <w:rPr>
                <w:rFonts w:ascii="Times New Roman" w:hAnsi="Times New Roman"/>
                <w:b/>
              </w:rPr>
              <w:t xml:space="preserve">+ </w:t>
            </w:r>
            <w:r>
              <w:rPr>
                <w:rFonts w:ascii="Times New Roman" w:hAnsi="Times New Roman"/>
                <w:b/>
              </w:rPr>
              <w:t>12 292</w:t>
            </w:r>
          </w:p>
        </w:tc>
        <w:tc>
          <w:tcPr>
            <w:tcW w:w="19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sidRPr="005339E8">
              <w:rPr>
                <w:rFonts w:ascii="Times New Roman" w:hAnsi="Times New Roman"/>
                <w:b/>
              </w:rPr>
              <w:t xml:space="preserve">+ </w:t>
            </w:r>
            <w:r>
              <w:rPr>
                <w:rFonts w:ascii="Times New Roman" w:hAnsi="Times New Roman"/>
                <w:b/>
              </w:rPr>
              <w:t>27 659</w:t>
            </w:r>
          </w:p>
        </w:tc>
        <w:tc>
          <w:tcPr>
            <w:tcW w:w="193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sidRPr="005339E8">
              <w:rPr>
                <w:rFonts w:ascii="Times New Roman" w:hAnsi="Times New Roman"/>
                <w:b/>
              </w:rPr>
              <w:t xml:space="preserve">+ </w:t>
            </w:r>
            <w:r>
              <w:rPr>
                <w:rFonts w:ascii="Times New Roman" w:hAnsi="Times New Roman"/>
                <w:b/>
              </w:rPr>
              <w:t>11 665</w:t>
            </w:r>
          </w:p>
        </w:tc>
      </w:tr>
      <w:tr>
        <w:tblPrEx>
          <w:tblW w:w="9729" w:type="dxa"/>
          <w:tblCellMar>
            <w:left w:w="0" w:type="dxa"/>
            <w:right w:w="0" w:type="dxa"/>
          </w:tblCellMar>
        </w:tblPrEx>
        <w:trPr>
          <w:trHeight w:val="132"/>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bidi w:val="0"/>
              <w:spacing w:line="132" w:lineRule="atLeast"/>
              <w:rPr>
                <w:rFonts w:ascii="Times New Roman" w:hAnsi="Times New Roman"/>
              </w:rPr>
            </w:pPr>
            <w:r>
              <w:rPr>
                <w:rFonts w:ascii="Times New Roman" w:hAnsi="Times New Roman"/>
              </w:rPr>
              <w:t>v tom: za každý subjekt verejnej správy zvlášť</w:t>
            </w:r>
          </w:p>
          <w:p w:rsidR="00682CC1" w:rsidP="00223D89">
            <w:pPr>
              <w:numPr>
                <w:numId w:val="31"/>
              </w:numPr>
              <w:bidi w:val="0"/>
              <w:spacing w:line="132" w:lineRule="atLeast"/>
              <w:rPr>
                <w:rFonts w:ascii="Times New Roman" w:hAnsi="Times New Roman"/>
              </w:rPr>
            </w:pPr>
            <w:r>
              <w:rPr>
                <w:rFonts w:ascii="Times New Roman" w:hAnsi="Times New Roman"/>
              </w:rPr>
              <w:t>Všeobecná pokladničná správa</w:t>
            </w:r>
          </w:p>
          <w:p w:rsidR="00682CC1" w:rsidP="00223D89">
            <w:pPr>
              <w:numPr>
                <w:numId w:val="31"/>
              </w:numPr>
              <w:bidi w:val="0"/>
              <w:spacing w:line="132" w:lineRule="atLeast"/>
              <w:rPr>
                <w:rFonts w:ascii="Times New Roman" w:hAnsi="Times New Roman"/>
              </w:rPr>
            </w:pPr>
            <w:r>
              <w:rPr>
                <w:rFonts w:ascii="Times New Roman" w:hAnsi="Times New Roman"/>
              </w:rPr>
              <w:t>MPSVR SR</w:t>
            </w:r>
          </w:p>
          <w:p w:rsidR="00682CC1" w:rsidRPr="004161A1" w:rsidP="00223D89">
            <w:pPr>
              <w:numPr>
                <w:numId w:val="31"/>
              </w:numPr>
              <w:bidi w:val="0"/>
              <w:spacing w:line="132" w:lineRule="atLeast"/>
              <w:rPr>
                <w:rFonts w:ascii="Times New Roman" w:hAnsi="Times New Roman"/>
              </w:rPr>
            </w:pP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bidi w:val="0"/>
              <w:spacing w:line="132" w:lineRule="atLeas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r>
              <w:rPr>
                <w:rFonts w:ascii="Times New Roman" w:hAnsi="Times New Roman"/>
                <w:b/>
                <w:bCs/>
              </w:rPr>
              <w:t>+</w:t>
            </w:r>
            <w:r>
              <w:rPr>
                <w:rFonts w:ascii="Times New Roman" w:hAnsi="Times New Roman"/>
              </w:rPr>
              <w:t xml:space="preserve">  12 406</w:t>
            </w:r>
          </w:p>
          <w:p w:rsidR="00682CC1" w:rsidRPr="004161A1" w:rsidP="00223D89">
            <w:pPr>
              <w:bidi w:val="0"/>
              <w:spacing w:line="132" w:lineRule="atLeast"/>
              <w:jc w:val="right"/>
              <w:rPr>
                <w:rFonts w:ascii="Times New Roman" w:hAnsi="Times New Roman"/>
              </w:rPr>
            </w:pP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ind w:left="360"/>
              <w:jc w:val="right"/>
              <w:rPr>
                <w:rFonts w:ascii="Times New Roman" w:hAnsi="Times New Roman"/>
              </w:rPr>
            </w:pPr>
            <w:r w:rsidRPr="000A4D1F">
              <w:rPr>
                <w:rFonts w:ascii="Times New Roman" w:hAnsi="Times New Roman"/>
                <w:bCs/>
              </w:rPr>
              <w:t>+ 12 292</w:t>
            </w:r>
          </w:p>
          <w:p w:rsidR="00682CC1" w:rsidRPr="004161A1" w:rsidP="00223D89">
            <w:pPr>
              <w:bidi w:val="0"/>
              <w:spacing w:line="132" w:lineRule="atLeast"/>
              <w:ind w:left="360"/>
              <w:jc w:val="right"/>
              <w:rPr>
                <w:rFonts w:ascii="Times New Roman" w:hAnsi="Times New Roman"/>
              </w:rPr>
            </w:pP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r>
              <w:rPr>
                <w:rFonts w:ascii="Times New Roman" w:hAnsi="Times New Roman"/>
                <w:bCs/>
              </w:rPr>
              <w:t>+ 27 659</w:t>
            </w:r>
          </w:p>
          <w:p w:rsidR="00682CC1" w:rsidRPr="004161A1" w:rsidP="00223D89">
            <w:pPr>
              <w:bidi w:val="0"/>
              <w:spacing w:line="132" w:lineRule="atLeast"/>
              <w:jc w:val="right"/>
              <w:rPr>
                <w:rFonts w:ascii="Times New Roman" w:hAnsi="Times New Roman"/>
              </w:rPr>
            </w:pP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bidi w:val="0"/>
              <w:spacing w:line="132" w:lineRule="atLeas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jc w:val="right"/>
              <w:rPr>
                <w:rFonts w:ascii="Times New Roman" w:hAnsi="Times New Roman"/>
              </w:rPr>
            </w:pPr>
          </w:p>
          <w:p w:rsidR="00682CC1" w:rsidP="00223D89">
            <w:pPr>
              <w:bidi w:val="0"/>
              <w:spacing w:line="132" w:lineRule="atLeast"/>
              <w:ind w:left="360"/>
              <w:jc w:val="right"/>
              <w:rPr>
                <w:rFonts w:ascii="Times New Roman" w:hAnsi="Times New Roman"/>
              </w:rPr>
            </w:pPr>
            <w:r>
              <w:rPr>
                <w:rFonts w:ascii="Times New Roman" w:hAnsi="Times New Roman"/>
                <w:bCs/>
              </w:rPr>
              <w:t>+ 11 665</w:t>
            </w:r>
          </w:p>
          <w:p w:rsidR="00682CC1" w:rsidRPr="004161A1" w:rsidP="00223D89">
            <w:pPr>
              <w:bidi w:val="0"/>
              <w:spacing w:line="132" w:lineRule="atLeast"/>
              <w:ind w:left="360"/>
              <w:jc w:val="right"/>
              <w:rPr>
                <w:rFonts w:ascii="Times New Roman" w:hAnsi="Times New Roman"/>
              </w:rPr>
            </w:pP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i/>
                <w:iCs/>
              </w:rPr>
              <w:t xml:space="preserve">z toho: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Pr>
                <w:rFonts w:ascii="Times New Roman" w:hAnsi="Times New Roman"/>
                <w:b/>
                <w:bCs/>
                <w:i/>
                <w:iCs/>
              </w:rPr>
              <w:t xml:space="preserve"> </w:t>
            </w:r>
            <w:r w:rsidRPr="004161A1">
              <w:rPr>
                <w:rFonts w:ascii="Times New Roman" w:hAnsi="Times New Roman"/>
                <w:b/>
                <w:bCs/>
                <w:i/>
                <w:iCs/>
              </w:rPr>
              <w:t>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125"/>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rPr>
                <w:rFonts w:ascii="Times New Roman" w:hAnsi="Times New Roman"/>
              </w:rPr>
            </w:pPr>
            <w:r w:rsidRPr="004161A1">
              <w:rPr>
                <w:rFonts w:ascii="Times New Roman" w:hAnsi="Times New Roman"/>
                <w:b/>
                <w:bCs/>
                <w:i/>
                <w:iCs/>
              </w:rPr>
              <w:t>- vplyv na ŠR</w:t>
            </w:r>
            <w:r>
              <w:rPr>
                <w:rFonts w:ascii="Times New Roman" w:hAnsi="Times New Roman"/>
                <w:b/>
                <w:bCs/>
                <w:i/>
                <w:iCs/>
              </w:rPr>
              <w:t xml:space="preserve">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right"/>
              <w:rPr>
                <w:rFonts w:ascii="Times New Roman" w:hAnsi="Times New Roman"/>
                <w:b/>
                <w:bCs/>
              </w:rPr>
            </w:pPr>
            <w:r>
              <w:rPr>
                <w:rFonts w:ascii="Times New Roman" w:hAnsi="Times New Roman"/>
                <w:b/>
                <w:bCs/>
              </w:rPr>
              <w:t>+12 406</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right"/>
              <w:rPr>
                <w:rFonts w:ascii="Times New Roman" w:hAnsi="Times New Roman"/>
                <w:b/>
                <w:bCs/>
              </w:rPr>
            </w:pPr>
            <w:r>
              <w:rPr>
                <w:rFonts w:ascii="Times New Roman" w:hAnsi="Times New Roman"/>
                <w:b/>
                <w:bCs/>
              </w:rPr>
              <w:t>+ 12 292</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right"/>
              <w:rPr>
                <w:rFonts w:ascii="Times New Roman" w:hAnsi="Times New Roman"/>
                <w:b/>
                <w:bCs/>
              </w:rPr>
            </w:pPr>
            <w:r>
              <w:rPr>
                <w:rFonts w:ascii="Times New Roman" w:hAnsi="Times New Roman"/>
                <w:b/>
                <w:bCs/>
              </w:rPr>
              <w:t>+ 27 659</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100AA6" w:rsidP="00223D89">
            <w:pPr>
              <w:bidi w:val="0"/>
              <w:spacing w:before="120"/>
              <w:ind w:left="360"/>
              <w:jc w:val="right"/>
              <w:rPr>
                <w:rFonts w:ascii="Times New Roman" w:hAnsi="Times New Roman"/>
                <w:b/>
                <w:bCs/>
              </w:rPr>
            </w:pPr>
            <w:r>
              <w:rPr>
                <w:rFonts w:ascii="Times New Roman" w:hAnsi="Times New Roman"/>
                <w:b/>
                <w:bCs/>
              </w:rPr>
              <w:t> + 11 665</w:t>
            </w:r>
          </w:p>
        </w:tc>
      </w:tr>
      <w:tr>
        <w:tblPrEx>
          <w:tblW w:w="9729" w:type="dxa"/>
          <w:tblCellMar>
            <w:left w:w="0" w:type="dxa"/>
            <w:right w:w="0" w:type="dxa"/>
          </w:tblCellMar>
        </w:tblPrEx>
        <w:trPr>
          <w:trHeight w:val="125"/>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125"/>
        </w:trPr>
        <w:tc>
          <w:tcPr>
            <w:tcW w:w="29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4161A1" w:rsidP="00223D89">
            <w:pPr>
              <w:bidi w:val="0"/>
              <w:spacing w:line="125" w:lineRule="atLeast"/>
              <w:rPr>
                <w:rFonts w:ascii="Times New Roman" w:hAnsi="Times New Roman"/>
              </w:rPr>
            </w:pPr>
            <w:r w:rsidRPr="004161A1">
              <w:rPr>
                <w:rFonts w:ascii="Times New Roman" w:hAnsi="Times New Roman"/>
                <w:b/>
                <w:bCs/>
              </w:rPr>
              <w:t>Výdavky verejnej správy celkom</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CF425A" w:rsidP="00223D89">
            <w:pPr>
              <w:bidi w:val="0"/>
              <w:spacing w:line="125" w:lineRule="atLeast"/>
              <w:jc w:val="right"/>
              <w:rPr>
                <w:rFonts w:ascii="Times New Roman" w:hAnsi="Times New Roman"/>
              </w:rPr>
            </w:pPr>
            <w:r>
              <w:rPr>
                <w:rFonts w:ascii="Times New Roman" w:hAnsi="Times New Roman"/>
                <w:bCs/>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CF425A" w:rsidP="00223D89">
            <w:pPr>
              <w:bidi w:val="0"/>
              <w:spacing w:line="125" w:lineRule="atLeast"/>
              <w:jc w:val="right"/>
              <w:rPr>
                <w:rFonts w:ascii="Times New Roman" w:hAnsi="Times New Roman"/>
              </w:rPr>
            </w:pPr>
            <w:r>
              <w:rPr>
                <w:rFonts w:ascii="Times New Roman" w:hAnsi="Times New Roman"/>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CF425A" w:rsidP="00223D89">
            <w:pPr>
              <w:bidi w:val="0"/>
              <w:spacing w:line="125" w:lineRule="atLeast"/>
              <w:jc w:val="right"/>
              <w:rPr>
                <w:rFonts w:ascii="Times New Roman" w:hAnsi="Times New Roman"/>
              </w:rPr>
            </w:pPr>
            <w:r>
              <w:rPr>
                <w:rFonts w:ascii="Times New Roman" w:hAnsi="Times New Roman"/>
              </w:rPr>
              <w:t>0</w:t>
            </w:r>
          </w:p>
        </w:tc>
        <w:tc>
          <w:tcPr>
            <w:tcW w:w="193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CF425A" w:rsidP="00223D89">
            <w:pPr>
              <w:bidi w:val="0"/>
              <w:spacing w:line="125" w:lineRule="atLeast"/>
              <w:jc w:val="right"/>
              <w:rPr>
                <w:rFonts w:ascii="Times New Roman" w:hAnsi="Times New Roman"/>
              </w:rPr>
            </w:pPr>
            <w:r w:rsidRPr="00CF425A">
              <w:rPr>
                <w:rFonts w:ascii="Times New Roman" w:hAnsi="Times New Roman"/>
                <w:bCs/>
              </w:rPr>
              <w:t xml:space="preserve">  </w:t>
            </w:r>
            <w:r>
              <w:rPr>
                <w:rFonts w:ascii="Times New Roman" w:hAnsi="Times New Roman"/>
                <w:bCs/>
              </w:rPr>
              <w:t>0</w:t>
            </w:r>
            <w:r w:rsidRPr="00CF425A">
              <w:rPr>
                <w:rFonts w:ascii="Times New Roman" w:hAnsi="Times New Roman"/>
                <w:bCs/>
              </w:rPr>
              <w:t xml:space="preserve"> </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Pr>
                <w:rFonts w:ascii="Times New Roman" w:hAnsi="Times New Roman"/>
              </w:rPr>
              <w:t>v tom: za každý subjekt verejnej správy / program zvlášť</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Pr>
                <w:rFonts w:ascii="Times New Roman" w:hAnsi="Times New Roman"/>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Pr>
                <w:rFonts w:ascii="Times New Roman" w:hAnsi="Times New Roman"/>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Pr>
                <w:rFonts w:ascii="Times New Roman" w:hAnsi="Times New Roman"/>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i/>
                <w:iCs/>
              </w:rPr>
              <w:t xml:space="preserve">z toho: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i/>
                <w:iCs/>
              </w:rPr>
              <w:t>- vplyv na ŠR</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Pr>
                <w:rFonts w:ascii="Times New Roman" w:hAnsi="Times New Roman"/>
                <w:bCs/>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Pr>
                <w:rFonts w:ascii="Times New Roman" w:hAnsi="Times New Roman"/>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Pr>
                <w:rFonts w:ascii="Times New Roman" w:hAnsi="Times New Roman"/>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125"/>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125"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rPr>
              <w:t xml:space="preserve">Celková zamestnanosť </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93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rPr>
              <w:t>Financovanie zabezpečené v rozpočte</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92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c>
          <w:tcPr>
            <w:tcW w:w="193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29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Pr>
                <w:rFonts w:ascii="Times New Roman" w:hAnsi="Times New Roman"/>
              </w:rPr>
              <w:t>v tom: za každý subjekt verejnej správy / program zvlášť</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92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c>
          <w:tcPr>
            <w:tcW w:w="19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6C121A" w:rsidP="00223D89">
            <w:pPr>
              <w:bidi w:val="0"/>
              <w:spacing w:line="70" w:lineRule="atLeast"/>
              <w:jc w:val="right"/>
              <w:rPr>
                <w:rFonts w:ascii="Times New Roman" w:hAnsi="Times New Roman"/>
              </w:rPr>
            </w:pPr>
            <w:r w:rsidRPr="006C121A">
              <w:rPr>
                <w:rFonts w:ascii="Times New Roman" w:hAnsi="Times New Roman"/>
              </w:rPr>
              <w:t>0</w:t>
            </w:r>
          </w:p>
        </w:tc>
      </w:tr>
      <w:tr>
        <w:tblPrEx>
          <w:tblW w:w="9729" w:type="dxa"/>
          <w:tblCellMar>
            <w:left w:w="0" w:type="dxa"/>
            <w:right w:w="0" w:type="dxa"/>
          </w:tblCellMar>
        </w:tblPrEx>
        <w:tc>
          <w:tcPr>
            <w:tcW w:w="2914"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1477"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1477"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1924"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1937"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r>
    </w:tbl>
    <w:p w:rsidR="00682CC1" w:rsidP="00682CC1">
      <w:pPr>
        <w:bidi w:val="0"/>
        <w:rPr>
          <w:rFonts w:ascii="Times New Roman" w:hAnsi="Times New Roman"/>
        </w:rPr>
      </w:pPr>
      <w:r>
        <w:rPr>
          <w:rFonts w:ascii="Times New Roman" w:hAnsi="Times New Roman"/>
        </w:rPr>
        <w:t> </w:t>
      </w:r>
    </w:p>
    <w:p w:rsidR="00682CC1" w:rsidP="00682CC1">
      <w:pPr>
        <w:bidi w:val="0"/>
        <w:rPr>
          <w:rFonts w:ascii="Times New Roman" w:hAnsi="Times New Roman"/>
        </w:rPr>
      </w:pPr>
      <w:r w:rsidRPr="004161A1">
        <w:rPr>
          <w:rFonts w:ascii="Times New Roman" w:hAnsi="Times New Roman"/>
          <w:b/>
          <w:bCs/>
        </w:rPr>
        <w:t>2.2. Financovanie návrhu</w:t>
      </w:r>
    </w:p>
    <w:p w:rsidR="00682CC1" w:rsidP="00682CC1">
      <w:pPr>
        <w:bidi w:val="0"/>
        <w:jc w:val="right"/>
        <w:rPr>
          <w:rFonts w:ascii="Times New Roman" w:hAnsi="Times New Roman"/>
        </w:rPr>
      </w:pPr>
      <w:r w:rsidRPr="004161A1">
        <w:rPr>
          <w:rFonts w:ascii="Times New Roman" w:hAnsi="Times New Roman"/>
          <w:sz w:val="20"/>
          <w:szCs w:val="20"/>
        </w:rPr>
        <w:t>Tabuľka č. 2</w:t>
      </w:r>
    </w:p>
    <w:tbl>
      <w:tblPr>
        <w:tblStyle w:val="TableNormal"/>
        <w:tblW w:w="9709" w:type="dxa"/>
        <w:tblLayout w:type="fixed"/>
        <w:tblCellMar>
          <w:left w:w="0" w:type="dxa"/>
          <w:right w:w="0" w:type="dxa"/>
        </w:tblCellMar>
      </w:tblPr>
      <w:tblGrid>
        <w:gridCol w:w="2764"/>
        <w:gridCol w:w="738"/>
        <w:gridCol w:w="998"/>
        <w:gridCol w:w="1050"/>
        <w:gridCol w:w="686"/>
        <w:gridCol w:w="1302"/>
        <w:gridCol w:w="434"/>
        <w:gridCol w:w="1737"/>
      </w:tblGrid>
      <w:tr>
        <w:tblPrEx>
          <w:tblW w:w="9709" w:type="dxa"/>
          <w:tblLayout w:type="fixed"/>
          <w:tblCellMar>
            <w:left w:w="0" w:type="dxa"/>
            <w:right w:w="0" w:type="dxa"/>
          </w:tblCellMar>
        </w:tblPrEx>
        <w:trPr>
          <w:trHeight w:val="70"/>
        </w:trPr>
        <w:tc>
          <w:tcPr>
            <w:tcW w:w="276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sidRPr="004161A1">
              <w:rPr>
                <w:rFonts w:ascii="Times New Roman" w:hAnsi="Times New Roman"/>
                <w:b/>
                <w:bCs/>
                <w:color w:val="FFFFFF"/>
              </w:rPr>
              <w:t>Financovanie</w:t>
            </w:r>
          </w:p>
        </w:tc>
        <w:tc>
          <w:tcPr>
            <w:tcW w:w="6945" w:type="dxa"/>
            <w:gridSpan w:val="7"/>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09" w:type="dxa"/>
          <w:tblLayout w:type="fixed"/>
          <w:tblCellMar>
            <w:left w:w="0" w:type="dxa"/>
            <w:right w:w="0" w:type="dxa"/>
          </w:tblCellMar>
        </w:tblPrEx>
        <w:trPr>
          <w:trHeight w:val="70"/>
        </w:trPr>
        <w:tc>
          <w:tcPr>
            <w:tcW w:w="2764" w:type="dxa"/>
            <w:vMerge/>
            <w:tcBorders>
              <w:top w:val="single" w:sz="4" w:space="0" w:color="000000"/>
              <w:left w:val="single" w:sz="4" w:space="0" w:color="000000"/>
              <w:bottom w:val="single" w:sz="4" w:space="0" w:color="000000"/>
              <w:right w:val="single" w:sz="4" w:space="0" w:color="000000"/>
            </w:tcBorders>
            <w:textDirection w:val="lrTb"/>
            <w:vAlign w:val="center"/>
          </w:tcPr>
          <w:p w:rsidR="00682CC1" w:rsidRPr="004161A1" w:rsidP="00223D89">
            <w:pPr>
              <w:bidi w:val="0"/>
              <w:rPr>
                <w:rFonts w:ascii="Times New Roman" w:hAnsi="Times New Roman"/>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2011</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2012</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2013</w:t>
            </w:r>
          </w:p>
        </w:tc>
        <w:tc>
          <w:tcPr>
            <w:tcW w:w="173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RPr="004161A1" w:rsidP="00223D89">
            <w:pPr>
              <w:bidi w:val="0"/>
              <w:spacing w:line="70" w:lineRule="atLeast"/>
              <w:jc w:val="center"/>
              <w:rPr>
                <w:rFonts w:ascii="Times New Roman" w:hAnsi="Times New Roman"/>
              </w:rPr>
            </w:pPr>
            <w:r>
              <w:rPr>
                <w:rFonts w:ascii="Times New Roman" w:hAnsi="Times New Roman"/>
                <w:b/>
                <w:bCs/>
                <w:color w:val="FFFFFF"/>
              </w:rPr>
              <w:t>2014</w:t>
            </w:r>
          </w:p>
        </w:tc>
      </w:tr>
      <w:tr>
        <w:tblPrEx>
          <w:tblW w:w="9709" w:type="dxa"/>
          <w:tblLayout w:type="fixed"/>
          <w:tblCellMar>
            <w:left w:w="0" w:type="dxa"/>
            <w:right w:w="0" w:type="dxa"/>
          </w:tblCellMar>
        </w:tblPrEx>
        <w:trPr>
          <w:trHeight w:val="70"/>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Pr>
                <w:rFonts w:ascii="Times New Roman" w:hAnsi="Times New Roman"/>
                <w:b/>
              </w:rPr>
              <w:t>- 12 406</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Pr>
                <w:rFonts w:ascii="Times New Roman" w:hAnsi="Times New Roman"/>
                <w:b/>
              </w:rPr>
              <w:t>-</w:t>
            </w:r>
            <w:r w:rsidRPr="005339E8">
              <w:rPr>
                <w:rFonts w:ascii="Times New Roman" w:hAnsi="Times New Roman"/>
                <w:b/>
              </w:rPr>
              <w:t xml:space="preserve"> </w:t>
            </w:r>
            <w:r>
              <w:rPr>
                <w:rFonts w:ascii="Times New Roman" w:hAnsi="Times New Roman"/>
                <w:b/>
              </w:rPr>
              <w:t>12 292</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Pr>
                <w:rFonts w:ascii="Times New Roman" w:hAnsi="Times New Roman"/>
                <w:b/>
              </w:rPr>
              <w:t>-</w:t>
            </w:r>
            <w:r w:rsidRPr="005339E8">
              <w:rPr>
                <w:rFonts w:ascii="Times New Roman" w:hAnsi="Times New Roman"/>
                <w:b/>
              </w:rPr>
              <w:t xml:space="preserve"> </w:t>
            </w:r>
            <w:r>
              <w:rPr>
                <w:rFonts w:ascii="Times New Roman" w:hAnsi="Times New Roman"/>
                <w:b/>
              </w:rPr>
              <w:t>27 659</w:t>
            </w:r>
          </w:p>
        </w:tc>
        <w:tc>
          <w:tcPr>
            <w:tcW w:w="1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jc w:val="right"/>
              <w:rPr>
                <w:rFonts w:ascii="Times New Roman" w:hAnsi="Times New Roman"/>
                <w:b/>
              </w:rPr>
            </w:pPr>
            <w:r>
              <w:rPr>
                <w:rFonts w:ascii="Times New Roman" w:hAnsi="Times New Roman"/>
                <w:b/>
              </w:rPr>
              <w:t>-</w:t>
            </w:r>
            <w:r w:rsidRPr="005339E8">
              <w:rPr>
                <w:rFonts w:ascii="Times New Roman" w:hAnsi="Times New Roman"/>
                <w:b/>
              </w:rPr>
              <w:t xml:space="preserve"> </w:t>
            </w:r>
            <w:r>
              <w:rPr>
                <w:rFonts w:ascii="Times New Roman" w:hAnsi="Times New Roman"/>
                <w:b/>
              </w:rPr>
              <w:t>11 665</w:t>
            </w:r>
          </w:p>
        </w:tc>
      </w:tr>
      <w:tr>
        <w:tblPrEx>
          <w:tblW w:w="9709" w:type="dxa"/>
          <w:tblLayout w:type="fixed"/>
          <w:tblCellMar>
            <w:left w:w="0" w:type="dxa"/>
            <w:right w:w="0" w:type="dxa"/>
          </w:tblCellMar>
        </w:tblPrEx>
        <w:trPr>
          <w:trHeight w:val="70"/>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Pr>
                <w:rFonts w:ascii="Times New Roman" w:hAnsi="Times New Roman"/>
              </w:rPr>
              <w:t>  z toho vplyv na ŠR</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C30F13" w:rsidP="00223D89">
            <w:pPr>
              <w:bidi w:val="0"/>
              <w:spacing w:before="120"/>
              <w:jc w:val="right"/>
              <w:rPr>
                <w:rFonts w:ascii="Times New Roman" w:hAnsi="Times New Roman"/>
                <w:bCs/>
              </w:rPr>
            </w:pPr>
            <w:r>
              <w:rPr>
                <w:rFonts w:ascii="Times New Roman" w:hAnsi="Times New Roman"/>
                <w:bCs/>
              </w:rPr>
              <w:t> - 12 406</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C30F13" w:rsidP="00223D89">
            <w:pPr>
              <w:bidi w:val="0"/>
              <w:spacing w:before="120"/>
              <w:jc w:val="right"/>
              <w:rPr>
                <w:rFonts w:ascii="Times New Roman" w:hAnsi="Times New Roman"/>
                <w:bCs/>
              </w:rPr>
            </w:pPr>
            <w:r>
              <w:rPr>
                <w:rFonts w:ascii="Times New Roman" w:hAnsi="Times New Roman"/>
                <w:bCs/>
              </w:rPr>
              <w:t> - 12 292</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C30F13" w:rsidP="00223D89">
            <w:pPr>
              <w:bidi w:val="0"/>
              <w:spacing w:before="120"/>
              <w:jc w:val="right"/>
              <w:rPr>
                <w:rFonts w:ascii="Times New Roman" w:hAnsi="Times New Roman"/>
                <w:bCs/>
              </w:rPr>
            </w:pPr>
            <w:r>
              <w:rPr>
                <w:rFonts w:ascii="Times New Roman" w:hAnsi="Times New Roman"/>
                <w:b/>
                <w:bCs/>
              </w:rPr>
              <w:t>- 27 659</w:t>
            </w:r>
          </w:p>
        </w:tc>
        <w:tc>
          <w:tcPr>
            <w:tcW w:w="1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C30F13" w:rsidP="00223D89">
            <w:pPr>
              <w:bidi w:val="0"/>
              <w:spacing w:before="120"/>
              <w:jc w:val="right"/>
              <w:rPr>
                <w:rFonts w:ascii="Times New Roman" w:hAnsi="Times New Roman"/>
                <w:bCs/>
              </w:rPr>
            </w:pPr>
            <w:r>
              <w:rPr>
                <w:rFonts w:ascii="Times New Roman" w:hAnsi="Times New Roman"/>
                <w:bCs/>
              </w:rPr>
              <w:t> - 11 665</w:t>
            </w:r>
          </w:p>
        </w:tc>
      </w:tr>
      <w:tr>
        <w:tblPrEx>
          <w:tblW w:w="9709" w:type="dxa"/>
          <w:tblLayout w:type="fixed"/>
          <w:tblCellMar>
            <w:left w:w="0" w:type="dxa"/>
            <w:right w:w="0" w:type="dxa"/>
          </w:tblCellMar>
        </w:tblPrEx>
        <w:trPr>
          <w:trHeight w:val="151"/>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51" w:lineRule="atLeast"/>
              <w:rPr>
                <w:rFonts w:ascii="Times New Roman" w:hAnsi="Times New Roman"/>
              </w:rPr>
            </w:pPr>
            <w:r>
              <w:rPr>
                <w:rFonts w:ascii="Times New Roman" w:hAnsi="Times New Roman"/>
              </w:rPr>
              <w:t>  financovanie zabezpečené v rozpočte</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51" w:lineRule="atLeast"/>
              <w:jc w:val="right"/>
              <w:rPr>
                <w:rFonts w:ascii="Times New Roman" w:hAnsi="Times New Roman"/>
              </w:rPr>
            </w:pPr>
            <w:r>
              <w:rPr>
                <w:rFonts w:ascii="Times New Roman" w:hAnsi="Times New Roman"/>
              </w:rPr>
              <w:t>0</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51" w:lineRule="atLeast"/>
              <w:jc w:val="right"/>
              <w:rPr>
                <w:rFonts w:ascii="Times New Roman" w:hAnsi="Times New Roman"/>
              </w:rPr>
            </w:pPr>
            <w:r>
              <w:rPr>
                <w:rFonts w:ascii="Times New Roman" w:hAnsi="Times New Roman"/>
              </w:rPr>
              <w:t>0</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51" w:lineRule="atLeast"/>
              <w:jc w:val="right"/>
              <w:rPr>
                <w:rFonts w:ascii="Times New Roman" w:hAnsi="Times New Roman"/>
              </w:rPr>
            </w:pPr>
            <w:r>
              <w:rPr>
                <w:rFonts w:ascii="Times New Roman" w:hAnsi="Times New Roman"/>
              </w:rPr>
              <w:t>0</w:t>
            </w:r>
          </w:p>
        </w:tc>
        <w:tc>
          <w:tcPr>
            <w:tcW w:w="1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51" w:lineRule="atLeast"/>
              <w:jc w:val="right"/>
              <w:rPr>
                <w:rFonts w:ascii="Times New Roman" w:hAnsi="Times New Roman"/>
              </w:rPr>
            </w:pPr>
            <w:r>
              <w:rPr>
                <w:rFonts w:ascii="Times New Roman" w:hAnsi="Times New Roman"/>
              </w:rPr>
              <w:t>0</w:t>
            </w:r>
          </w:p>
        </w:tc>
      </w:tr>
      <w:tr>
        <w:tblPrEx>
          <w:tblW w:w="9709" w:type="dxa"/>
          <w:tblLayout w:type="fixed"/>
          <w:tblCellMar>
            <w:left w:w="0" w:type="dxa"/>
            <w:right w:w="0" w:type="dxa"/>
          </w:tblCellMar>
        </w:tblPrEx>
        <w:trPr>
          <w:trHeight w:val="135"/>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35" w:lineRule="atLeast"/>
              <w:rPr>
                <w:rFonts w:ascii="Times New Roman" w:hAnsi="Times New Roman"/>
              </w:rPr>
            </w:pPr>
            <w:r>
              <w:rPr>
                <w:rFonts w:ascii="Times New Roman" w:hAnsi="Times New Roman"/>
              </w:rPr>
              <w:t>  ostatné zdroje financovania</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35" w:lineRule="atLeast"/>
              <w:jc w:val="right"/>
              <w:rPr>
                <w:rFonts w:ascii="Times New Roman" w:hAnsi="Times New Roman"/>
              </w:rPr>
            </w:pPr>
            <w:r>
              <w:rPr>
                <w:rFonts w:ascii="Times New Roman" w:hAnsi="Times New Roman"/>
              </w:rPr>
              <w:t>0</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35" w:lineRule="atLeast"/>
              <w:jc w:val="right"/>
              <w:rPr>
                <w:rFonts w:ascii="Times New Roman" w:hAnsi="Times New Roman"/>
              </w:rPr>
            </w:pPr>
            <w:r>
              <w:rPr>
                <w:rFonts w:ascii="Times New Roman" w:hAnsi="Times New Roman"/>
              </w:rPr>
              <w:t>0</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35" w:lineRule="atLeast"/>
              <w:jc w:val="right"/>
              <w:rPr>
                <w:rFonts w:ascii="Times New Roman" w:hAnsi="Times New Roman"/>
              </w:rPr>
            </w:pPr>
            <w:r>
              <w:rPr>
                <w:rFonts w:ascii="Times New Roman" w:hAnsi="Times New Roman"/>
              </w:rPr>
              <w:t>0</w:t>
            </w:r>
          </w:p>
        </w:tc>
        <w:tc>
          <w:tcPr>
            <w:tcW w:w="1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35" w:lineRule="atLeast"/>
              <w:jc w:val="right"/>
              <w:rPr>
                <w:rFonts w:ascii="Times New Roman" w:hAnsi="Times New Roman"/>
              </w:rPr>
            </w:pPr>
            <w:r>
              <w:rPr>
                <w:rFonts w:ascii="Times New Roman" w:hAnsi="Times New Roman"/>
              </w:rPr>
              <w:t>0</w:t>
            </w:r>
          </w:p>
        </w:tc>
      </w:tr>
      <w:tr>
        <w:tblPrEx>
          <w:tblW w:w="9709" w:type="dxa"/>
          <w:tblLayout w:type="fixed"/>
          <w:tblCellMar>
            <w:left w:w="0" w:type="dxa"/>
            <w:right w:w="0" w:type="dxa"/>
          </w:tblCellMar>
        </w:tblPrEx>
        <w:trPr>
          <w:trHeight w:val="70"/>
        </w:trPr>
        <w:tc>
          <w:tcPr>
            <w:tcW w:w="2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70" w:lineRule="atLeast"/>
              <w:rPr>
                <w:rFonts w:ascii="Times New Roman" w:hAnsi="Times New Roman"/>
              </w:rPr>
            </w:pPr>
            <w:r w:rsidRPr="004161A1">
              <w:rPr>
                <w:rFonts w:ascii="Times New Roman" w:hAnsi="Times New Roman"/>
                <w:b/>
                <w:bCs/>
              </w:rPr>
              <w:t>Rozpočtovo nekrytý vplyv / úspora</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ind w:left="360"/>
              <w:jc w:val="right"/>
              <w:rPr>
                <w:rFonts w:ascii="Times New Roman" w:hAnsi="Times New Roman"/>
              </w:rPr>
            </w:pP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ind w:left="360"/>
              <w:jc w:val="right"/>
              <w:rPr>
                <w:rFonts w:ascii="Times New Roman" w:hAnsi="Times New Roman"/>
              </w:rPr>
            </w:pP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ind w:left="360"/>
              <w:jc w:val="right"/>
              <w:rPr>
                <w:rFonts w:ascii="Times New Roman" w:hAnsi="Times New Roman"/>
              </w:rPr>
            </w:pPr>
          </w:p>
        </w:tc>
        <w:tc>
          <w:tcPr>
            <w:tcW w:w="1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RPr="004161A1" w:rsidP="00223D89">
            <w:pPr>
              <w:bidi w:val="0"/>
              <w:spacing w:line="125" w:lineRule="atLeast"/>
              <w:ind w:left="360"/>
              <w:jc w:val="right"/>
              <w:rPr>
                <w:rFonts w:ascii="Times New Roman" w:hAnsi="Times New Roman"/>
              </w:rPr>
            </w:pPr>
          </w:p>
        </w:tc>
      </w:tr>
      <w:tr>
        <w:tblPrEx>
          <w:tblW w:w="9709" w:type="dxa"/>
          <w:tblLayout w:type="fixed"/>
          <w:tblCellMar>
            <w:left w:w="0" w:type="dxa"/>
            <w:right w:w="0" w:type="dxa"/>
          </w:tblCellMar>
        </w:tblPrEx>
        <w:tc>
          <w:tcPr>
            <w:tcW w:w="2764"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738" w:type="dxa"/>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2048" w:type="dxa"/>
            <w:gridSpan w:val="2"/>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1988" w:type="dxa"/>
            <w:gridSpan w:val="2"/>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c>
          <w:tcPr>
            <w:tcW w:w="2171" w:type="dxa"/>
            <w:gridSpan w:val="2"/>
            <w:tcBorders>
              <w:top w:val="nil"/>
              <w:left w:val="nil"/>
              <w:bottom w:val="nil"/>
              <w:right w:val="nil"/>
            </w:tcBorders>
            <w:textDirection w:val="lrTb"/>
            <w:vAlign w:val="center"/>
          </w:tcPr>
          <w:p w:rsidR="00682CC1" w:rsidRPr="004161A1" w:rsidP="00223D89">
            <w:pPr>
              <w:bidi w:val="0"/>
              <w:rPr>
                <w:rFonts w:ascii="Times New Roman" w:hAnsi="Times New Roman"/>
                <w:sz w:val="2"/>
                <w:szCs w:val="2"/>
              </w:rPr>
            </w:pPr>
          </w:p>
        </w:tc>
      </w:tr>
    </w:tbl>
    <w:p w:rsidR="00682CC1" w:rsidP="00682CC1">
      <w:pPr>
        <w:bidi w:val="0"/>
        <w:rPr>
          <w:rFonts w:ascii="Times New Roman" w:hAnsi="Times New Roman"/>
        </w:rPr>
      </w:pPr>
      <w:r>
        <w:rPr>
          <w:rFonts w:ascii="Times New Roman" w:hAnsi="Times New Roman"/>
        </w:rPr>
        <w:t> </w:t>
      </w:r>
    </w:p>
    <w:p w:rsidR="00682CC1" w:rsidP="00682CC1">
      <w:pPr>
        <w:bidi w:val="0"/>
        <w:rPr>
          <w:rFonts w:ascii="Times New Roman" w:hAnsi="Times New Roman"/>
        </w:rPr>
      </w:pPr>
      <w:r w:rsidRPr="004161A1">
        <w:rPr>
          <w:rFonts w:ascii="Times New Roman" w:hAnsi="Times New Roman"/>
          <w:b/>
          <w:bCs/>
        </w:rPr>
        <w:t> </w:t>
      </w:r>
    </w:p>
    <w:p w:rsidR="00682CC1" w:rsidP="00682CC1">
      <w:pPr>
        <w:bidi w:val="0"/>
        <w:rPr>
          <w:rFonts w:ascii="Times New Roman" w:hAnsi="Times New Roman"/>
        </w:rPr>
      </w:pPr>
      <w:r w:rsidRPr="004161A1">
        <w:rPr>
          <w:rFonts w:ascii="Times New Roman" w:hAnsi="Times New Roman"/>
          <w:b/>
          <w:bCs/>
        </w:rPr>
        <w:t>Návrh na riešenie úbytku príjmov alebo zvýšených výdavkov podľa § 33 ods. 1 zákona č. 523/2004 Z. z. o rozpočtových pravidlách verejnej správy:</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682CC1" w:rsidP="00682CC1">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682CC1" w:rsidP="00682CC1">
      <w:pPr>
        <w:bidi w:val="0"/>
        <w:rPr>
          <w:rFonts w:ascii="Times New Roman" w:hAnsi="Times New Roman"/>
          <w:b/>
          <w:bCs/>
        </w:rPr>
      </w:pPr>
    </w:p>
    <w:p w:rsidR="00682CC1" w:rsidP="00682CC1">
      <w:pPr>
        <w:bidi w:val="0"/>
        <w:rPr>
          <w:rFonts w:ascii="Times New Roman" w:hAnsi="Times New Roman"/>
        </w:rPr>
      </w:pPr>
      <w:r w:rsidRPr="004161A1">
        <w:rPr>
          <w:rFonts w:ascii="Times New Roman" w:hAnsi="Times New Roman"/>
          <w:b/>
          <w:bCs/>
        </w:rPr>
        <w:t>2.3. Popis a charakteristika návrhu</w:t>
      </w:r>
    </w:p>
    <w:p w:rsidR="00682CC1" w:rsidP="00682CC1">
      <w:pPr>
        <w:bidi w:val="0"/>
        <w:rPr>
          <w:rFonts w:ascii="Times New Roman" w:hAnsi="Times New Roman"/>
        </w:rPr>
      </w:pPr>
      <w:r>
        <w:rPr>
          <w:rFonts w:ascii="Times New Roman" w:hAnsi="Times New Roman"/>
        </w:rPr>
        <w:t> </w:t>
      </w:r>
    </w:p>
    <w:p w:rsidR="00682CC1" w:rsidP="00682CC1">
      <w:pPr>
        <w:bidi w:val="0"/>
        <w:jc w:val="both"/>
        <w:rPr>
          <w:rFonts w:ascii="Times New Roman" w:hAnsi="Times New Roman"/>
        </w:rPr>
      </w:pPr>
      <w:r w:rsidRPr="004161A1">
        <w:rPr>
          <w:rFonts w:ascii="Times New Roman" w:hAnsi="Times New Roman"/>
          <w:b/>
          <w:bCs/>
        </w:rPr>
        <w:t>2.3.1. Popis návrhu:</w:t>
      </w:r>
    </w:p>
    <w:p w:rsidR="00682CC1" w:rsidRPr="00B13220" w:rsidP="00682CC1">
      <w:pPr>
        <w:bidi w:val="0"/>
        <w:spacing w:before="120"/>
        <w:ind w:firstLine="708"/>
        <w:jc w:val="both"/>
        <w:rPr>
          <w:rFonts w:ascii="Times New Roman" w:hAnsi="Times New Roman"/>
        </w:rPr>
      </w:pPr>
      <w:r w:rsidRPr="00B13220">
        <w:rPr>
          <w:rFonts w:ascii="Times New Roman" w:hAnsi="Times New Roman"/>
          <w:bCs/>
        </w:rPr>
        <w:t xml:space="preserve">Návrhom sa do právneho poriadku Slovenskej republiky transponuje </w:t>
      </w:r>
      <w:r w:rsidRPr="00B13220">
        <w:rPr>
          <w:rFonts w:ascii="Times New Roman" w:hAnsi="Times New Roman"/>
        </w:rPr>
        <w:t xml:space="preserve">smernica Európskeho parlamentu a Rady 2009/52/ES </w:t>
      </w:r>
      <w:r w:rsidRPr="00B13220">
        <w:rPr>
          <w:rFonts w:ascii="Times New Roman" w:hAnsi="Times New Roman"/>
        </w:rPr>
        <w:t>z 18. júna 2009, ktorou sa stanovujú minimálne normy pre sankcie a opatrenia voči zamestnávateľom štátnych príslušníkov tr</w:t>
      </w:r>
      <w:r w:rsidRPr="00B13220">
        <w:rPr>
          <w:rFonts w:ascii="Times New Roman" w:hAnsi="Times New Roman"/>
        </w:rPr>
        <w:t>e</w:t>
      </w:r>
      <w:r w:rsidRPr="00B13220">
        <w:rPr>
          <w:rFonts w:ascii="Times New Roman" w:hAnsi="Times New Roman"/>
        </w:rPr>
        <w:t>tích krajín, ktorí sa neoprávnene zdržiavajú na území členských štátov (ďalej len „smern</w:t>
      </w:r>
      <w:r w:rsidRPr="00B13220">
        <w:rPr>
          <w:rFonts w:ascii="Times New Roman" w:hAnsi="Times New Roman"/>
        </w:rPr>
        <w:t>i</w:t>
      </w:r>
      <w:r w:rsidRPr="00B13220">
        <w:rPr>
          <w:rFonts w:ascii="Times New Roman" w:hAnsi="Times New Roman"/>
        </w:rPr>
        <w:t>ca“).</w:t>
      </w: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Návrh upravuje zamestnávateľom (fyzickým osobám a právnickým osobám) všeobecný zákaz zamestnávania štátnych príslušníkov tretích štátov (krajín, ktoré nie sú členskými štátmi Európskej únie), ktorí sa neoprávnene nachádzajú na území členských štátov EÚ,  ustanovený čl. 3 smernice a v spojitosti s jej ďalšími ustanoveniami rieši tiež problematiku sankcií a opatrení voči zamestnávateľom, ktorí zamestnávajú také osoby. </w:t>
      </w:r>
    </w:p>
    <w:p w:rsidR="00682CC1" w:rsidRPr="00B13220" w:rsidP="00682CC1">
      <w:pPr>
        <w:bidi w:val="0"/>
        <w:spacing w:before="120"/>
        <w:ind w:firstLine="708"/>
        <w:jc w:val="both"/>
        <w:rPr>
          <w:rFonts w:ascii="Times New Roman" w:hAnsi="Times New Roman"/>
        </w:rPr>
      </w:pPr>
      <w:r w:rsidRPr="00B13220">
        <w:rPr>
          <w:rFonts w:ascii="Times New Roman" w:hAnsi="Times New Roman"/>
        </w:rPr>
        <w:t>Návrhom sa, v porovnaní so súčasným stavom, prenáša výkon kontroly nelegálnej práce a nelegálneho zamestnávania do výlučnej pôsobnosti inšpektorátov práce, čo je pozitívne pre podnikateľské prostredie z hľadiska ich zaťaženia viacerými kontrolnými orgánmi.</w:t>
      </w:r>
    </w:p>
    <w:p w:rsidR="00682CC1" w:rsidRPr="00B13220" w:rsidP="00682CC1">
      <w:pPr>
        <w:bidi w:val="0"/>
        <w:spacing w:before="120"/>
        <w:ind w:firstLine="708"/>
        <w:jc w:val="both"/>
        <w:rPr>
          <w:rFonts w:ascii="Times New Roman" w:hAnsi="Times New Roman"/>
        </w:rPr>
      </w:pPr>
      <w:r w:rsidRPr="00B13220">
        <w:rPr>
          <w:rFonts w:ascii="Times New Roman" w:hAnsi="Times New Roman"/>
        </w:rPr>
        <w:t>Návrh budú implementovať fyzické osoby,  právnické osoby, orgány štátnej správy v oblasti inšpekcie práce, verejní obstarávatelia</w:t>
      </w:r>
      <w:r>
        <w:rPr>
          <w:rFonts w:ascii="Times New Roman" w:hAnsi="Times New Roman"/>
        </w:rPr>
        <w:t>.</w:t>
      </w:r>
    </w:p>
    <w:p w:rsidR="00682CC1" w:rsidRPr="00B13220" w:rsidP="00682CC1">
      <w:pPr>
        <w:bidi w:val="0"/>
        <w:spacing w:before="120"/>
        <w:ind w:firstLine="708"/>
        <w:jc w:val="both"/>
        <w:rPr>
          <w:rFonts w:ascii="Times New Roman" w:hAnsi="Times New Roman"/>
        </w:rPr>
      </w:pPr>
    </w:p>
    <w:p w:rsidR="00682CC1" w:rsidRPr="00B13220" w:rsidP="00682CC1">
      <w:pPr>
        <w:bidi w:val="0"/>
        <w:rPr>
          <w:rFonts w:ascii="Times New Roman" w:hAnsi="Times New Roman"/>
        </w:rPr>
      </w:pPr>
      <w:r w:rsidRPr="00B13220">
        <w:rPr>
          <w:rFonts w:ascii="Times New Roman" w:hAnsi="Times New Roman"/>
        </w:rPr>
        <w:t> </w:t>
      </w:r>
      <w:r w:rsidRPr="00B13220">
        <w:rPr>
          <w:rFonts w:ascii="Times New Roman" w:hAnsi="Times New Roman"/>
          <w:b/>
          <w:bCs/>
        </w:rPr>
        <w:t>2.3.2. Charakteristika návrhu podľa bodu  2.3.2. Metodiky :</w:t>
      </w:r>
    </w:p>
    <w:p w:rsidR="00682CC1" w:rsidRPr="00B13220" w:rsidP="00682CC1">
      <w:pPr>
        <w:bidi w:val="0"/>
        <w:rPr>
          <w:rFonts w:ascii="Times New Roman" w:hAnsi="Times New Roman"/>
        </w:rPr>
      </w:pPr>
      <w:r w:rsidRPr="00B13220">
        <w:rPr>
          <w:rFonts w:ascii="Times New Roman" w:hAnsi="Times New Roman"/>
        </w:rPr>
        <w:t> </w:t>
      </w:r>
    </w:p>
    <w:p w:rsidR="00682CC1" w:rsidRPr="00B13220" w:rsidP="00682CC1">
      <w:pPr>
        <w:bidi w:val="0"/>
        <w:rPr>
          <w:rFonts w:ascii="Times New Roman" w:hAnsi="Times New Roman"/>
        </w:rPr>
      </w:pPr>
      <w:r w:rsidRPr="00B13220">
        <w:rPr>
          <w:rFonts w:ascii="Times New Roman" w:hAnsi="Times New Roman"/>
          <w:b/>
          <w:bCs/>
          <w:bdr w:val="single" w:sz="4" w:space="0" w:color="000000" w:frame="1"/>
        </w:rPr>
        <w:t xml:space="preserve">     </w:t>
      </w:r>
      <w:r w:rsidRPr="00B13220">
        <w:rPr>
          <w:rFonts w:ascii="Times New Roman" w:hAnsi="Times New Roman"/>
          <w:b/>
          <w:bCs/>
        </w:rPr>
        <w:t xml:space="preserve">  </w:t>
      </w:r>
      <w:r w:rsidRPr="00B13220">
        <w:rPr>
          <w:rFonts w:ascii="Times New Roman" w:hAnsi="Times New Roman"/>
        </w:rPr>
        <w:t>zmena sadzby</w:t>
      </w:r>
    </w:p>
    <w:p w:rsidR="00682CC1" w:rsidRPr="00B13220" w:rsidP="00682CC1">
      <w:pPr>
        <w:bidi w:val="0"/>
        <w:rPr>
          <w:rFonts w:ascii="Times New Roman" w:hAnsi="Times New Roman"/>
        </w:rPr>
      </w:pPr>
      <w:r w:rsidRPr="00B13220">
        <w:rPr>
          <w:rFonts w:ascii="Times New Roman" w:hAnsi="Times New Roman"/>
          <w:bdr w:val="single" w:sz="4" w:space="0" w:color="000000" w:frame="1"/>
        </w:rPr>
        <w:t xml:space="preserve">     </w:t>
      </w:r>
      <w:r w:rsidRPr="00B13220">
        <w:rPr>
          <w:rFonts w:ascii="Times New Roman" w:hAnsi="Times New Roman"/>
        </w:rPr>
        <w:t>  zmena v nároku</w:t>
      </w:r>
    </w:p>
    <w:p w:rsidR="00682CC1" w:rsidRPr="00B13220" w:rsidP="00682CC1">
      <w:pPr>
        <w:bidi w:val="0"/>
        <w:rPr>
          <w:rFonts w:ascii="Times New Roman" w:hAnsi="Times New Roman"/>
        </w:rPr>
      </w:pPr>
      <w:r w:rsidRPr="00B13220">
        <w:rPr>
          <w:rFonts w:ascii="Times New Roman" w:hAnsi="Times New Roman"/>
          <w:bdr w:val="single" w:sz="4" w:space="0" w:color="000000" w:frame="1"/>
        </w:rPr>
        <w:t xml:space="preserve">     </w:t>
      </w:r>
      <w:r w:rsidRPr="00B13220">
        <w:rPr>
          <w:rFonts w:ascii="Times New Roman" w:hAnsi="Times New Roman"/>
        </w:rPr>
        <w:t>  nová služba alebo nariadenie (alebo ich zrušenie)</w:t>
      </w:r>
    </w:p>
    <w:p w:rsidR="00682CC1" w:rsidRPr="00B13220" w:rsidP="00682CC1">
      <w:pPr>
        <w:bidi w:val="0"/>
        <w:rPr>
          <w:rFonts w:ascii="Times New Roman" w:hAnsi="Times New Roman"/>
        </w:rPr>
      </w:pPr>
      <w:r w:rsidRPr="00B13220">
        <w:rPr>
          <w:rFonts w:ascii="Times New Roman" w:hAnsi="Times New Roman"/>
          <w:bdr w:val="single" w:sz="4" w:space="0" w:color="000000" w:frame="1"/>
        </w:rPr>
        <w:t> X </w:t>
      </w:r>
      <w:r w:rsidRPr="00B13220">
        <w:rPr>
          <w:rFonts w:ascii="Times New Roman" w:hAnsi="Times New Roman"/>
        </w:rPr>
        <w:t>  kombinovaný návrh</w:t>
      </w:r>
    </w:p>
    <w:p w:rsidR="00682CC1" w:rsidRPr="00B13220" w:rsidP="00682CC1">
      <w:pPr>
        <w:bidi w:val="0"/>
        <w:rPr>
          <w:rFonts w:ascii="Times New Roman" w:hAnsi="Times New Roman"/>
        </w:rPr>
      </w:pPr>
      <w:r w:rsidRPr="00B13220">
        <w:rPr>
          <w:rFonts w:ascii="Times New Roman" w:hAnsi="Times New Roman"/>
          <w:bdr w:val="single" w:sz="4" w:space="0" w:color="000000" w:frame="1"/>
        </w:rPr>
        <w:t xml:space="preserve">     </w:t>
      </w:r>
      <w:r w:rsidRPr="00B13220">
        <w:rPr>
          <w:rFonts w:ascii="Times New Roman" w:hAnsi="Times New Roman"/>
        </w:rPr>
        <w:t xml:space="preserve">  iné </w:t>
      </w:r>
    </w:p>
    <w:p w:rsidR="00682CC1" w:rsidRPr="00B13220" w:rsidP="00682CC1">
      <w:pPr>
        <w:bidi w:val="0"/>
        <w:rPr>
          <w:rFonts w:ascii="Times New Roman" w:hAnsi="Times New Roman"/>
        </w:rPr>
      </w:pPr>
      <w:r w:rsidRPr="00B13220">
        <w:rPr>
          <w:rFonts w:ascii="Times New Roman" w:hAnsi="Times New Roman"/>
        </w:rPr>
        <w:t> </w:t>
      </w:r>
    </w:p>
    <w:p w:rsidR="00682CC1" w:rsidRPr="00B13220" w:rsidP="00682CC1">
      <w:pPr>
        <w:bidi w:val="0"/>
        <w:spacing w:before="120"/>
        <w:ind w:firstLine="708"/>
        <w:jc w:val="both"/>
        <w:rPr>
          <w:rFonts w:ascii="Times New Roman" w:hAnsi="Times New Roman"/>
        </w:rPr>
      </w:pPr>
      <w:r w:rsidRPr="00B13220">
        <w:rPr>
          <w:rFonts w:ascii="Times New Roman" w:hAnsi="Times New Roman"/>
        </w:rPr>
        <w:t> Návrhom sa preberá právne záväzný akt EÚ a upravuje zmen</w:t>
      </w:r>
      <w:r>
        <w:rPr>
          <w:rFonts w:ascii="Times New Roman" w:hAnsi="Times New Roman"/>
        </w:rPr>
        <w:t>a</w:t>
      </w:r>
      <w:r w:rsidRPr="00B13220">
        <w:rPr>
          <w:rFonts w:ascii="Times New Roman" w:hAnsi="Times New Roman"/>
        </w:rPr>
        <w:t xml:space="preserve"> orgánov štátnej správy príslušných na kontrolu nelegálnej práce a nelegálneho zamestnávania.</w:t>
      </w:r>
    </w:p>
    <w:p w:rsidR="00682CC1" w:rsidRPr="00B13220" w:rsidP="00682CC1">
      <w:pPr>
        <w:bidi w:val="0"/>
        <w:spacing w:before="120"/>
        <w:ind w:firstLine="708"/>
        <w:jc w:val="both"/>
        <w:rPr>
          <w:rFonts w:ascii="Times New Roman" w:hAnsi="Times New Roman"/>
        </w:rPr>
      </w:pPr>
    </w:p>
    <w:p w:rsidR="00682CC1" w:rsidRPr="00B13220" w:rsidP="00682CC1">
      <w:pPr>
        <w:bidi w:val="0"/>
        <w:rPr>
          <w:rFonts w:ascii="Times New Roman" w:hAnsi="Times New Roman"/>
        </w:rPr>
      </w:pPr>
      <w:r>
        <w:rPr>
          <w:rFonts w:ascii="Times New Roman" w:hAnsi="Times New Roman"/>
          <w:b/>
          <w:bCs/>
        </w:rPr>
        <w:br w:type="page"/>
      </w:r>
      <w:r w:rsidRPr="00B13220">
        <w:rPr>
          <w:rFonts w:ascii="Times New Roman" w:hAnsi="Times New Roman"/>
          <w:b/>
          <w:bCs/>
        </w:rPr>
        <w:t>2.3.3. Predpoklady vývoja objemu aktivít:</w:t>
      </w:r>
    </w:p>
    <w:p w:rsidR="00682CC1" w:rsidRPr="00B13220" w:rsidP="00682CC1">
      <w:pPr>
        <w:bidi w:val="0"/>
        <w:rPr>
          <w:rFonts w:ascii="Times New Roman" w:hAnsi="Times New Roman"/>
        </w:rPr>
      </w:pPr>
      <w:r w:rsidRPr="00B13220">
        <w:rPr>
          <w:rFonts w:ascii="Times New Roman" w:hAnsi="Times New Roman"/>
        </w:rPr>
        <w:t> </w:t>
      </w:r>
    </w:p>
    <w:p w:rsidR="00682CC1" w:rsidRPr="00B13220" w:rsidP="00682CC1">
      <w:pPr>
        <w:bidi w:val="0"/>
        <w:jc w:val="right"/>
        <w:rPr>
          <w:rFonts w:ascii="Times New Roman" w:hAnsi="Times New Roman"/>
        </w:rPr>
      </w:pPr>
      <w:r w:rsidRPr="00B13220">
        <w:rPr>
          <w:rFonts w:ascii="Times New Roman" w:hAnsi="Times New Roman"/>
          <w:sz w:val="20"/>
          <w:szCs w:val="20"/>
        </w:rPr>
        <w:t xml:space="preserve">Tabuľka č. 3 </w:t>
      </w:r>
    </w:p>
    <w:tbl>
      <w:tblPr>
        <w:tblStyle w:val="TableNormal"/>
        <w:tblW w:w="0" w:type="auto"/>
        <w:tblInd w:w="250" w:type="dxa"/>
        <w:tblCellMar>
          <w:left w:w="0" w:type="dxa"/>
          <w:right w:w="0" w:type="dxa"/>
        </w:tblCellMar>
      </w:tblPr>
      <w:tblGrid>
        <w:gridCol w:w="4280"/>
        <w:gridCol w:w="1134"/>
        <w:gridCol w:w="1134"/>
        <w:gridCol w:w="1134"/>
        <w:gridCol w:w="1134"/>
      </w:tblGrid>
      <w:tr>
        <w:tblPrEx>
          <w:tblW w:w="0" w:type="auto"/>
          <w:tblInd w:w="250" w:type="dxa"/>
          <w:tblCellMar>
            <w:left w:w="0" w:type="dxa"/>
            <w:right w:w="0" w:type="dxa"/>
          </w:tblCellMar>
        </w:tblPrEx>
        <w:trPr>
          <w:trHeight w:val="70"/>
        </w:trPr>
        <w:tc>
          <w:tcPr>
            <w:tcW w:w="428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Odhadované objemy</w:t>
            </w:r>
          </w:p>
        </w:tc>
      </w:tr>
      <w:tr>
        <w:tblPrEx>
          <w:tblW w:w="0" w:type="auto"/>
          <w:tblInd w:w="250" w:type="dxa"/>
          <w:tblCellMar>
            <w:left w:w="0" w:type="dxa"/>
            <w:right w:w="0" w:type="dxa"/>
          </w:tblCellMar>
        </w:tblPrEx>
        <w:trPr>
          <w:trHeight w:val="70"/>
        </w:trPr>
        <w:tc>
          <w:tcPr>
            <w:tcW w:w="4280" w:type="dxa"/>
            <w:vMerge/>
            <w:tcBorders>
              <w:top w:val="single" w:sz="4" w:space="0" w:color="000000"/>
              <w:left w:val="single" w:sz="4" w:space="0" w:color="000000"/>
              <w:bottom w:val="single" w:sz="4" w:space="0" w:color="000000"/>
              <w:right w:val="single" w:sz="4" w:space="0" w:color="000000"/>
            </w:tcBorders>
            <w:textDirection w:val="lrTb"/>
            <w:vAlign w:val="center"/>
          </w:tcPr>
          <w:p w:rsidR="00682CC1" w:rsidRPr="00B13220" w:rsidP="00223D89">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682CC1" w:rsidRPr="00B13220" w:rsidP="00223D89">
            <w:pPr>
              <w:bidi w:val="0"/>
              <w:spacing w:line="70" w:lineRule="atLeast"/>
              <w:jc w:val="center"/>
              <w:rPr>
                <w:rFonts w:ascii="Times New Roman" w:hAnsi="Times New Roman"/>
              </w:rPr>
            </w:pPr>
            <w:r w:rsidRPr="00B13220">
              <w:rPr>
                <w:rFonts w:ascii="Times New Roman" w:hAnsi="Times New Roman"/>
                <w:b/>
                <w:bCs/>
                <w:color w:val="FFFFFF"/>
              </w:rPr>
              <w:t>2014</w:t>
            </w:r>
          </w:p>
        </w:tc>
      </w:tr>
      <w:tr>
        <w:tblPrEx>
          <w:tblW w:w="0" w:type="auto"/>
          <w:tblInd w:w="250" w:type="dxa"/>
          <w:tblCellMar>
            <w:left w:w="0" w:type="dxa"/>
            <w:right w:w="0" w:type="dxa"/>
          </w:tblCellMar>
        </w:tblPrEx>
        <w:trPr>
          <w:trHeight w:val="70"/>
        </w:trPr>
        <w:tc>
          <w:tcPr>
            <w:tcW w:w="4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682CC1" w:rsidRPr="00B13220" w:rsidP="00223D89">
            <w:pPr>
              <w:bidi w:val="0"/>
              <w:spacing w:line="70" w:lineRule="atLeast"/>
              <w:rPr>
                <w:rFonts w:ascii="Times New Roman" w:hAnsi="Times New Roman"/>
              </w:rPr>
            </w:pPr>
            <w:r w:rsidRPr="00B13220">
              <w:rPr>
                <w:rFonts w:ascii="Times New Roman" w:hAnsi="Times New Roman"/>
                <w:color w:val="000000"/>
              </w:rPr>
              <w:t>Indikátor počet odhalených prípadov nelegálneho zamestnávania štátnych príslušníkov tretích krajín neoprávnene sa zdržiavajúcich na území SR</w:t>
            </w:r>
            <w:r>
              <w:rPr>
                <w:rFonts w:ascii="Times New Roman" w:hAnsi="Times New Roman"/>
                <w:color w:val="000000"/>
              </w:rPr>
              <w:t xml:space="preserve"> za rok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635DC8" w:rsidP="00223D89">
            <w:pPr>
              <w:bidi w:val="0"/>
              <w:spacing w:before="120"/>
              <w:jc w:val="center"/>
              <w:rPr>
                <w:rFonts w:ascii="Times New Roman" w:hAnsi="Times New Roman"/>
              </w:rPr>
            </w:pPr>
            <w:r w:rsidRPr="00635DC8">
              <w:rPr>
                <w:rFonts w:ascii="Times New Roman" w:hAnsi="Times New Roman"/>
              </w:rPr>
              <w:t>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rPr>
            </w:pPr>
            <w:r w:rsidRPr="00B74462">
              <w:rPr>
                <w:rFonts w:ascii="Times New Roman" w:hAnsi="Times New Roman"/>
              </w:rPr>
              <w:t>58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rPr>
            </w:pPr>
            <w:r w:rsidRPr="00B74462">
              <w:rPr>
                <w:rFonts w:ascii="Times New Roman" w:hAnsi="Times New Roman"/>
              </w:rPr>
              <w:t>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rPr>
            </w:pPr>
            <w:r w:rsidRPr="00B74462">
              <w:rPr>
                <w:rFonts w:ascii="Times New Roman" w:hAnsi="Times New Roman"/>
              </w:rPr>
              <w:t>54</w:t>
            </w:r>
          </w:p>
        </w:tc>
      </w:tr>
      <w:tr>
        <w:tblPrEx>
          <w:tblW w:w="0" w:type="auto"/>
          <w:tblInd w:w="250" w:type="dxa"/>
          <w:tblCellMar>
            <w:left w:w="0" w:type="dxa"/>
            <w:right w:w="0" w:type="dxa"/>
          </w:tblCellMar>
        </w:tblPrEx>
        <w:trPr>
          <w:trHeight w:val="70"/>
        </w:trPr>
        <w:tc>
          <w:tcPr>
            <w:tcW w:w="4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682CC1" w:rsidRPr="00B13220" w:rsidP="00223D89">
            <w:pPr>
              <w:bidi w:val="0"/>
              <w:spacing w:line="70" w:lineRule="atLeast"/>
              <w:rPr>
                <w:rFonts w:ascii="Times New Roman" w:hAnsi="Times New Roman"/>
                <w:color w:val="000000"/>
              </w:rPr>
            </w:pPr>
            <w:r w:rsidRPr="00B13220">
              <w:rPr>
                <w:rFonts w:ascii="Times New Roman" w:hAnsi="Times New Roman"/>
                <w:color w:val="000000"/>
              </w:rPr>
              <w:t>Indikátor sumy uložených pokút za nelegálne zamestnávanie</w:t>
            </w:r>
            <w:r>
              <w:rPr>
                <w:rFonts w:ascii="Times New Roman" w:hAnsi="Times New Roman"/>
                <w:color w:val="000000"/>
              </w:rPr>
              <w:t xml:space="preserve"> za rok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sz w:val="20"/>
                <w:szCs w:val="20"/>
              </w:rPr>
            </w:pPr>
            <w:r w:rsidRPr="00B74462">
              <w:rPr>
                <w:rFonts w:ascii="Times New Roman" w:hAnsi="Times New Roman"/>
                <w:sz w:val="20"/>
                <w:szCs w:val="20"/>
              </w:rPr>
              <w:t xml:space="preserve">552 000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sz w:val="20"/>
                <w:szCs w:val="20"/>
              </w:rPr>
            </w:pPr>
            <w:r w:rsidRPr="00B74462">
              <w:rPr>
                <w:rFonts w:ascii="Times New Roman" w:hAnsi="Times New Roman"/>
                <w:sz w:val="20"/>
                <w:szCs w:val="20"/>
              </w:rPr>
              <w:t>535 200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sz w:val="20"/>
                <w:szCs w:val="20"/>
              </w:rPr>
            </w:pPr>
            <w:r w:rsidRPr="00B74462">
              <w:rPr>
                <w:rFonts w:ascii="Times New Roman" w:hAnsi="Times New Roman"/>
                <w:sz w:val="20"/>
                <w:szCs w:val="20"/>
              </w:rPr>
              <w:t>550 800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682CC1" w:rsidRPr="00B74462" w:rsidP="00223D89">
            <w:pPr>
              <w:bidi w:val="0"/>
              <w:spacing w:before="120"/>
              <w:jc w:val="center"/>
              <w:rPr>
                <w:rFonts w:ascii="Times New Roman" w:hAnsi="Times New Roman"/>
                <w:sz w:val="20"/>
                <w:szCs w:val="20"/>
              </w:rPr>
            </w:pPr>
            <w:r w:rsidRPr="00B74462">
              <w:rPr>
                <w:rFonts w:ascii="Times New Roman" w:hAnsi="Times New Roman"/>
                <w:sz w:val="20"/>
                <w:szCs w:val="20"/>
              </w:rPr>
              <w:t>535 500</w:t>
            </w:r>
          </w:p>
        </w:tc>
      </w:tr>
      <w:tr>
        <w:tblPrEx>
          <w:tblW w:w="0" w:type="auto"/>
          <w:tblInd w:w="250" w:type="dxa"/>
          <w:tblCellMar>
            <w:left w:w="0" w:type="dxa"/>
            <w:right w:w="0" w:type="dxa"/>
          </w:tblCellMar>
        </w:tblPrEx>
        <w:tc>
          <w:tcPr>
            <w:tcW w:w="4280" w:type="dxa"/>
            <w:tcBorders>
              <w:top w:val="nil"/>
              <w:left w:val="nil"/>
              <w:bottom w:val="nil"/>
              <w:right w:val="nil"/>
            </w:tcBorders>
            <w:textDirection w:val="lrTb"/>
            <w:vAlign w:val="center"/>
          </w:tcPr>
          <w:p w:rsidR="00682CC1" w:rsidRPr="00B13220" w:rsidP="00223D89">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682CC1" w:rsidRPr="00B13220" w:rsidP="00223D89">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682CC1" w:rsidRPr="00B13220" w:rsidP="00223D89">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682CC1" w:rsidRPr="00B13220" w:rsidP="00223D89">
            <w:pPr>
              <w:bidi w:val="0"/>
              <w:rPr>
                <w:rFonts w:ascii="Times New Roman" w:hAnsi="Times New Roman"/>
                <w:sz w:val="2"/>
                <w:szCs w:val="2"/>
              </w:rPr>
            </w:pPr>
          </w:p>
        </w:tc>
        <w:tc>
          <w:tcPr>
            <w:tcW w:w="1134" w:type="dxa"/>
            <w:tcBorders>
              <w:top w:val="nil"/>
              <w:left w:val="nil"/>
              <w:bottom w:val="nil"/>
              <w:right w:val="nil"/>
            </w:tcBorders>
            <w:textDirection w:val="lrTb"/>
            <w:vAlign w:val="center"/>
          </w:tcPr>
          <w:p w:rsidR="00682CC1" w:rsidRPr="00B13220" w:rsidP="00223D89">
            <w:pPr>
              <w:bidi w:val="0"/>
              <w:rPr>
                <w:rFonts w:ascii="Times New Roman" w:hAnsi="Times New Roman"/>
                <w:sz w:val="2"/>
                <w:szCs w:val="2"/>
              </w:rPr>
            </w:pPr>
          </w:p>
        </w:tc>
      </w:tr>
    </w:tbl>
    <w:p w:rsidR="00682CC1" w:rsidRPr="00B13220" w:rsidP="00682CC1">
      <w:pPr>
        <w:bidi w:val="0"/>
        <w:rPr>
          <w:rFonts w:ascii="Times New Roman" w:hAnsi="Times New Roman"/>
        </w:rPr>
      </w:pPr>
      <w:r w:rsidRPr="00B13220">
        <w:rPr>
          <w:rFonts w:ascii="Times New Roman" w:hAnsi="Times New Roman"/>
        </w:rPr>
        <w:t> </w:t>
      </w:r>
    </w:p>
    <w:p w:rsidR="00682CC1" w:rsidRPr="00B13220" w:rsidP="00682CC1">
      <w:pPr>
        <w:bidi w:val="0"/>
        <w:spacing w:before="120"/>
        <w:ind w:firstLine="708"/>
        <w:jc w:val="both"/>
        <w:rPr>
          <w:rFonts w:ascii="Times New Roman" w:hAnsi="Times New Roman"/>
        </w:rPr>
      </w:pPr>
      <w:r w:rsidRPr="00B13220">
        <w:rPr>
          <w:rFonts w:ascii="Times New Roman" w:hAnsi="Times New Roman"/>
        </w:rPr>
        <w:t>V dôsledku efektívnejšej kontroly nelegálnej práce a nelegálneho zamestnávania sa predpokladá znižovanie počtu nelegálne zamestnávaných osôb vrátane nelegálneho zamestnávania štátnych príslušníkov tretích štátov, ktorí sa neoprávnene nachádzajú na území Slovenskej republiky a sú tu zamestnávaní.</w:t>
      </w:r>
    </w:p>
    <w:p w:rsidR="00682CC1" w:rsidRPr="00B13220" w:rsidP="00682CC1">
      <w:pPr>
        <w:bidi w:val="0"/>
        <w:jc w:val="both"/>
        <w:rPr>
          <w:rFonts w:ascii="Times New Roman" w:hAnsi="Times New Roman"/>
        </w:rPr>
      </w:pPr>
    </w:p>
    <w:p w:rsidR="00682CC1" w:rsidRPr="00B13220" w:rsidP="00682CC1">
      <w:pPr>
        <w:bidi w:val="0"/>
        <w:rPr>
          <w:rFonts w:ascii="Times New Roman" w:hAnsi="Times New Roman"/>
          <w:b/>
          <w:bCs/>
        </w:rPr>
      </w:pPr>
      <w:r w:rsidRPr="00B13220">
        <w:rPr>
          <w:rFonts w:ascii="Times New Roman" w:hAnsi="Times New Roman"/>
          <w:b/>
          <w:bCs/>
        </w:rPr>
        <w:t>2.3.4. Výpočty vplyvov na verejné financie</w:t>
      </w:r>
    </w:p>
    <w:p w:rsidR="00682CC1" w:rsidRPr="00B13220" w:rsidP="00682CC1">
      <w:pPr>
        <w:bidi w:val="0"/>
        <w:rPr>
          <w:rFonts w:ascii="Times New Roman" w:hAnsi="Times New Roman"/>
        </w:rPr>
      </w:pPr>
    </w:p>
    <w:p w:rsidR="00682CC1" w:rsidRPr="00B13220" w:rsidP="00682CC1">
      <w:pPr>
        <w:bidi w:val="0"/>
        <w:rPr>
          <w:rFonts w:ascii="Times New Roman" w:hAnsi="Times New Roman"/>
        </w:rPr>
      </w:pPr>
      <w:r w:rsidRPr="00B13220">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82CC1" w:rsidRPr="00B13220" w:rsidP="00682CC1">
      <w:pPr>
        <w:bidi w:val="0"/>
        <w:spacing w:before="120"/>
        <w:ind w:firstLine="708"/>
        <w:jc w:val="both"/>
        <w:rPr>
          <w:rFonts w:ascii="Times New Roman" w:hAnsi="Times New Roman"/>
        </w:rPr>
      </w:pPr>
      <w:r w:rsidRPr="00B13220">
        <w:rPr>
          <w:rFonts w:ascii="Times New Roman" w:hAnsi="Times New Roman"/>
        </w:rPr>
        <w:t>Vplyv návrhu na príjmy verejných financií sa prejaví:</w:t>
      </w:r>
    </w:p>
    <w:p w:rsidR="00682CC1" w:rsidRPr="00B13220" w:rsidP="00682CC1">
      <w:pPr>
        <w:numPr>
          <w:numId w:val="6"/>
        </w:numPr>
        <w:bidi w:val="0"/>
        <w:jc w:val="both"/>
        <w:rPr>
          <w:rFonts w:ascii="Times New Roman" w:hAnsi="Times New Roman"/>
          <w:bCs/>
        </w:rPr>
      </w:pPr>
      <w:r w:rsidRPr="00B13220">
        <w:rPr>
          <w:rFonts w:ascii="Times New Roman" w:hAnsi="Times New Roman"/>
          <w:bCs/>
        </w:rPr>
        <w:t>uloženými pokutami zamestnávateľom za nelegálne zamestnávanie,</w:t>
      </w:r>
    </w:p>
    <w:p w:rsidR="00682CC1" w:rsidRPr="00B13220" w:rsidP="00682CC1">
      <w:pPr>
        <w:numPr>
          <w:numId w:val="6"/>
        </w:numPr>
        <w:bidi w:val="0"/>
        <w:jc w:val="both"/>
        <w:rPr>
          <w:rFonts w:ascii="Times New Roman" w:hAnsi="Times New Roman"/>
          <w:bCs/>
        </w:rPr>
      </w:pPr>
      <w:r w:rsidRPr="00B13220">
        <w:rPr>
          <w:rFonts w:ascii="Times New Roman" w:hAnsi="Times New Roman"/>
          <w:bCs/>
        </w:rPr>
        <w:t xml:space="preserve">dodatočnými platbami zamestnávateľov za nelegálne zamestnávanie </w:t>
      </w:r>
      <w:r w:rsidRPr="00B13220">
        <w:rPr>
          <w:rFonts w:ascii="Times New Roman" w:hAnsi="Times New Roman"/>
        </w:rPr>
        <w:t>štátnych príslušníkov tretích štátov, ktorí sa neoprávnene nachádzajú na území Slovenskej republiky</w:t>
      </w:r>
      <w:r w:rsidRPr="00B13220">
        <w:rPr>
          <w:rFonts w:ascii="Times New Roman" w:hAnsi="Times New Roman"/>
          <w:bCs/>
        </w:rPr>
        <w:t>.</w:t>
      </w:r>
    </w:p>
    <w:p w:rsidR="00682CC1" w:rsidRPr="00B13220" w:rsidP="00682CC1">
      <w:pPr>
        <w:bidi w:val="0"/>
        <w:spacing w:before="120"/>
        <w:ind w:firstLine="708"/>
        <w:jc w:val="both"/>
        <w:rPr>
          <w:rFonts w:ascii="Times New Roman" w:hAnsi="Times New Roman"/>
          <w:bCs/>
        </w:rPr>
      </w:pPr>
      <w:r w:rsidRPr="00B13220">
        <w:rPr>
          <w:rFonts w:ascii="Times New Roman" w:hAnsi="Times New Roman"/>
        </w:rPr>
        <w:t xml:space="preserve">Vplyv návrhu na príjmy verejných financií </w:t>
      </w:r>
      <w:r>
        <w:rPr>
          <w:rFonts w:ascii="Times New Roman" w:hAnsi="Times New Roman"/>
        </w:rPr>
        <w:t xml:space="preserve">(na štátny rozpočet) </w:t>
      </w:r>
      <w:r w:rsidRPr="00B13220">
        <w:rPr>
          <w:rFonts w:ascii="Times New Roman" w:hAnsi="Times New Roman"/>
        </w:rPr>
        <w:t>sa, v porovnaní s doterajším stavom</w:t>
      </w:r>
      <w:r>
        <w:rPr>
          <w:rFonts w:ascii="Times New Roman" w:hAnsi="Times New Roman"/>
        </w:rPr>
        <w:t xml:space="preserve"> </w:t>
      </w:r>
      <w:r w:rsidRPr="00B13220">
        <w:rPr>
          <w:rFonts w:ascii="Times New Roman" w:hAnsi="Times New Roman"/>
        </w:rPr>
        <w:t xml:space="preserve">pozitívne prejaví </w:t>
      </w:r>
      <w:r w:rsidRPr="00B13220">
        <w:rPr>
          <w:rFonts w:ascii="Times New Roman" w:hAnsi="Times New Roman"/>
          <w:bCs/>
        </w:rPr>
        <w:t xml:space="preserve">dodatočnými platbami zamestnávateľov za nelegálne zamestnávanie </w:t>
      </w:r>
      <w:r w:rsidRPr="00B13220">
        <w:rPr>
          <w:rFonts w:ascii="Times New Roman" w:hAnsi="Times New Roman"/>
        </w:rPr>
        <w:t>štátnych príslušníkov tretích štátov, ktorí sa neoprávnene nachádzajú na území SR</w:t>
      </w:r>
      <w:r w:rsidRPr="00B13220">
        <w:rPr>
          <w:rFonts w:ascii="Times New Roman" w:hAnsi="Times New Roman"/>
          <w:bCs/>
        </w:rPr>
        <w:t>.</w:t>
      </w:r>
      <w:r w:rsidRPr="00B37936">
        <w:rPr>
          <w:rFonts w:ascii="Times New Roman" w:hAnsi="Times New Roman"/>
        </w:rPr>
        <w:t xml:space="preserve"> </w:t>
      </w:r>
      <w:r>
        <w:rPr>
          <w:rFonts w:ascii="Times New Roman" w:hAnsi="Times New Roman"/>
        </w:rPr>
        <w:t>V</w:t>
      </w:r>
      <w:r w:rsidRPr="00B13220">
        <w:rPr>
          <w:rFonts w:ascii="Times New Roman" w:hAnsi="Times New Roman"/>
        </w:rPr>
        <w:t xml:space="preserve"> porovnaní so súčasným stavom </w:t>
      </w:r>
      <w:r>
        <w:rPr>
          <w:rFonts w:ascii="Times New Roman" w:hAnsi="Times New Roman"/>
        </w:rPr>
        <w:t xml:space="preserve">sa </w:t>
      </w:r>
      <w:r w:rsidRPr="00B13220">
        <w:rPr>
          <w:rFonts w:ascii="Times New Roman" w:hAnsi="Times New Roman"/>
        </w:rPr>
        <w:t>v budúcnosti zabezpečí vyššia efektívnosť</w:t>
      </w:r>
      <w:r>
        <w:rPr>
          <w:rFonts w:ascii="Times New Roman" w:hAnsi="Times New Roman"/>
        </w:rPr>
        <w:t xml:space="preserve"> kontrol nelegálneho zamestnávania</w:t>
      </w:r>
      <w:r w:rsidRPr="00B13220">
        <w:rPr>
          <w:rFonts w:ascii="Times New Roman" w:hAnsi="Times New Roman"/>
        </w:rPr>
        <w:t>, a to v záujme účinnejšej eliminácie nelegálnej prá</w:t>
      </w:r>
      <w:r>
        <w:rPr>
          <w:rFonts w:ascii="Times New Roman" w:hAnsi="Times New Roman"/>
        </w:rPr>
        <w:t xml:space="preserve">ce a nelegálneho zamestnávania.  </w:t>
      </w:r>
    </w:p>
    <w:p w:rsidR="00682CC1" w:rsidRPr="00B13220" w:rsidP="00682CC1">
      <w:pPr>
        <w:bidi w:val="0"/>
        <w:spacing w:before="120"/>
        <w:ind w:firstLine="708"/>
        <w:jc w:val="both"/>
        <w:rPr>
          <w:rFonts w:ascii="Times New Roman" w:hAnsi="Times New Roman"/>
        </w:rPr>
      </w:pPr>
    </w:p>
    <w:p w:rsidR="00682CC1" w:rsidRPr="00B13220" w:rsidP="00682CC1">
      <w:pPr>
        <w:numPr>
          <w:numId w:val="22"/>
        </w:numPr>
        <w:bidi w:val="0"/>
        <w:jc w:val="both"/>
        <w:rPr>
          <w:rFonts w:ascii="Times New Roman" w:hAnsi="Times New Roman"/>
          <w:b/>
          <w:bCs/>
        </w:rPr>
      </w:pPr>
      <w:r w:rsidRPr="00B13220">
        <w:rPr>
          <w:rFonts w:ascii="Times New Roman" w:hAnsi="Times New Roman"/>
          <w:b/>
          <w:bCs/>
        </w:rPr>
        <w:t>Vplyv pokút za nelegálne zamestnávanie</w:t>
      </w:r>
    </w:p>
    <w:p w:rsidR="00682CC1" w:rsidRPr="00B13220" w:rsidP="00682CC1">
      <w:pPr>
        <w:bidi w:val="0"/>
        <w:spacing w:before="120"/>
        <w:ind w:firstLine="708"/>
        <w:jc w:val="both"/>
        <w:rPr>
          <w:rFonts w:ascii="Times New Roman" w:hAnsi="Times New Roman"/>
        </w:rPr>
      </w:pPr>
      <w:r w:rsidRPr="00B13220">
        <w:rPr>
          <w:rFonts w:ascii="Times New Roman" w:hAnsi="Times New Roman"/>
        </w:rPr>
        <w:t>Doterajšie orgány kontroly nelegálnej práce a nelegálneho zamestnávania – Ústredie práce, sociálnych vecí a rodiny, úrady práce, sociálnych vecí a rodiny a inšpektoráty práce ukladali pokuty za nelegálne zamestnávanie podľa doterajšej právnej úpravy nelegálnej práce a nelegálneho zamestnávania, ktorá stanovovala pokutu v sume od 0 do 33 000 eur v období od 1. 7. 2006 do 28. 2. 2010 a v sume od 2 000 do 200 000 eur v období od 1. 3. 2010.</w:t>
      </w:r>
    </w:p>
    <w:p w:rsidR="00682CC1" w:rsidRPr="00B13220" w:rsidP="00682CC1">
      <w:pPr>
        <w:bidi w:val="0"/>
        <w:spacing w:before="120"/>
        <w:ind w:firstLine="708"/>
        <w:jc w:val="both"/>
        <w:rPr>
          <w:rFonts w:ascii="Times New Roman" w:hAnsi="Times New Roman"/>
        </w:rPr>
      </w:pPr>
      <w:r w:rsidRPr="00B13220">
        <w:rPr>
          <w:rFonts w:ascii="Times New Roman" w:hAnsi="Times New Roman"/>
        </w:rPr>
        <w:t>Počty pokút a sumy pokút v eurách za nelegálne zamestnávanie uložené Ústredím práce, sociálnych vecí a rodiny, úradmi práce, sociálnych vecí a rodiny a inšpektorátmi práce v období 2008 až 2010 sú uvedené v nasledujúcej tabuľke:</w:t>
      </w:r>
    </w:p>
    <w:tbl>
      <w:tblPr>
        <w:tblStyle w:val="TableNormal"/>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2531"/>
        <w:gridCol w:w="2531"/>
        <w:gridCol w:w="2532"/>
      </w:tblGrid>
      <w:tr>
        <w:tblPrEx>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1762"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both"/>
              <w:rPr>
                <w:rFonts w:ascii="Times New Roman" w:hAnsi="Times New Roman"/>
              </w:rPr>
            </w:pP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2008</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2009</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2010</w:t>
            </w:r>
          </w:p>
        </w:tc>
      </w:tr>
      <w:tr>
        <w:tblPrEx>
          <w:tblW w:w="9356" w:type="dxa"/>
          <w:tblInd w:w="-34" w:type="dxa"/>
          <w:tblLook w:val="01E0"/>
        </w:tblPrEx>
        <w:trPr>
          <w:trHeight w:val="607"/>
        </w:trPr>
        <w:tc>
          <w:tcPr>
            <w:tcW w:w="1762" w:type="dxa"/>
            <w:vMerge w:val="restart"/>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Ústredie a úrady práce, sociálnych vecí a rodiny</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256</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400</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146</w:t>
            </w:r>
          </w:p>
        </w:tc>
      </w:tr>
      <w:tr>
        <w:tblPrEx>
          <w:tblW w:w="9356" w:type="dxa"/>
          <w:tblInd w:w="-34" w:type="dxa"/>
          <w:tblLook w:val="01E0"/>
        </w:tblPrEx>
        <w:trPr>
          <w:trHeight w:val="607"/>
        </w:trPr>
        <w:tc>
          <w:tcPr>
            <w:tcW w:w="1762" w:type="dxa"/>
            <w:vMerge/>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68 829</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117 181</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260 534</w:t>
            </w:r>
          </w:p>
        </w:tc>
      </w:tr>
      <w:tr>
        <w:tblPrEx>
          <w:tblW w:w="9356" w:type="dxa"/>
          <w:tblInd w:w="-34" w:type="dxa"/>
          <w:tblLook w:val="01E0"/>
        </w:tblPrEx>
        <w:trPr>
          <w:trHeight w:val="396"/>
        </w:trPr>
        <w:tc>
          <w:tcPr>
            <w:tcW w:w="1762" w:type="dxa"/>
            <w:vMerge w:val="restart"/>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Inšpektoráty práce</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216</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315</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129</w:t>
            </w:r>
          </w:p>
        </w:tc>
      </w:tr>
      <w:tr>
        <w:tblPrEx>
          <w:tblW w:w="9356" w:type="dxa"/>
          <w:tblInd w:w="-34" w:type="dxa"/>
          <w:tblLook w:val="01E0"/>
        </w:tblPrEx>
        <w:trPr>
          <w:trHeight w:val="396"/>
        </w:trPr>
        <w:tc>
          <w:tcPr>
            <w:tcW w:w="1762" w:type="dxa"/>
            <w:vMerge/>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95 454</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184 411</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295 270</w:t>
            </w:r>
          </w:p>
        </w:tc>
      </w:tr>
      <w:tr>
        <w:tblPrEx>
          <w:tblW w:w="9356" w:type="dxa"/>
          <w:tblInd w:w="-34" w:type="dxa"/>
          <w:tblLook w:val="01E0"/>
        </w:tblPrEx>
        <w:trPr>
          <w:trHeight w:val="20"/>
        </w:trPr>
        <w:tc>
          <w:tcPr>
            <w:tcW w:w="176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sidRPr="00B13220">
              <w:rPr>
                <w:rFonts w:ascii="Times New Roman" w:hAnsi="Times New Roman"/>
                <w:b/>
              </w:rPr>
              <w:t xml:space="preserve">Pokuty uložené spolu </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164 283</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301 592</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555 804</w:t>
            </w:r>
          </w:p>
        </w:tc>
      </w:tr>
      <w:tr>
        <w:tblPrEx>
          <w:tblW w:w="9356" w:type="dxa"/>
          <w:tblInd w:w="-34" w:type="dxa"/>
          <w:tblLook w:val="01E0"/>
        </w:tblPrEx>
        <w:trPr>
          <w:trHeight w:val="20"/>
        </w:trPr>
        <w:tc>
          <w:tcPr>
            <w:tcW w:w="176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sidRPr="00B13220">
              <w:rPr>
                <w:rFonts w:ascii="Times New Roman" w:hAnsi="Times New Roman"/>
                <w:b/>
              </w:rPr>
              <w:t>Počet pokút spolu</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472</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715</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275</w:t>
            </w:r>
          </w:p>
        </w:tc>
      </w:tr>
      <w:tr>
        <w:tblPrEx>
          <w:tblW w:w="9356" w:type="dxa"/>
          <w:tblInd w:w="-34" w:type="dxa"/>
          <w:tblLook w:val="01E0"/>
        </w:tblPrEx>
        <w:trPr>
          <w:trHeight w:val="20"/>
        </w:trPr>
        <w:tc>
          <w:tcPr>
            <w:tcW w:w="176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sidRPr="00B13220">
              <w:rPr>
                <w:rFonts w:ascii="Times New Roman" w:hAnsi="Times New Roman"/>
                <w:b/>
              </w:rPr>
              <w:t>Priemerná suma pokuty</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348</w:t>
            </w:r>
          </w:p>
        </w:tc>
        <w:tc>
          <w:tcPr>
            <w:tcW w:w="2531"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422</w:t>
            </w:r>
          </w:p>
        </w:tc>
        <w:tc>
          <w:tcPr>
            <w:tcW w:w="253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2 021</w:t>
            </w:r>
          </w:p>
        </w:tc>
      </w:tr>
    </w:tbl>
    <w:p w:rsidR="00682CC1" w:rsidRPr="00B13220" w:rsidP="00682CC1">
      <w:pPr>
        <w:bidi w:val="0"/>
        <w:spacing w:before="120"/>
        <w:jc w:val="both"/>
        <w:rPr>
          <w:rFonts w:ascii="Times New Roman" w:hAnsi="Times New Roman"/>
        </w:rPr>
      </w:pPr>
    </w:p>
    <w:p w:rsidR="00682CC1" w:rsidRPr="00B13220" w:rsidP="00682CC1">
      <w:pPr>
        <w:bidi w:val="0"/>
        <w:spacing w:before="120"/>
        <w:ind w:firstLine="708"/>
        <w:jc w:val="both"/>
        <w:rPr>
          <w:rFonts w:ascii="Times New Roman" w:hAnsi="Times New Roman"/>
        </w:rPr>
      </w:pPr>
      <w:r w:rsidRPr="00B13220">
        <w:rPr>
          <w:rFonts w:ascii="Times New Roman" w:hAnsi="Times New Roman"/>
        </w:rPr>
        <w:t>V rokoch 2008 až 2010 kontrolné orgány uložili za nelegálne zamestnávanie pokuty v sumách (v eurách) uvedených v nasledujúcej tabuľke:</w:t>
      </w:r>
    </w:p>
    <w:tbl>
      <w:tblPr>
        <w:tblStyle w:val="TableNormal"/>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2"/>
        <w:gridCol w:w="2302"/>
        <w:gridCol w:w="2303"/>
        <w:gridCol w:w="2303"/>
      </w:tblGrid>
      <w:tr>
        <w:tblPrEx>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3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rPr>
                <w:rFonts w:ascii="Times New Roman" w:hAnsi="Times New Roman"/>
              </w:rPr>
            </w:pPr>
          </w:p>
        </w:tc>
        <w:tc>
          <w:tcPr>
            <w:tcW w:w="23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b/>
              </w:rPr>
            </w:pPr>
            <w:r w:rsidRPr="00B13220">
              <w:rPr>
                <w:rFonts w:ascii="Times New Roman" w:hAnsi="Times New Roman"/>
                <w:b/>
              </w:rPr>
              <w:t>2008</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b/>
              </w:rPr>
            </w:pPr>
            <w:r w:rsidRPr="00B13220">
              <w:rPr>
                <w:rFonts w:ascii="Times New Roman" w:hAnsi="Times New Roman"/>
                <w:b/>
              </w:rPr>
              <w:t>2009</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b/>
              </w:rPr>
            </w:pPr>
            <w:r w:rsidRPr="00B13220">
              <w:rPr>
                <w:rFonts w:ascii="Times New Roman" w:hAnsi="Times New Roman"/>
                <w:b/>
              </w:rPr>
              <w:t>2010</w:t>
            </w:r>
          </w:p>
        </w:tc>
      </w:tr>
      <w:tr>
        <w:tblPrEx>
          <w:tblW w:w="0" w:type="auto"/>
          <w:tblInd w:w="38" w:type="dxa"/>
          <w:tblLook w:val="00A0"/>
        </w:tblPrEx>
        <w:tc>
          <w:tcPr>
            <w:tcW w:w="23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rPr>
                <w:rFonts w:ascii="Times New Roman" w:hAnsi="Times New Roman"/>
                <w:b/>
              </w:rPr>
            </w:pPr>
            <w:r w:rsidRPr="00B13220">
              <w:rPr>
                <w:rFonts w:ascii="Times New Roman" w:hAnsi="Times New Roman"/>
                <w:b/>
              </w:rPr>
              <w:t>Suma uložených pokút</w:t>
            </w:r>
          </w:p>
        </w:tc>
        <w:tc>
          <w:tcPr>
            <w:tcW w:w="23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rPr>
            </w:pPr>
            <w:r w:rsidRPr="00B13220">
              <w:rPr>
                <w:rFonts w:ascii="Times New Roman" w:hAnsi="Times New Roman"/>
              </w:rPr>
              <w:t>164 283</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rPr>
            </w:pPr>
            <w:r w:rsidRPr="00B13220">
              <w:rPr>
                <w:rFonts w:ascii="Times New Roman" w:hAnsi="Times New Roman"/>
              </w:rPr>
              <w:t>301 592</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jc w:val="center"/>
              <w:rPr>
                <w:rFonts w:ascii="Times New Roman" w:hAnsi="Times New Roman"/>
              </w:rPr>
            </w:pPr>
            <w:r w:rsidRPr="00B13220">
              <w:rPr>
                <w:rFonts w:ascii="Times New Roman" w:hAnsi="Times New Roman"/>
              </w:rPr>
              <w:t>555 804</w:t>
            </w:r>
          </w:p>
        </w:tc>
      </w:tr>
    </w:tbl>
    <w:p w:rsidR="00682CC1" w:rsidRPr="00B13220" w:rsidP="00682CC1">
      <w:pPr>
        <w:bidi w:val="0"/>
        <w:spacing w:before="120"/>
        <w:jc w:val="both"/>
        <w:rPr>
          <w:rFonts w:ascii="Times New Roman" w:hAnsi="Times New Roman"/>
        </w:rPr>
      </w:pPr>
    </w:p>
    <w:p w:rsidR="00682CC1" w:rsidRPr="00B74462" w:rsidP="00682CC1">
      <w:pPr>
        <w:bidi w:val="0"/>
        <w:spacing w:before="120"/>
        <w:ind w:firstLine="708"/>
        <w:jc w:val="both"/>
        <w:rPr>
          <w:rFonts w:ascii="Times New Roman" w:hAnsi="Times New Roman"/>
        </w:rPr>
      </w:pPr>
      <w:r w:rsidRPr="00B74462">
        <w:rPr>
          <w:rFonts w:ascii="Times New Roman" w:hAnsi="Times New Roman"/>
        </w:rPr>
        <w:t>Pri odhade vplyvu návrhu zákona na verejné financie v ďalšom období sa vychádza z údajov za rok 2010, kedy kontrolné orgány na úseku nelegálnej práce a nelegálneho zamestnávania uložili za nelegálne zamestnávanie 275 pokút v sume 555 804 eur, pričom priemerná pokuta bola uložená v sume 2 021 eur. Počet pokút vychádza z priemerného počtu 230 pokút uložených inšpektorátmi práce za nelegálne zamestnávanie v rokoch 2008 až 2010.</w:t>
      </w:r>
    </w:p>
    <w:p w:rsidR="00682CC1" w:rsidRPr="00B74462" w:rsidP="00682CC1">
      <w:pPr>
        <w:bidi w:val="0"/>
        <w:spacing w:before="120"/>
        <w:ind w:firstLine="708"/>
        <w:jc w:val="both"/>
        <w:rPr>
          <w:rFonts w:ascii="Times New Roman" w:hAnsi="Times New Roman"/>
        </w:rPr>
      </w:pPr>
      <w:r w:rsidRPr="00B74462">
        <w:rPr>
          <w:rFonts w:ascii="Times New Roman" w:hAnsi="Times New Roman"/>
        </w:rPr>
        <w:t xml:space="preserve">Odhad počtu pokút a súm uložených pokút v budúcnosti je neistý. Ďalej uvádzané predpokladané sumy uložených pokút sa v skutočnosti môžu meniť v závislosti od počtu kontrol, počtu odhalených prípadov nelegálneho zamestnávania, závažnosti pracovných podmienok zistených pri nelegálnom zamestnávaní a najmä tlaku na elimináciu nelegálneho zamestnávania. </w:t>
      </w:r>
    </w:p>
    <w:p w:rsidR="00682CC1" w:rsidRPr="00B74462" w:rsidP="00682CC1">
      <w:pPr>
        <w:bidi w:val="0"/>
        <w:spacing w:before="120"/>
        <w:ind w:firstLine="708"/>
        <w:jc w:val="both"/>
        <w:rPr>
          <w:rFonts w:ascii="Times New Roman" w:hAnsi="Times New Roman"/>
        </w:rPr>
      </w:pPr>
      <w:r w:rsidRPr="00B74462">
        <w:rPr>
          <w:rFonts w:ascii="Times New Roman" w:hAnsi="Times New Roman"/>
        </w:rPr>
        <w:t>Pri odhade sumy pokút za nelegálne zamestnávanie na obdobie rokov 2011 až 2014 sa vychádza z</w:t>
      </w:r>
    </w:p>
    <w:p w:rsidR="00682CC1" w:rsidRPr="00B74462" w:rsidP="00682CC1">
      <w:pPr>
        <w:numPr>
          <w:numId w:val="24"/>
        </w:numPr>
        <w:bidi w:val="0"/>
        <w:spacing w:before="120"/>
        <w:jc w:val="both"/>
        <w:rPr>
          <w:rFonts w:ascii="Times New Roman" w:hAnsi="Times New Roman"/>
        </w:rPr>
      </w:pPr>
      <w:r w:rsidRPr="00B74462">
        <w:rPr>
          <w:rFonts w:ascii="Times New Roman" w:hAnsi="Times New Roman"/>
        </w:rPr>
        <w:t>celkovej sumy pokút 555 800 eur uloženej v roku 2010,</w:t>
      </w:r>
    </w:p>
    <w:p w:rsidR="00682CC1" w:rsidRPr="00B74462" w:rsidP="00682CC1">
      <w:pPr>
        <w:numPr>
          <w:numId w:val="24"/>
        </w:numPr>
        <w:bidi w:val="0"/>
        <w:spacing w:before="120"/>
        <w:jc w:val="both"/>
        <w:rPr>
          <w:rFonts w:ascii="Times New Roman" w:hAnsi="Times New Roman"/>
        </w:rPr>
      </w:pPr>
      <w:r w:rsidRPr="00B74462">
        <w:rPr>
          <w:rFonts w:ascii="Times New Roman" w:hAnsi="Times New Roman"/>
        </w:rPr>
        <w:t>3% poklesu počtu prípadov nelegálneho zamestnávania ročne a následného poklesu počtu pokút,</w:t>
      </w:r>
    </w:p>
    <w:p w:rsidR="00682CC1" w:rsidRPr="00B74462" w:rsidP="00682CC1">
      <w:pPr>
        <w:numPr>
          <w:numId w:val="24"/>
        </w:numPr>
        <w:bidi w:val="0"/>
        <w:spacing w:before="120"/>
        <w:jc w:val="both"/>
        <w:rPr>
          <w:rFonts w:ascii="Times New Roman" w:hAnsi="Times New Roman"/>
        </w:rPr>
      </w:pPr>
      <w:r w:rsidRPr="00B74462">
        <w:rPr>
          <w:rFonts w:ascii="Times New Roman" w:hAnsi="Times New Roman"/>
        </w:rPr>
        <w:t>priemernej sumy uloženej pokuty, ktorá bude v rokoch 2011 a 2012 oscilovať okolo 2 400 eur a v rokoch 2013 a 2014 okolo sumy 2 550 eur.</w:t>
      </w: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V nasledujúcej tabuľke je </w:t>
      </w:r>
      <w:r>
        <w:rPr>
          <w:rFonts w:ascii="Times New Roman" w:hAnsi="Times New Roman"/>
        </w:rPr>
        <w:t xml:space="preserve">uvedený </w:t>
      </w:r>
      <w:r w:rsidRPr="00B13220">
        <w:rPr>
          <w:rFonts w:ascii="Times New Roman" w:hAnsi="Times New Roman"/>
        </w:rPr>
        <w:t xml:space="preserve">odhad sumy pokút uložených za nelegálne zamestnávanie </w:t>
      </w:r>
      <w:r>
        <w:rPr>
          <w:rFonts w:ascii="Times New Roman" w:hAnsi="Times New Roman"/>
        </w:rPr>
        <w:t>v rokoch 2011 až 2014 v porovnaní s rokom 2010:</w:t>
      </w:r>
    </w:p>
    <w:tbl>
      <w:tblPr>
        <w:tblStyle w:val="TableNormal"/>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1984"/>
        <w:gridCol w:w="1985"/>
        <w:gridCol w:w="1984"/>
        <w:gridCol w:w="1985"/>
      </w:tblGrid>
      <w:tr>
        <w:tblPrEx>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7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2011</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2012</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2013</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2014</w:t>
            </w:r>
          </w:p>
        </w:tc>
      </w:tr>
      <w:tr>
        <w:tblPrEx>
          <w:tblW w:w="9640" w:type="dxa"/>
          <w:tblInd w:w="-176" w:type="dxa"/>
          <w:tblLayout w:type="fixed"/>
          <w:tblLook w:val="00A0"/>
        </w:tblPrEx>
        <w:tc>
          <w:tcPr>
            <w:tcW w:w="17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sidRPr="00B13220">
              <w:rPr>
                <w:rFonts w:ascii="Times New Roman" w:hAnsi="Times New Roman"/>
                <w:b/>
              </w:rPr>
              <w:t xml:space="preserve">Počet pokút </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230</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223</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216</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210</w:t>
            </w:r>
          </w:p>
        </w:tc>
      </w:tr>
      <w:tr>
        <w:tblPrEx>
          <w:tblW w:w="9640" w:type="dxa"/>
          <w:tblInd w:w="-176" w:type="dxa"/>
          <w:tblLayout w:type="fixed"/>
          <w:tblLook w:val="00A0"/>
        </w:tblPrEx>
        <w:tc>
          <w:tcPr>
            <w:tcW w:w="17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sidRPr="00B13220">
              <w:rPr>
                <w:rFonts w:ascii="Times New Roman" w:hAnsi="Times New Roman"/>
                <w:b/>
              </w:rPr>
              <w:t>Suma pokút</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 xml:space="preserve">230 x 2 400 = 552 000 </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 xml:space="preserve">223 x 2 400 = </w:t>
            </w:r>
            <w:r>
              <w:rPr>
                <w:rFonts w:ascii="Times New Roman" w:hAnsi="Times New Roman"/>
                <w:sz w:val="20"/>
                <w:szCs w:val="20"/>
              </w:rPr>
              <w:t xml:space="preserve">       </w:t>
            </w:r>
            <w:r w:rsidRPr="003B4D9F">
              <w:rPr>
                <w:rFonts w:ascii="Times New Roman" w:hAnsi="Times New Roman"/>
                <w:sz w:val="20"/>
                <w:szCs w:val="20"/>
              </w:rPr>
              <w:t>535 200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216 x 2</w:t>
            </w:r>
            <w:r>
              <w:rPr>
                <w:rFonts w:ascii="Times New Roman" w:hAnsi="Times New Roman"/>
                <w:sz w:val="20"/>
                <w:szCs w:val="20"/>
              </w:rPr>
              <w:t xml:space="preserve"> 55</w:t>
            </w:r>
            <w:r w:rsidRPr="003B4D9F">
              <w:rPr>
                <w:rFonts w:ascii="Times New Roman" w:hAnsi="Times New Roman"/>
                <w:sz w:val="20"/>
                <w:szCs w:val="20"/>
              </w:rPr>
              <w:t xml:space="preserve">0 = </w:t>
            </w:r>
            <w:r>
              <w:rPr>
                <w:rFonts w:ascii="Times New Roman" w:hAnsi="Times New Roman"/>
                <w:sz w:val="20"/>
                <w:szCs w:val="20"/>
              </w:rPr>
              <w:t xml:space="preserve">       550 80</w:t>
            </w:r>
            <w:r w:rsidRPr="003B4D9F">
              <w:rPr>
                <w:rFonts w:ascii="Times New Roman" w:hAnsi="Times New Roman"/>
                <w:sz w:val="20"/>
                <w:szCs w:val="20"/>
              </w:rPr>
              <w:t>0</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Pr>
                <w:rFonts w:ascii="Times New Roman" w:hAnsi="Times New Roman"/>
                <w:sz w:val="20"/>
                <w:szCs w:val="20"/>
              </w:rPr>
              <w:t>210 x 2 550 = 535 500</w:t>
            </w:r>
          </w:p>
        </w:tc>
      </w:tr>
      <w:tr>
        <w:tblPrEx>
          <w:tblW w:w="9640" w:type="dxa"/>
          <w:tblInd w:w="-176" w:type="dxa"/>
          <w:tblLayout w:type="fixed"/>
          <w:tblLook w:val="00A0"/>
        </w:tblPrEx>
        <w:tc>
          <w:tcPr>
            <w:tcW w:w="1702"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rPr>
            </w:pPr>
            <w:r>
              <w:rPr>
                <w:rFonts w:ascii="Times New Roman" w:hAnsi="Times New Roman"/>
                <w:b/>
              </w:rPr>
              <w:t>Rozdiel sumy pokút v porovnaní s rokom 2010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sidRPr="003B4D9F">
              <w:rPr>
                <w:rFonts w:ascii="Times New Roman" w:hAnsi="Times New Roman"/>
                <w:sz w:val="20"/>
                <w:szCs w:val="20"/>
              </w:rPr>
              <w:t>555 80</w:t>
            </w:r>
            <w:r>
              <w:rPr>
                <w:rFonts w:ascii="Times New Roman" w:hAnsi="Times New Roman"/>
                <w:sz w:val="20"/>
                <w:szCs w:val="20"/>
              </w:rPr>
              <w:t>0</w:t>
            </w:r>
            <w:r w:rsidRPr="003B4D9F">
              <w:rPr>
                <w:rFonts w:ascii="Times New Roman" w:hAnsi="Times New Roman"/>
                <w:sz w:val="20"/>
                <w:szCs w:val="20"/>
              </w:rPr>
              <w:t xml:space="preserve"> – 552 000 = </w:t>
            </w:r>
            <w:r>
              <w:rPr>
                <w:rFonts w:ascii="Times New Roman" w:hAnsi="Times New Roman"/>
                <w:sz w:val="20"/>
                <w:szCs w:val="20"/>
              </w:rPr>
              <w:t xml:space="preserve">  </w:t>
            </w:r>
            <w:r w:rsidRPr="000E08D3">
              <w:rPr>
                <w:rFonts w:ascii="Times New Roman" w:hAnsi="Times New Roman"/>
                <w:b/>
                <w:sz w:val="20"/>
                <w:szCs w:val="20"/>
              </w:rPr>
              <w:t>– 3 800</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Pr>
                <w:rFonts w:ascii="Times New Roman" w:hAnsi="Times New Roman"/>
                <w:sz w:val="20"/>
                <w:szCs w:val="20"/>
              </w:rPr>
              <w:t xml:space="preserve">555 800 – 535 200 = </w:t>
            </w:r>
            <w:r w:rsidRPr="000E08D3">
              <w:rPr>
                <w:rFonts w:ascii="Times New Roman" w:hAnsi="Times New Roman"/>
                <w:b/>
                <w:sz w:val="20"/>
                <w:szCs w:val="20"/>
              </w:rPr>
              <w:t>– 20 600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ind w:left="34"/>
              <w:jc w:val="center"/>
              <w:rPr>
                <w:rFonts w:ascii="Times New Roman" w:hAnsi="Times New Roman"/>
                <w:sz w:val="20"/>
                <w:szCs w:val="20"/>
              </w:rPr>
            </w:pPr>
            <w:r>
              <w:rPr>
                <w:rFonts w:ascii="Times New Roman" w:hAnsi="Times New Roman"/>
                <w:sz w:val="20"/>
                <w:szCs w:val="20"/>
              </w:rPr>
              <w:t xml:space="preserve">555 800 </w:t>
            </w:r>
            <w:r w:rsidRPr="003B4D9F">
              <w:rPr>
                <w:rFonts w:ascii="Times New Roman" w:hAnsi="Times New Roman"/>
                <w:sz w:val="20"/>
                <w:szCs w:val="20"/>
              </w:rPr>
              <w:t>–</w:t>
            </w:r>
            <w:r>
              <w:rPr>
                <w:rFonts w:ascii="Times New Roman" w:hAnsi="Times New Roman"/>
                <w:sz w:val="20"/>
                <w:szCs w:val="20"/>
              </w:rPr>
              <w:t xml:space="preserve">  550 800 = </w:t>
            </w:r>
            <w:r w:rsidRPr="000E08D3">
              <w:rPr>
                <w:rFonts w:ascii="Times New Roman" w:hAnsi="Times New Roman"/>
                <w:b/>
                <w:sz w:val="20"/>
                <w:szCs w:val="20"/>
              </w:rPr>
              <w:t>– 5</w:t>
            </w:r>
            <w:r>
              <w:rPr>
                <w:rFonts w:ascii="Times New Roman" w:hAnsi="Times New Roman"/>
                <w:b/>
                <w:sz w:val="20"/>
                <w:szCs w:val="20"/>
              </w:rPr>
              <w:t xml:space="preserve"> 0</w:t>
            </w:r>
            <w:r w:rsidRPr="000E08D3">
              <w:rPr>
                <w:rFonts w:ascii="Times New Roman" w:hAnsi="Times New Roman"/>
                <w:b/>
                <w:sz w:val="20"/>
                <w:szCs w:val="20"/>
              </w:rPr>
              <w:t>00</w:t>
            </w:r>
          </w:p>
        </w:tc>
        <w:tc>
          <w:tcPr>
            <w:tcW w:w="1985" w:type="dxa"/>
            <w:tcBorders>
              <w:top w:val="single" w:sz="4" w:space="0" w:color="auto"/>
              <w:left w:val="single" w:sz="4" w:space="0" w:color="auto"/>
              <w:bottom w:val="single" w:sz="4" w:space="0" w:color="auto"/>
              <w:right w:val="single" w:sz="4" w:space="0" w:color="auto"/>
            </w:tcBorders>
            <w:textDirection w:val="lrTb"/>
            <w:vAlign w:val="center"/>
          </w:tcPr>
          <w:p w:rsidR="00682CC1" w:rsidRPr="003B4D9F" w:rsidP="00223D89">
            <w:pPr>
              <w:bidi w:val="0"/>
              <w:spacing w:before="120"/>
              <w:jc w:val="center"/>
              <w:rPr>
                <w:rFonts w:ascii="Times New Roman" w:hAnsi="Times New Roman"/>
                <w:sz w:val="20"/>
                <w:szCs w:val="20"/>
              </w:rPr>
            </w:pPr>
            <w:r>
              <w:rPr>
                <w:rFonts w:ascii="Times New Roman" w:hAnsi="Times New Roman"/>
                <w:sz w:val="20"/>
                <w:szCs w:val="20"/>
              </w:rPr>
              <w:t xml:space="preserve">555 800 – 535 500 = </w:t>
            </w:r>
            <w:r w:rsidRPr="000E08D3">
              <w:rPr>
                <w:rFonts w:ascii="Times New Roman" w:hAnsi="Times New Roman"/>
                <w:b/>
                <w:sz w:val="20"/>
                <w:szCs w:val="20"/>
              </w:rPr>
              <w:t xml:space="preserve">– </w:t>
            </w:r>
            <w:r>
              <w:rPr>
                <w:rFonts w:ascii="Times New Roman" w:hAnsi="Times New Roman"/>
                <w:b/>
                <w:sz w:val="20"/>
                <w:szCs w:val="20"/>
              </w:rPr>
              <w:t>20</w:t>
            </w:r>
            <w:r w:rsidRPr="000E08D3">
              <w:rPr>
                <w:rFonts w:ascii="Times New Roman" w:hAnsi="Times New Roman"/>
                <w:b/>
                <w:sz w:val="20"/>
                <w:szCs w:val="20"/>
              </w:rPr>
              <w:t xml:space="preserve"> 800</w:t>
            </w:r>
          </w:p>
        </w:tc>
      </w:tr>
    </w:tbl>
    <w:p w:rsidR="00682CC1" w:rsidRPr="00B13220" w:rsidP="00682CC1">
      <w:pPr>
        <w:bidi w:val="0"/>
        <w:spacing w:before="120"/>
        <w:ind w:firstLine="708"/>
        <w:jc w:val="both"/>
        <w:rPr>
          <w:rFonts w:ascii="Times New Roman" w:hAnsi="Times New Roman"/>
        </w:rPr>
      </w:pP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Tento odhadovaný vplyv </w:t>
      </w:r>
      <w:r>
        <w:rPr>
          <w:rFonts w:ascii="Times New Roman" w:hAnsi="Times New Roman"/>
        </w:rPr>
        <w:t xml:space="preserve">sumy </w:t>
      </w:r>
      <w:r w:rsidRPr="00B13220">
        <w:rPr>
          <w:rFonts w:ascii="Times New Roman" w:hAnsi="Times New Roman"/>
        </w:rPr>
        <w:t xml:space="preserve">pokút je pri daných predpokladoch </w:t>
      </w:r>
      <w:r>
        <w:rPr>
          <w:rFonts w:ascii="Times New Roman" w:hAnsi="Times New Roman"/>
        </w:rPr>
        <w:t>negatívny</w:t>
      </w:r>
      <w:r w:rsidRPr="00B13220">
        <w:rPr>
          <w:rFonts w:ascii="Times New Roman" w:hAnsi="Times New Roman"/>
        </w:rPr>
        <w:t xml:space="preserve"> pre verejné financie (štátny rozpočet) a súčasne je negatívny pre podnikateľskú sféru, ktorá tieto pokuty bude musieť zaplatiť, ak bude nelegálne zamestnávať.</w:t>
      </w:r>
    </w:p>
    <w:p w:rsidR="00682CC1" w:rsidRPr="00B13220" w:rsidP="00682CC1">
      <w:pPr>
        <w:bidi w:val="0"/>
        <w:spacing w:before="120"/>
        <w:jc w:val="both"/>
        <w:rPr>
          <w:rFonts w:ascii="Times New Roman" w:hAnsi="Times New Roman"/>
        </w:rPr>
      </w:pPr>
    </w:p>
    <w:p w:rsidR="00682CC1" w:rsidRPr="00B13220" w:rsidP="00682CC1">
      <w:pPr>
        <w:bidi w:val="0"/>
        <w:jc w:val="both"/>
        <w:rPr>
          <w:rFonts w:ascii="Times New Roman" w:hAnsi="Times New Roman"/>
          <w:b/>
          <w:bCs/>
        </w:rPr>
      </w:pPr>
      <w:r w:rsidRPr="00B13220">
        <w:rPr>
          <w:rFonts w:ascii="Times New Roman" w:hAnsi="Times New Roman"/>
          <w:b/>
          <w:bCs/>
        </w:rPr>
        <w:t>B. Vplyv dodatočných platieb za nelegálne zamestnávanie</w:t>
      </w: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Odhad vplyvov na verejné financie je založený na vyhodnotení počtov odhalených prípadov nelegálneho zamestnávania cudzincov v období od 1. 1. 2007 do 30. júna 2010 podľa doterajšej právnej úpravy nelegálnej práce a nelegálneho zamestnávania. </w:t>
      </w:r>
    </w:p>
    <w:p w:rsidR="00682CC1" w:rsidRPr="00B13220" w:rsidP="00682CC1">
      <w:pPr>
        <w:bidi w:val="0"/>
        <w:spacing w:before="120"/>
        <w:ind w:firstLine="708"/>
        <w:jc w:val="both"/>
        <w:rPr>
          <w:rFonts w:ascii="Times New Roman" w:hAnsi="Times New Roman"/>
        </w:rPr>
      </w:pPr>
      <w:r w:rsidRPr="00B13220">
        <w:rPr>
          <w:rFonts w:ascii="Times New Roman" w:hAnsi="Times New Roman"/>
        </w:rPr>
        <w:t>V hodnotenom období od 1. 1. 2007 do 30. júna 2010 Ústredie práce, sociálnych vecí a rodiny, úrady práce, sociálnych vecí a rodiny a inšpektoráty práce zistili nasledujúci počet nelegálne zamestnávaných cudzincov:</w:t>
      </w:r>
    </w:p>
    <w:tbl>
      <w:tblPr>
        <w:tblStyle w:val="TableNormal"/>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027"/>
        <w:gridCol w:w="1028"/>
        <w:gridCol w:w="1028"/>
        <w:gridCol w:w="1028"/>
        <w:gridCol w:w="1027"/>
        <w:gridCol w:w="1028"/>
        <w:gridCol w:w="1028"/>
        <w:gridCol w:w="1028"/>
      </w:tblGrid>
      <w:tr>
        <w:tblPrEx>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127" w:type="dxa"/>
            <w:vMerge w:val="restart"/>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p>
        </w:tc>
        <w:tc>
          <w:tcPr>
            <w:tcW w:w="2055" w:type="dxa"/>
            <w:gridSpan w:val="2"/>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2007</w:t>
            </w:r>
          </w:p>
        </w:tc>
        <w:tc>
          <w:tcPr>
            <w:tcW w:w="2056" w:type="dxa"/>
            <w:gridSpan w:val="2"/>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2008</w:t>
            </w:r>
          </w:p>
        </w:tc>
        <w:tc>
          <w:tcPr>
            <w:tcW w:w="2055" w:type="dxa"/>
            <w:gridSpan w:val="2"/>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2009</w:t>
            </w:r>
          </w:p>
        </w:tc>
        <w:tc>
          <w:tcPr>
            <w:tcW w:w="2056" w:type="dxa"/>
            <w:gridSpan w:val="2"/>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2010</w:t>
            </w:r>
          </w:p>
        </w:tc>
      </w:tr>
      <w:tr>
        <w:tblPrEx>
          <w:tblW w:w="10349" w:type="dxa"/>
          <w:tblInd w:w="-318" w:type="dxa"/>
          <w:tblLook w:val="00A0"/>
        </w:tblPrEx>
        <w:tc>
          <w:tcPr>
            <w:tcW w:w="2127" w:type="dxa"/>
            <w:vMerge/>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II. polrok</w:t>
            </w: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 polrok</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bCs/>
              </w:rPr>
              <w:t>II. polrok</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rPr>
            </w:pPr>
            <w:r w:rsidRPr="00B13220">
              <w:rPr>
                <w:rFonts w:ascii="Times New Roman" w:hAnsi="Times New Roman"/>
                <w:b/>
                <w:bCs/>
              </w:rPr>
              <w:t>Ústredie a úrady práce, sociálnych vecí a rodiny</w:t>
            </w: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23</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55</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10</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59</w:t>
            </w: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41</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28</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19</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20</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Inšpektoráty práce</w:t>
            </w: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21</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51</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31</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9</w:t>
            </w:r>
          </w:p>
        </w:tc>
        <w:tc>
          <w:tcPr>
            <w:tcW w:w="10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8</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19</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w:t>
            </w:r>
          </w:p>
        </w:tc>
        <w:tc>
          <w:tcPr>
            <w:tcW w:w="1028"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156</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Inšpektoráty práce spolu</w:t>
            </w:r>
          </w:p>
        </w:tc>
        <w:tc>
          <w:tcPr>
            <w:tcW w:w="8222" w:type="dxa"/>
            <w:gridSpan w:val="8"/>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299</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Inšpektoráty práce za rok</w:t>
            </w:r>
          </w:p>
        </w:tc>
        <w:tc>
          <w:tcPr>
            <w:tcW w:w="8222" w:type="dxa"/>
            <w:gridSpan w:val="8"/>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74,75</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Kontrolné orgány spolu</w:t>
            </w:r>
          </w:p>
        </w:tc>
        <w:tc>
          <w:tcPr>
            <w:tcW w:w="8222" w:type="dxa"/>
            <w:gridSpan w:val="8"/>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554</w:t>
            </w:r>
          </w:p>
        </w:tc>
      </w:tr>
      <w:tr>
        <w:tblPrEx>
          <w:tblW w:w="10349" w:type="dxa"/>
          <w:tblInd w:w="-318" w:type="dxa"/>
          <w:tblLook w:val="00A0"/>
        </w:tblPrEx>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rPr>
                <w:rFonts w:ascii="Times New Roman" w:hAnsi="Times New Roman"/>
                <w:b/>
                <w:bCs/>
              </w:rPr>
            </w:pPr>
            <w:r w:rsidRPr="00B13220">
              <w:rPr>
                <w:rFonts w:ascii="Times New Roman" w:hAnsi="Times New Roman"/>
                <w:b/>
                <w:bCs/>
              </w:rPr>
              <w:t xml:space="preserve">Kontrolné orgány spolu za rok </w:t>
            </w:r>
          </w:p>
        </w:tc>
        <w:tc>
          <w:tcPr>
            <w:tcW w:w="8222" w:type="dxa"/>
            <w:gridSpan w:val="8"/>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138,5</w:t>
            </w:r>
          </w:p>
        </w:tc>
      </w:tr>
    </w:tbl>
    <w:p w:rsidR="00682CC1" w:rsidRPr="00B13220" w:rsidP="00682CC1">
      <w:pPr>
        <w:bidi w:val="0"/>
        <w:spacing w:before="120"/>
        <w:ind w:firstLine="708"/>
        <w:jc w:val="both"/>
        <w:rPr>
          <w:rFonts w:ascii="Times New Roman" w:hAnsi="Times New Roman"/>
          <w:bCs/>
        </w:rPr>
      </w:pPr>
    </w:p>
    <w:p w:rsidR="00682CC1" w:rsidRPr="00B13220" w:rsidP="00682CC1">
      <w:pPr>
        <w:bidi w:val="0"/>
        <w:spacing w:before="120"/>
        <w:ind w:firstLine="708"/>
        <w:jc w:val="both"/>
        <w:rPr>
          <w:rFonts w:ascii="Times New Roman" w:hAnsi="Times New Roman"/>
          <w:bCs/>
        </w:rPr>
      </w:pPr>
      <w:r w:rsidRPr="00B13220">
        <w:rPr>
          <w:rFonts w:ascii="Times New Roman" w:hAnsi="Times New Roman"/>
          <w:bCs/>
        </w:rPr>
        <w:t xml:space="preserve">Len určitá časť z celkového počtu zistených nelegálne zamestnaných cudzincov  sú cudzinci, ktorí sa na území Slovenskej republiky zdržiavali neoprávnene bez platného povolenia na pobyt alebo iného oprávnenia na </w:t>
      </w:r>
      <w:r w:rsidRPr="00B13220">
        <w:rPr>
          <w:rFonts w:ascii="Times New Roman" w:hAnsi="Times New Roman"/>
        </w:rPr>
        <w:t>pobyt</w:t>
      </w:r>
      <w:r w:rsidRPr="00B13220">
        <w:rPr>
          <w:rFonts w:ascii="Times New Roman" w:hAnsi="Times New Roman"/>
          <w:bCs/>
        </w:rPr>
        <w:t xml:space="preserve">. Táto skutočnosť sa doteraz nesledovala. Na účely odhadu vplyvov možno predpokladať, že za jeden rok ich podiel tvorí asi 4/5 z celkového počtu zistených nelegálne zamestnávaných cudzincov. </w:t>
      </w:r>
    </w:p>
    <w:p w:rsidR="00682CC1" w:rsidRPr="00B13220" w:rsidP="00682CC1">
      <w:pPr>
        <w:bidi w:val="0"/>
        <w:spacing w:before="120"/>
        <w:ind w:firstLine="708"/>
        <w:jc w:val="both"/>
        <w:rPr>
          <w:rFonts w:ascii="Times New Roman" w:hAnsi="Times New Roman"/>
          <w:bCs/>
        </w:rPr>
      </w:pPr>
      <w:r w:rsidRPr="00B13220">
        <w:rPr>
          <w:rFonts w:ascii="Times New Roman" w:hAnsi="Times New Roman"/>
          <w:bCs/>
        </w:rPr>
        <w:t xml:space="preserve">Za jeden rok </w:t>
      </w:r>
      <w:r>
        <w:rPr>
          <w:rFonts w:ascii="Times New Roman" w:hAnsi="Times New Roman"/>
          <w:bCs/>
        </w:rPr>
        <w:t xml:space="preserve">orgány </w:t>
      </w:r>
      <w:r w:rsidRPr="00B13220">
        <w:rPr>
          <w:rFonts w:ascii="Times New Roman" w:hAnsi="Times New Roman"/>
          <w:bCs/>
        </w:rPr>
        <w:t>inšpekci</w:t>
      </w:r>
      <w:r>
        <w:rPr>
          <w:rFonts w:ascii="Times New Roman" w:hAnsi="Times New Roman"/>
          <w:bCs/>
        </w:rPr>
        <w:t>e</w:t>
      </w:r>
      <w:r w:rsidRPr="00B13220">
        <w:rPr>
          <w:rFonts w:ascii="Times New Roman" w:hAnsi="Times New Roman"/>
          <w:bCs/>
        </w:rPr>
        <w:t xml:space="preserve"> práce </w:t>
      </w:r>
      <w:r>
        <w:rPr>
          <w:rFonts w:ascii="Times New Roman" w:hAnsi="Times New Roman"/>
          <w:bCs/>
        </w:rPr>
        <w:t>zistili</w:t>
      </w:r>
      <w:r w:rsidRPr="00B13220">
        <w:rPr>
          <w:rFonts w:ascii="Times New Roman" w:hAnsi="Times New Roman"/>
          <w:bCs/>
        </w:rPr>
        <w:t xml:space="preserve"> priemerne </w:t>
      </w:r>
      <w:r>
        <w:rPr>
          <w:rFonts w:ascii="Times New Roman" w:hAnsi="Times New Roman"/>
          <w:bCs/>
        </w:rPr>
        <w:t xml:space="preserve">(74,75 x 4 : 5 =) </w:t>
      </w:r>
      <w:r w:rsidRPr="00B13220">
        <w:rPr>
          <w:rFonts w:ascii="Times New Roman" w:hAnsi="Times New Roman"/>
          <w:bCs/>
        </w:rPr>
        <w:t xml:space="preserve">60 štátnych príslušníkov krajín z nečlenských štátov Európskej únie, ktorí sa na území Slovenskej republiky nachádzajú neoprávnene a ktorých zamestnávatelia nelegálne zamestnávajú, tzn. ich zamestnávatelia budú musieť zaplatiť dodatočné platby podľa § </w:t>
      </w:r>
      <w:r>
        <w:rPr>
          <w:rFonts w:ascii="Times New Roman" w:hAnsi="Times New Roman"/>
          <w:bCs/>
        </w:rPr>
        <w:t>7a</w:t>
      </w:r>
      <w:r w:rsidRPr="00B13220">
        <w:rPr>
          <w:rFonts w:ascii="Times New Roman" w:hAnsi="Times New Roman"/>
          <w:bCs/>
        </w:rPr>
        <w:t xml:space="preserve"> návrhu zákona.</w:t>
      </w:r>
    </w:p>
    <w:p w:rsidR="00682CC1" w:rsidRPr="00B13220" w:rsidP="00682CC1">
      <w:pPr>
        <w:bidi w:val="0"/>
        <w:spacing w:before="120"/>
        <w:ind w:firstLine="708"/>
        <w:jc w:val="both"/>
        <w:rPr>
          <w:rFonts w:ascii="Times New Roman" w:hAnsi="Times New Roman"/>
          <w:bCs/>
        </w:rPr>
      </w:pPr>
      <w:r w:rsidRPr="00B13220">
        <w:rPr>
          <w:rFonts w:ascii="Times New Roman" w:hAnsi="Times New Roman"/>
          <w:bCs/>
        </w:rPr>
        <w:t xml:space="preserve">Pri odhade </w:t>
      </w:r>
      <w:r w:rsidRPr="00B13220">
        <w:rPr>
          <w:rFonts w:ascii="Times New Roman" w:hAnsi="Times New Roman"/>
        </w:rPr>
        <w:t>dodatočných</w:t>
      </w:r>
      <w:r w:rsidRPr="00B13220">
        <w:rPr>
          <w:rFonts w:ascii="Times New Roman" w:hAnsi="Times New Roman"/>
          <w:bCs/>
        </w:rPr>
        <w:t xml:space="preserve"> platieb, ktoré budú uplatňované od nadobudnutia účinnosti návrhu (20. júl 2011) možno predpokladať, že </w:t>
      </w:r>
    </w:p>
    <w:p w:rsidR="00682CC1" w:rsidRPr="00B13220" w:rsidP="00682CC1">
      <w:pPr>
        <w:numPr>
          <w:numId w:val="18"/>
        </w:numPr>
        <w:bidi w:val="0"/>
        <w:spacing w:before="120"/>
        <w:jc w:val="both"/>
        <w:rPr>
          <w:rFonts w:ascii="Times New Roman" w:hAnsi="Times New Roman"/>
          <w:bCs/>
        </w:rPr>
      </w:pPr>
      <w:r w:rsidRPr="00B13220">
        <w:rPr>
          <w:rFonts w:ascii="Times New Roman" w:hAnsi="Times New Roman"/>
          <w:bCs/>
        </w:rPr>
        <w:t>uplatňovanie pokút a dodatočných platieb bude pôsobiť preventívne v znižovaní počtu nelegálneho zamestnávania o cca 3 % ročne,</w:t>
      </w:r>
    </w:p>
    <w:p w:rsidR="00682CC1" w:rsidRPr="00B13220" w:rsidP="00682CC1">
      <w:pPr>
        <w:numPr>
          <w:numId w:val="18"/>
        </w:numPr>
        <w:bidi w:val="0"/>
        <w:spacing w:before="120"/>
        <w:jc w:val="both"/>
        <w:rPr>
          <w:rFonts w:ascii="Times New Roman" w:hAnsi="Times New Roman"/>
        </w:rPr>
      </w:pPr>
      <w:r w:rsidRPr="00B13220">
        <w:rPr>
          <w:rFonts w:ascii="Times New Roman" w:hAnsi="Times New Roman"/>
          <w:bCs/>
        </w:rPr>
        <w:t xml:space="preserve">pri dodatočných platbách sa bude uplatňovať predpoklad trojmesačnej dĺžky trvania nelegálneho zamestnávania a predpoklad dohodnutej mzdy vo výške ustanovenej minimálnej mesačnej mzdy, ktorá </w:t>
      </w:r>
      <w:r>
        <w:rPr>
          <w:rFonts w:ascii="Times New Roman" w:hAnsi="Times New Roman"/>
          <w:bCs/>
        </w:rPr>
        <w:t xml:space="preserve">sa bude meniť v dôsledku valorizačného mechanizmu, na účely tohto materiálu sa predpokladá, že bude </w:t>
      </w:r>
      <w:r w:rsidRPr="00B13220">
        <w:rPr>
          <w:rFonts w:ascii="Times New Roman" w:hAnsi="Times New Roman"/>
          <w:bCs/>
        </w:rPr>
        <w:t>stúpať ročne o cca 3% ,</w:t>
      </w:r>
    </w:p>
    <w:p w:rsidR="00682CC1" w:rsidRPr="00B13220" w:rsidP="00682CC1">
      <w:pPr>
        <w:numPr>
          <w:numId w:val="18"/>
        </w:numPr>
        <w:bidi w:val="0"/>
        <w:spacing w:before="120"/>
        <w:jc w:val="both"/>
        <w:rPr>
          <w:rFonts w:ascii="Times New Roman" w:hAnsi="Times New Roman"/>
        </w:rPr>
      </w:pPr>
      <w:r w:rsidRPr="00B13220">
        <w:rPr>
          <w:rFonts w:ascii="Times New Roman" w:hAnsi="Times New Roman"/>
        </w:rPr>
        <w:t>odvody sú vo výške 48,6% z minimálnej mzdy, z toho odvod na zdravotné poistenie je vo výške 14 %. Odvod dane z príjmu je vo výške 19%.</w:t>
      </w: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Dodatočné platby v eurách za jedného nelegálne zamestnávaného </w:t>
      </w:r>
      <w:r w:rsidRPr="00B13220">
        <w:rPr>
          <w:rFonts w:ascii="Times New Roman" w:hAnsi="Times New Roman"/>
          <w:bCs/>
        </w:rPr>
        <w:t>štátneho príslušníka krajiny z nečlenských štátov Európskej únie</w:t>
      </w:r>
      <w:r>
        <w:rPr>
          <w:rFonts w:ascii="Times New Roman" w:hAnsi="Times New Roman"/>
          <w:bCs/>
        </w:rPr>
        <w:t>, ktoré</w:t>
      </w:r>
      <w:r w:rsidRPr="00B13220">
        <w:rPr>
          <w:rFonts w:ascii="Times New Roman" w:hAnsi="Times New Roman"/>
        </w:rPr>
        <w:t xml:space="preserve"> s</w:t>
      </w:r>
      <w:r>
        <w:rPr>
          <w:rFonts w:ascii="Times New Roman" w:hAnsi="Times New Roman"/>
        </w:rPr>
        <w:t>a prejavia od nadobudnutia účinnosti návrhu zákona, s</w:t>
      </w:r>
      <w:r w:rsidRPr="00B13220">
        <w:rPr>
          <w:rFonts w:ascii="Times New Roman" w:hAnsi="Times New Roman"/>
        </w:rPr>
        <w:t>ú uvedené v nasledujúcej tabuľke:</w:t>
      </w:r>
    </w:p>
    <w:tbl>
      <w:tblPr>
        <w:tblStyle w:val="TableNormal"/>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9"/>
        <w:gridCol w:w="1913"/>
        <w:gridCol w:w="2056"/>
        <w:gridCol w:w="2055"/>
        <w:gridCol w:w="2056"/>
      </w:tblGrid>
      <w:tr>
        <w:tblPrEx>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p>
        </w:tc>
        <w:tc>
          <w:tcPr>
            <w:tcW w:w="1913"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center"/>
              <w:rPr>
                <w:rFonts w:ascii="Times New Roman" w:hAnsi="Times New Roman"/>
                <w:b/>
              </w:rPr>
            </w:pPr>
            <w:r w:rsidRPr="00B13220">
              <w:rPr>
                <w:rFonts w:ascii="Times New Roman" w:hAnsi="Times New Roman"/>
                <w:b/>
              </w:rPr>
              <w:t>2011</w:t>
            </w:r>
          </w:p>
        </w:tc>
        <w:tc>
          <w:tcPr>
            <w:tcW w:w="2056"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center"/>
              <w:rPr>
                <w:rFonts w:ascii="Times New Roman" w:hAnsi="Times New Roman"/>
                <w:b/>
              </w:rPr>
            </w:pPr>
            <w:r w:rsidRPr="00B13220">
              <w:rPr>
                <w:rFonts w:ascii="Times New Roman" w:hAnsi="Times New Roman"/>
                <w:b/>
              </w:rPr>
              <w:t>2012</w:t>
            </w:r>
          </w:p>
        </w:tc>
        <w:tc>
          <w:tcPr>
            <w:tcW w:w="205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center"/>
              <w:rPr>
                <w:rFonts w:ascii="Times New Roman" w:hAnsi="Times New Roman"/>
                <w:b/>
              </w:rPr>
            </w:pPr>
            <w:r w:rsidRPr="00B13220">
              <w:rPr>
                <w:rFonts w:ascii="Times New Roman" w:hAnsi="Times New Roman"/>
                <w:b/>
              </w:rPr>
              <w:t>2013</w:t>
            </w:r>
          </w:p>
        </w:tc>
        <w:tc>
          <w:tcPr>
            <w:tcW w:w="2056"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center"/>
              <w:rPr>
                <w:rFonts w:ascii="Times New Roman" w:hAnsi="Times New Roman"/>
                <w:b/>
              </w:rPr>
            </w:pPr>
            <w:r w:rsidRPr="00B13220">
              <w:rPr>
                <w:rFonts w:ascii="Times New Roman" w:hAnsi="Times New Roman"/>
                <w:b/>
              </w:rPr>
              <w:t>2014</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Minimálna mzda za mesiac</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317</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326,5</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336,3</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346,4</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 xml:space="preserve">Dodatočná platba do </w:t>
            </w:r>
            <w:r>
              <w:rPr>
                <w:rFonts w:ascii="Times New Roman" w:hAnsi="Times New Roman"/>
                <w:b/>
              </w:rPr>
              <w:t>štátneho rozpočtu</w:t>
            </w:r>
            <w:r w:rsidRPr="00B13220">
              <w:rPr>
                <w:rFonts w:ascii="Times New Roman" w:hAnsi="Times New Roman"/>
                <w:b/>
              </w:rPr>
              <w:t xml:space="preserve"> z minimálnej mzdy za mesiac</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317 x 0,486 = 151,4</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326,5 x 0,486 = 158,7</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336,3 x 0,486 = 163,4</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346,4 x 0,486 = 168,4</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Z toho dodatočná platba za odvod na zdravotné poistenie z minimálnej mzdy za mesiac</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317 x 0,14 = 44,4</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326,5 x 0,14 = 45,7</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336,3 x 0,14 = 47,1</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346, 4 x 0,14 = 48,5</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 xml:space="preserve">Dodatočná platba do </w:t>
            </w:r>
            <w:r>
              <w:rPr>
                <w:rFonts w:ascii="Times New Roman" w:hAnsi="Times New Roman"/>
                <w:b/>
              </w:rPr>
              <w:t>štátneho rozpočtu</w:t>
            </w:r>
            <w:r w:rsidRPr="00B13220">
              <w:rPr>
                <w:rFonts w:ascii="Times New Roman" w:hAnsi="Times New Roman"/>
                <w:b/>
              </w:rPr>
              <w:t xml:space="preserve"> za jedného nelegálne zamestnaného po dobu troch mesiacov</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151,4 x 3 = 454,2</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158,7 x 3 = 476,1</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163,4 x 3= 490,2</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168,4 x 3= 505,2</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Dodatočná platba za daň z príjmu za jedného nelegálne zamestnaného po dobu troch mesiacov</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454,2 x 0,19 = 86</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476,1 x 0,19 = 91</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490,2 x 0,19 = 93</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505,2 x 0,19 = 96</w:t>
            </w:r>
          </w:p>
        </w:tc>
      </w:tr>
      <w:tr>
        <w:tblPrEx>
          <w:tblW w:w="10349" w:type="dxa"/>
          <w:tblInd w:w="-318" w:type="dxa"/>
          <w:tblLook w:val="00A0"/>
        </w:tblPrEx>
        <w:tc>
          <w:tcPr>
            <w:tcW w:w="2269"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Dodatočná platba za odvod na zdravotné poistenie za nelegálne zamestnaného po dobu troch mesiacov</w:t>
            </w:r>
          </w:p>
        </w:tc>
        <w:tc>
          <w:tcPr>
            <w:tcW w:w="1913"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44,4 x 3 = 133</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45,7 x 3 = 137</w:t>
            </w:r>
          </w:p>
        </w:tc>
        <w:tc>
          <w:tcPr>
            <w:tcW w:w="205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47,1 x 3 = 141</w:t>
            </w:r>
          </w:p>
        </w:tc>
        <w:tc>
          <w:tcPr>
            <w:tcW w:w="205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48,5 x 3 = 146</w:t>
            </w:r>
          </w:p>
        </w:tc>
      </w:tr>
    </w:tbl>
    <w:p w:rsidR="00682CC1" w:rsidRPr="00B13220" w:rsidP="00682CC1">
      <w:pPr>
        <w:bidi w:val="0"/>
        <w:spacing w:before="120"/>
        <w:jc w:val="both"/>
        <w:rPr>
          <w:rFonts w:ascii="Times New Roman" w:hAnsi="Times New Roman"/>
        </w:rPr>
      </w:pP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Celkové dodatočné platby do verejných financií </w:t>
      </w:r>
      <w:r>
        <w:rPr>
          <w:rFonts w:ascii="Times New Roman" w:hAnsi="Times New Roman"/>
        </w:rPr>
        <w:t xml:space="preserve">(štátneho rozpočtu) </w:t>
      </w:r>
      <w:r w:rsidRPr="00B13220">
        <w:rPr>
          <w:rFonts w:ascii="Times New Roman" w:hAnsi="Times New Roman"/>
        </w:rPr>
        <w:t xml:space="preserve">v eurách v nasledujúcich rokoch za nelegálne zamestnávaných </w:t>
      </w:r>
      <w:r w:rsidRPr="00B13220">
        <w:rPr>
          <w:rFonts w:ascii="Times New Roman" w:hAnsi="Times New Roman"/>
          <w:bCs/>
        </w:rPr>
        <w:t>štátnych príslušníkov nečlenských štátov Európskej únie, ktorí sa neoprávnene zdržiavajú na území Slovenskej republiky a sú nelegálne zamestnávaní,</w:t>
      </w:r>
      <w:r w:rsidRPr="00B13220">
        <w:rPr>
          <w:rFonts w:ascii="Times New Roman" w:hAnsi="Times New Roman"/>
        </w:rPr>
        <w:t xml:space="preserve"> sa predpokladajú </w:t>
      </w:r>
      <w:r>
        <w:rPr>
          <w:rFonts w:ascii="Times New Roman" w:hAnsi="Times New Roman"/>
        </w:rPr>
        <w:t xml:space="preserve">v rozsahu uvedenom v </w:t>
      </w:r>
      <w:r w:rsidRPr="00B13220">
        <w:rPr>
          <w:rFonts w:ascii="Times New Roman" w:hAnsi="Times New Roman"/>
        </w:rPr>
        <w:t>nasledujúcej tabuľk</w:t>
      </w:r>
      <w:r>
        <w:rPr>
          <w:rFonts w:ascii="Times New Roman" w:hAnsi="Times New Roman"/>
        </w:rPr>
        <w:t>e</w:t>
      </w:r>
      <w:r w:rsidRPr="00B13220">
        <w:rPr>
          <w:rFonts w:ascii="Times New Roman" w:hAnsi="Times New Roman"/>
        </w:rPr>
        <w:t>:</w:t>
      </w:r>
    </w:p>
    <w:tbl>
      <w:tblPr>
        <w:tblStyle w:val="TableNormal"/>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126"/>
        <w:gridCol w:w="2126"/>
        <w:gridCol w:w="2126"/>
        <w:gridCol w:w="2127"/>
      </w:tblGrid>
      <w:tr>
        <w:tblPrEx>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center"/>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2011</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2012</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2013</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b/>
              </w:rPr>
              <w:t>2014</w:t>
            </w:r>
          </w:p>
        </w:tc>
      </w:tr>
      <w:tr>
        <w:tblPrEx>
          <w:tblW w:w="10490" w:type="dxa"/>
          <w:tblInd w:w="-459" w:type="dxa"/>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Počet nelegálne zamestnávaných</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3</w:t>
            </w:r>
            <w:r w:rsidRPr="00B13220">
              <w:rPr>
                <w:rFonts w:ascii="Times New Roman" w:hAnsi="Times New Roman"/>
              </w:rPr>
              <w:t>0</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58</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56</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54</w:t>
            </w:r>
          </w:p>
        </w:tc>
      </w:tr>
      <w:tr>
        <w:tblPrEx>
          <w:tblW w:w="10490" w:type="dxa"/>
          <w:tblInd w:w="-459" w:type="dxa"/>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 xml:space="preserve">Dodatočná platba do </w:t>
            </w:r>
            <w:r>
              <w:rPr>
                <w:rFonts w:ascii="Times New Roman" w:hAnsi="Times New Roman"/>
                <w:b/>
              </w:rPr>
              <w:t>štátneho rozpočtu</w:t>
            </w:r>
            <w:r w:rsidRPr="00B13220">
              <w:rPr>
                <w:rFonts w:ascii="Times New Roman" w:hAnsi="Times New Roman"/>
                <w:b/>
              </w:rPr>
              <w:t xml:space="preserve"> spolu </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3</w:t>
            </w:r>
            <w:r w:rsidRPr="00B13220">
              <w:rPr>
                <w:rFonts w:ascii="Times New Roman" w:hAnsi="Times New Roman"/>
              </w:rPr>
              <w:t xml:space="preserve">0 x 454,2 =        </w:t>
            </w:r>
            <w:r>
              <w:rPr>
                <w:rFonts w:ascii="Times New Roman" w:hAnsi="Times New Roman"/>
              </w:rPr>
              <w:t>13 626</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58 x 476,1 =        27 614</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56 x 490,2 =        27 451</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54 x 505,2 =        27 281</w:t>
            </w:r>
          </w:p>
        </w:tc>
      </w:tr>
      <w:tr>
        <w:tblPrEx>
          <w:tblW w:w="10490" w:type="dxa"/>
          <w:tblInd w:w="-459" w:type="dxa"/>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Dodatočná platba za daň z príjmu spolu</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3</w:t>
            </w:r>
            <w:r w:rsidRPr="00B13220">
              <w:rPr>
                <w:rFonts w:ascii="Times New Roman" w:hAnsi="Times New Roman"/>
              </w:rPr>
              <w:t xml:space="preserve">0 x 86 = </w:t>
            </w:r>
            <w:r>
              <w:rPr>
                <w:rFonts w:ascii="Times New Roman" w:hAnsi="Times New Roman"/>
                <w:b/>
              </w:rPr>
              <w:t>2 580</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58 x 91 = </w:t>
            </w:r>
            <w:r w:rsidRPr="00B13220">
              <w:rPr>
                <w:rFonts w:ascii="Times New Roman" w:hAnsi="Times New Roman"/>
                <w:b/>
              </w:rPr>
              <w:t>5 278</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56 x 93 = </w:t>
            </w:r>
            <w:r w:rsidRPr="00B13220">
              <w:rPr>
                <w:rFonts w:ascii="Times New Roman" w:hAnsi="Times New Roman"/>
                <w:b/>
              </w:rPr>
              <w:t>5 208</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54 x 96 = </w:t>
            </w:r>
            <w:r w:rsidRPr="00B13220">
              <w:rPr>
                <w:rFonts w:ascii="Times New Roman" w:hAnsi="Times New Roman"/>
                <w:b/>
              </w:rPr>
              <w:t>5 184</w:t>
            </w:r>
          </w:p>
        </w:tc>
      </w:tr>
      <w:tr>
        <w:tblPrEx>
          <w:tblW w:w="10490" w:type="dxa"/>
          <w:tblInd w:w="-459" w:type="dxa"/>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 xml:space="preserve">Dodatočná platba do </w:t>
            </w:r>
            <w:r>
              <w:rPr>
                <w:rFonts w:ascii="Times New Roman" w:hAnsi="Times New Roman"/>
                <w:b/>
              </w:rPr>
              <w:t>štátneho rozpočtu</w:t>
            </w:r>
            <w:r w:rsidRPr="00B13220">
              <w:rPr>
                <w:rFonts w:ascii="Times New Roman" w:hAnsi="Times New Roman"/>
                <w:b/>
              </w:rPr>
              <w:t xml:space="preserve"> a dodatočná platba za daň z príjmu spolu</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Pr>
                <w:rFonts w:ascii="Times New Roman" w:hAnsi="Times New Roman"/>
              </w:rPr>
              <w:t xml:space="preserve"> 13 626 + 2 580</w:t>
            </w:r>
            <w:r w:rsidRPr="00B13220">
              <w:rPr>
                <w:rFonts w:ascii="Times New Roman" w:hAnsi="Times New Roman"/>
              </w:rPr>
              <w:t xml:space="preserve"> =  </w:t>
            </w:r>
            <w:r>
              <w:rPr>
                <w:rFonts w:ascii="Times New Roman" w:hAnsi="Times New Roman"/>
                <w:b/>
              </w:rPr>
              <w:t>16 206</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27 614 + 5 278 = </w:t>
            </w:r>
            <w:r w:rsidRPr="00B13220">
              <w:rPr>
                <w:rFonts w:ascii="Times New Roman" w:hAnsi="Times New Roman"/>
                <w:b/>
              </w:rPr>
              <w:t>32 892</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rPr>
              <w:t>27 451+ 5 208</w:t>
            </w:r>
            <w:r w:rsidRPr="00B13220">
              <w:rPr>
                <w:rFonts w:ascii="Times New Roman" w:hAnsi="Times New Roman"/>
                <w:b/>
              </w:rPr>
              <w:t xml:space="preserve"> =  32 659</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sidRPr="00B13220">
              <w:rPr>
                <w:rFonts w:ascii="Times New Roman" w:hAnsi="Times New Roman"/>
              </w:rPr>
              <w:t>27 281+ 5 184</w:t>
            </w:r>
            <w:r w:rsidRPr="00B13220">
              <w:rPr>
                <w:rFonts w:ascii="Times New Roman" w:hAnsi="Times New Roman"/>
                <w:b/>
              </w:rPr>
              <w:t xml:space="preserve"> </w:t>
            </w:r>
            <w:r w:rsidRPr="00B13220">
              <w:rPr>
                <w:rFonts w:ascii="Times New Roman" w:hAnsi="Times New Roman"/>
              </w:rPr>
              <w:t>=</w:t>
            </w:r>
            <w:r w:rsidRPr="00B13220">
              <w:rPr>
                <w:rFonts w:ascii="Times New Roman" w:hAnsi="Times New Roman"/>
                <w:b/>
              </w:rPr>
              <w:t xml:space="preserve">  32 465</w:t>
            </w:r>
          </w:p>
        </w:tc>
      </w:tr>
      <w:tr>
        <w:tblPrEx>
          <w:tblW w:w="10490" w:type="dxa"/>
          <w:tblInd w:w="-459" w:type="dxa"/>
          <w:tblLook w:val="00A0"/>
        </w:tblPrEx>
        <w:tc>
          <w:tcPr>
            <w:tcW w:w="1985"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rPr>
                <w:rFonts w:ascii="Times New Roman" w:hAnsi="Times New Roman"/>
                <w:b/>
              </w:rPr>
            </w:pPr>
            <w:r w:rsidRPr="00B13220">
              <w:rPr>
                <w:rFonts w:ascii="Times New Roman" w:hAnsi="Times New Roman"/>
                <w:b/>
              </w:rPr>
              <w:t xml:space="preserve">Dodatočná platba za odvod na zdravotné poistenie </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3</w:t>
            </w:r>
            <w:r w:rsidRPr="00B13220">
              <w:rPr>
                <w:rFonts w:ascii="Times New Roman" w:hAnsi="Times New Roman"/>
              </w:rPr>
              <w:t xml:space="preserve">0 x 133 = </w:t>
            </w:r>
            <w:r>
              <w:rPr>
                <w:rFonts w:ascii="Times New Roman" w:hAnsi="Times New Roman"/>
                <w:b/>
              </w:rPr>
              <w:t>3 990</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58 x 137 = </w:t>
            </w:r>
            <w:r w:rsidRPr="00B13220">
              <w:rPr>
                <w:rFonts w:ascii="Times New Roman" w:hAnsi="Times New Roman"/>
                <w:b/>
              </w:rPr>
              <w:t>7 946</w:t>
            </w:r>
          </w:p>
        </w:tc>
        <w:tc>
          <w:tcPr>
            <w:tcW w:w="212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56 x 141 = </w:t>
            </w:r>
            <w:r w:rsidRPr="00B13220">
              <w:rPr>
                <w:rFonts w:ascii="Times New Roman" w:hAnsi="Times New Roman"/>
                <w:b/>
              </w:rPr>
              <w:t>7 896</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 xml:space="preserve">54 x 146 = </w:t>
            </w:r>
            <w:r w:rsidRPr="00B13220">
              <w:rPr>
                <w:rFonts w:ascii="Times New Roman" w:hAnsi="Times New Roman"/>
                <w:b/>
              </w:rPr>
              <w:t>7 884</w:t>
            </w:r>
          </w:p>
        </w:tc>
      </w:tr>
    </w:tbl>
    <w:p w:rsidR="00682CC1" w:rsidRPr="00B13220" w:rsidP="00682CC1">
      <w:pPr>
        <w:bidi w:val="0"/>
        <w:spacing w:before="120"/>
        <w:ind w:firstLine="708"/>
        <w:jc w:val="both"/>
        <w:rPr>
          <w:rFonts w:ascii="Times New Roman" w:hAnsi="Times New Roman"/>
        </w:rPr>
      </w:pPr>
    </w:p>
    <w:p w:rsidR="00682CC1" w:rsidRPr="00B13220" w:rsidP="00682CC1">
      <w:pPr>
        <w:bidi w:val="0"/>
        <w:spacing w:before="120"/>
        <w:ind w:firstLine="708"/>
        <w:jc w:val="both"/>
        <w:rPr>
          <w:rFonts w:ascii="Times New Roman" w:hAnsi="Times New Roman"/>
        </w:rPr>
      </w:pPr>
      <w:r w:rsidRPr="00B13220">
        <w:rPr>
          <w:rFonts w:ascii="Times New Roman" w:hAnsi="Times New Roman"/>
        </w:rPr>
        <w:t xml:space="preserve">Suma dodatočných platieb do verejných financií a dodatočných platieb za daň z príjmu podľa návrhu zákona je príjmom verejných financií </w:t>
      </w:r>
      <w:r>
        <w:rPr>
          <w:rFonts w:ascii="Times New Roman" w:hAnsi="Times New Roman"/>
        </w:rPr>
        <w:t xml:space="preserve">(štátneho rozpočtu) </w:t>
      </w:r>
      <w:r w:rsidRPr="00B13220">
        <w:rPr>
          <w:rFonts w:ascii="Times New Roman" w:hAnsi="Times New Roman"/>
        </w:rPr>
        <w:t xml:space="preserve">a súčasne je, spolu s úhradou nevyplatenej dohodnutej mzdy pre nelegálne zamestnávanú fyzickú osobu, výdavkom pre podnikateľské prostredie – zamestnávateľov, ktorí </w:t>
      </w:r>
      <w:r>
        <w:rPr>
          <w:rFonts w:ascii="Times New Roman" w:hAnsi="Times New Roman"/>
        </w:rPr>
        <w:t xml:space="preserve">budú </w:t>
      </w:r>
      <w:r w:rsidRPr="00B13220">
        <w:rPr>
          <w:rFonts w:ascii="Times New Roman" w:hAnsi="Times New Roman"/>
        </w:rPr>
        <w:t>nelegálne zamestnáva</w:t>
      </w:r>
      <w:r>
        <w:rPr>
          <w:rFonts w:ascii="Times New Roman" w:hAnsi="Times New Roman"/>
        </w:rPr>
        <w:t>ť</w:t>
      </w:r>
      <w:r w:rsidRPr="00B13220">
        <w:rPr>
          <w:rFonts w:ascii="Times New Roman" w:hAnsi="Times New Roman"/>
        </w:rPr>
        <w:t xml:space="preserve"> </w:t>
      </w:r>
      <w:r w:rsidRPr="00B13220">
        <w:rPr>
          <w:rFonts w:ascii="Times New Roman" w:hAnsi="Times New Roman"/>
          <w:bCs/>
        </w:rPr>
        <w:t xml:space="preserve">štátnych príslušníkov nečlenských štátov Európskej únie, ktorí sa </w:t>
      </w:r>
      <w:r>
        <w:rPr>
          <w:rFonts w:ascii="Times New Roman" w:hAnsi="Times New Roman"/>
          <w:bCs/>
        </w:rPr>
        <w:t xml:space="preserve">budú </w:t>
      </w:r>
      <w:r w:rsidRPr="00B13220">
        <w:rPr>
          <w:rFonts w:ascii="Times New Roman" w:hAnsi="Times New Roman"/>
          <w:bCs/>
        </w:rPr>
        <w:t>neoprávnene zdržiava</w:t>
      </w:r>
      <w:r>
        <w:rPr>
          <w:rFonts w:ascii="Times New Roman" w:hAnsi="Times New Roman"/>
          <w:bCs/>
        </w:rPr>
        <w:t xml:space="preserve">ť </w:t>
      </w:r>
      <w:r w:rsidRPr="00B13220">
        <w:rPr>
          <w:rFonts w:ascii="Times New Roman" w:hAnsi="Times New Roman"/>
          <w:bCs/>
        </w:rPr>
        <w:t>na území Slovenskej republiky</w:t>
      </w:r>
      <w:r w:rsidRPr="00B13220">
        <w:rPr>
          <w:rFonts w:ascii="Times New Roman" w:hAnsi="Times New Roman"/>
        </w:rPr>
        <w:t>. </w:t>
      </w:r>
    </w:p>
    <w:p w:rsidR="00682CC1" w:rsidRPr="00B13220" w:rsidP="00682CC1">
      <w:pPr>
        <w:bidi w:val="0"/>
        <w:jc w:val="both"/>
        <w:rPr>
          <w:rFonts w:ascii="Times New Roman" w:hAnsi="Times New Roman"/>
        </w:rPr>
      </w:pPr>
    </w:p>
    <w:p w:rsidR="00682CC1" w:rsidRPr="00B13220" w:rsidP="00682CC1">
      <w:pPr>
        <w:bidi w:val="0"/>
        <w:spacing w:before="120"/>
        <w:jc w:val="both"/>
        <w:rPr>
          <w:rFonts w:ascii="Times New Roman" w:hAnsi="Times New Roman"/>
          <w:b/>
          <w:bCs/>
        </w:rPr>
      </w:pPr>
      <w:r w:rsidRPr="00B13220">
        <w:rPr>
          <w:rFonts w:ascii="Times New Roman" w:hAnsi="Times New Roman"/>
          <w:bCs/>
        </w:rPr>
        <w:t xml:space="preserve">C. </w:t>
      </w:r>
      <w:r w:rsidRPr="00B13220">
        <w:rPr>
          <w:rFonts w:ascii="Times New Roman" w:hAnsi="Times New Roman"/>
          <w:b/>
        </w:rPr>
        <w:t xml:space="preserve">Celkové </w:t>
      </w:r>
      <w:r w:rsidRPr="00B13220">
        <w:rPr>
          <w:rFonts w:ascii="Times New Roman" w:hAnsi="Times New Roman"/>
          <w:b/>
          <w:bCs/>
        </w:rPr>
        <w:t>vplyvy na verejné financie</w:t>
      </w:r>
    </w:p>
    <w:p w:rsidR="00682CC1" w:rsidP="00682CC1">
      <w:pPr>
        <w:bidi w:val="0"/>
        <w:spacing w:before="120"/>
        <w:ind w:firstLine="708"/>
        <w:jc w:val="both"/>
        <w:rPr>
          <w:rFonts w:ascii="Times New Roman" w:hAnsi="Times New Roman"/>
          <w:bCs/>
        </w:rPr>
      </w:pPr>
      <w:r w:rsidRPr="00B13220">
        <w:rPr>
          <w:rFonts w:ascii="Times New Roman" w:hAnsi="Times New Roman"/>
        </w:rPr>
        <w:t>Zhrnutie odhadovaných vplyvov pokuty za nelegálne zamestnávanie podľa bodu A a v</w:t>
      </w:r>
      <w:r w:rsidRPr="00B13220">
        <w:rPr>
          <w:rFonts w:ascii="Times New Roman" w:hAnsi="Times New Roman"/>
          <w:bCs/>
        </w:rPr>
        <w:t xml:space="preserve">plyvov dodatočných platieb do verejných financií </w:t>
      </w:r>
      <w:r>
        <w:rPr>
          <w:rFonts w:ascii="Times New Roman" w:hAnsi="Times New Roman"/>
          <w:bCs/>
        </w:rPr>
        <w:t xml:space="preserve">(štátneho rozpočtu) </w:t>
      </w:r>
      <w:r w:rsidRPr="00B13220">
        <w:rPr>
          <w:rFonts w:ascii="Times New Roman" w:hAnsi="Times New Roman"/>
          <w:bCs/>
        </w:rPr>
        <w:t>za nelegálne zamestnávanie podľa bodu B je vyjadrené v nasledujúcej tabuľke:</w:t>
      </w:r>
    </w:p>
    <w:p w:rsidR="00682CC1" w:rsidRPr="00B13220" w:rsidP="00682CC1">
      <w:pPr>
        <w:bidi w:val="0"/>
        <w:spacing w:before="120"/>
        <w:ind w:firstLine="708"/>
        <w:jc w:val="both"/>
        <w:rPr>
          <w:rFonts w:ascii="Times New Roman" w:hAnsi="Times New Roman"/>
          <w:bCs/>
        </w:rPr>
      </w:pPr>
    </w:p>
    <w:tbl>
      <w:tblPr>
        <w:tblStyle w:val="TableNormal"/>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1736"/>
        <w:gridCol w:w="1737"/>
        <w:gridCol w:w="1736"/>
        <w:gridCol w:w="1737"/>
      </w:tblGrid>
      <w:tr>
        <w:tblPrEx>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694"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2011</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2012</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2013</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2014</w:t>
            </w:r>
          </w:p>
        </w:tc>
      </w:tr>
      <w:tr>
        <w:tblPrEx>
          <w:tblW w:w="9640" w:type="dxa"/>
          <w:tblInd w:w="-176" w:type="dxa"/>
          <w:tblLook w:val="00A0"/>
        </w:tblPrEx>
        <w:tc>
          <w:tcPr>
            <w:tcW w:w="2694"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rPr>
                <w:rFonts w:ascii="Times New Roman" w:hAnsi="Times New Roman"/>
                <w:bCs/>
              </w:rPr>
            </w:pPr>
            <w:r w:rsidRPr="00B13220">
              <w:rPr>
                <w:rFonts w:ascii="Times New Roman" w:hAnsi="Times New Roman"/>
                <w:bCs/>
              </w:rPr>
              <w:t>Vplyv pokuty za nelegálne zamestnávanie (v eurách)</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ind w:left="34"/>
              <w:jc w:val="center"/>
              <w:rPr>
                <w:rFonts w:ascii="Times New Roman" w:hAnsi="Times New Roman"/>
              </w:rPr>
            </w:pPr>
            <w:r>
              <w:rPr>
                <w:rFonts w:ascii="Times New Roman" w:hAnsi="Times New Roman"/>
              </w:rPr>
              <w:t>-3 800</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-20 600</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-5 000</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ind w:left="70"/>
              <w:jc w:val="center"/>
              <w:rPr>
                <w:rFonts w:ascii="Times New Roman" w:hAnsi="Times New Roman"/>
              </w:rPr>
            </w:pPr>
            <w:r>
              <w:rPr>
                <w:rFonts w:ascii="Times New Roman" w:hAnsi="Times New Roman"/>
              </w:rPr>
              <w:t>-20 800</w:t>
            </w:r>
          </w:p>
        </w:tc>
      </w:tr>
      <w:tr>
        <w:tblPrEx>
          <w:tblW w:w="9640" w:type="dxa"/>
          <w:tblInd w:w="-176" w:type="dxa"/>
          <w:tblLook w:val="00A0"/>
        </w:tblPrEx>
        <w:tc>
          <w:tcPr>
            <w:tcW w:w="2694"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rPr>
                <w:rFonts w:ascii="Times New Roman" w:hAnsi="Times New Roman"/>
                <w:bCs/>
              </w:rPr>
            </w:pPr>
            <w:r w:rsidRPr="00B13220">
              <w:rPr>
                <w:rFonts w:ascii="Times New Roman" w:hAnsi="Times New Roman"/>
              </w:rPr>
              <w:t xml:space="preserve">Vplyv dodatočných platieb do </w:t>
            </w:r>
            <w:r>
              <w:rPr>
                <w:rFonts w:ascii="Times New Roman" w:hAnsi="Times New Roman"/>
              </w:rPr>
              <w:t>štátneho rozpočtu</w:t>
            </w:r>
            <w:r w:rsidRPr="00B13220">
              <w:rPr>
                <w:rFonts w:ascii="Times New Roman" w:hAnsi="Times New Roman"/>
              </w:rPr>
              <w:t xml:space="preserve"> a dodatočných platieb za daň z príjmu </w:t>
            </w:r>
            <w:r w:rsidRPr="00B13220">
              <w:rPr>
                <w:rFonts w:ascii="Times New Roman" w:hAnsi="Times New Roman"/>
                <w:bCs/>
              </w:rPr>
              <w:t>(v eurách)</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+16 206</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+32 892</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+32 659</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sidRPr="00B13220">
              <w:rPr>
                <w:rFonts w:ascii="Times New Roman" w:hAnsi="Times New Roman"/>
              </w:rPr>
              <w:t>+32 465</w:t>
            </w:r>
          </w:p>
        </w:tc>
      </w:tr>
      <w:tr>
        <w:tblPrEx>
          <w:tblW w:w="9640" w:type="dxa"/>
          <w:tblInd w:w="-176" w:type="dxa"/>
          <w:tblLook w:val="00A0"/>
        </w:tblPrEx>
        <w:tc>
          <w:tcPr>
            <w:tcW w:w="2694" w:type="dxa"/>
            <w:tcBorders>
              <w:top w:val="single" w:sz="4" w:space="0" w:color="auto"/>
              <w:left w:val="single" w:sz="4" w:space="0" w:color="auto"/>
              <w:bottom w:val="single" w:sz="4" w:space="0" w:color="auto"/>
              <w:right w:val="single" w:sz="4" w:space="0" w:color="auto"/>
            </w:tcBorders>
            <w:textDirection w:val="lrTb"/>
            <w:vAlign w:val="top"/>
          </w:tcPr>
          <w:p w:rsidR="00682CC1" w:rsidRPr="00B13220" w:rsidP="00223D89">
            <w:pPr>
              <w:bidi w:val="0"/>
              <w:spacing w:before="120"/>
              <w:jc w:val="both"/>
              <w:rPr>
                <w:rFonts w:ascii="Times New Roman" w:hAnsi="Times New Roman"/>
                <w:bCs/>
              </w:rPr>
            </w:pPr>
            <w:r w:rsidRPr="00B13220">
              <w:rPr>
                <w:rFonts w:ascii="Times New Roman" w:hAnsi="Times New Roman"/>
                <w:b/>
                <w:bCs/>
              </w:rPr>
              <w:t xml:space="preserve">Spolu vplyv na </w:t>
            </w:r>
            <w:r>
              <w:rPr>
                <w:rFonts w:ascii="Times New Roman" w:hAnsi="Times New Roman"/>
                <w:b/>
                <w:bCs/>
              </w:rPr>
              <w:t>štátny rozpočet</w:t>
            </w:r>
            <w:r w:rsidRPr="00B13220">
              <w:rPr>
                <w:rFonts w:ascii="Times New Roman" w:hAnsi="Times New Roman"/>
                <w:b/>
                <w:bCs/>
              </w:rPr>
              <w:t xml:space="preserve"> </w:t>
            </w:r>
            <w:r w:rsidRPr="00B13220">
              <w:rPr>
                <w:rFonts w:ascii="Times New Roman" w:hAnsi="Times New Roman"/>
                <w:bCs/>
              </w:rPr>
              <w:t>(v eurách)</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color w:val="000000"/>
              </w:rPr>
            </w:pPr>
            <w:r>
              <w:rPr>
                <w:rFonts w:ascii="Times New Roman" w:hAnsi="Times New Roman"/>
                <w:b/>
                <w:color w:val="000000"/>
              </w:rPr>
              <w:t>+12 406</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Pr>
                <w:rFonts w:ascii="Times New Roman" w:hAnsi="Times New Roman"/>
                <w:b/>
                <w:bCs/>
              </w:rPr>
              <w:t>+12 292</w:t>
            </w:r>
          </w:p>
        </w:tc>
        <w:tc>
          <w:tcPr>
            <w:tcW w:w="1736"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bCs/>
              </w:rPr>
            </w:pPr>
            <w:r w:rsidRPr="00B13220">
              <w:rPr>
                <w:rFonts w:ascii="Times New Roman" w:hAnsi="Times New Roman"/>
                <w:b/>
                <w:bCs/>
              </w:rPr>
              <w:t>+</w:t>
            </w:r>
            <w:r>
              <w:rPr>
                <w:rFonts w:ascii="Times New Roman" w:hAnsi="Times New Roman"/>
                <w:b/>
                <w:bCs/>
              </w:rPr>
              <w:t>27 659</w:t>
            </w:r>
          </w:p>
        </w:tc>
        <w:tc>
          <w:tcPr>
            <w:tcW w:w="1737" w:type="dxa"/>
            <w:tcBorders>
              <w:top w:val="single" w:sz="4" w:space="0" w:color="auto"/>
              <w:left w:val="single" w:sz="4" w:space="0" w:color="auto"/>
              <w:bottom w:val="single" w:sz="4" w:space="0" w:color="auto"/>
              <w:right w:val="single" w:sz="4" w:space="0" w:color="auto"/>
            </w:tcBorders>
            <w:textDirection w:val="lrTb"/>
            <w:vAlign w:val="center"/>
          </w:tcPr>
          <w:p w:rsidR="00682CC1" w:rsidRPr="00AE740F" w:rsidP="00223D89">
            <w:pPr>
              <w:bidi w:val="0"/>
              <w:spacing w:before="120"/>
              <w:jc w:val="center"/>
              <w:rPr>
                <w:rFonts w:ascii="Times New Roman" w:hAnsi="Times New Roman"/>
                <w:b/>
                <w:bCs/>
              </w:rPr>
            </w:pPr>
            <w:r w:rsidRPr="00B13220">
              <w:rPr>
                <w:rFonts w:ascii="Times New Roman" w:hAnsi="Times New Roman"/>
                <w:b/>
                <w:bCs/>
              </w:rPr>
              <w:t>+</w:t>
            </w:r>
            <w:r>
              <w:rPr>
                <w:rFonts w:ascii="Times New Roman" w:hAnsi="Times New Roman"/>
                <w:b/>
                <w:bCs/>
              </w:rPr>
              <w:t>11 665</w:t>
            </w:r>
          </w:p>
        </w:tc>
      </w:tr>
    </w:tbl>
    <w:p w:rsidR="00682CC1" w:rsidP="00682CC1">
      <w:pPr>
        <w:bidi w:val="0"/>
        <w:spacing w:before="120"/>
        <w:ind w:firstLine="708"/>
        <w:jc w:val="both"/>
        <w:rPr>
          <w:rFonts w:ascii="Times New Roman" w:hAnsi="Times New Roman"/>
          <w:bCs/>
        </w:rPr>
      </w:pPr>
    </w:p>
    <w:p w:rsidR="00682CC1" w:rsidP="00682CC1">
      <w:pPr>
        <w:bidi w:val="0"/>
        <w:spacing w:before="120"/>
        <w:ind w:firstLine="708"/>
        <w:jc w:val="both"/>
        <w:rPr>
          <w:rFonts w:ascii="Times New Roman" w:hAnsi="Times New Roman"/>
          <w:bCs/>
        </w:rPr>
      </w:pPr>
      <w:r>
        <w:rPr>
          <w:rFonts w:ascii="Times New Roman" w:hAnsi="Times New Roman"/>
          <w:bCs/>
        </w:rPr>
        <w:t xml:space="preserve">Odhadovaný vplyv návrhu zákona na verejné financie sa prejavuje v príjmoch štátneho rozpočtu. Odhadované príjmy štátneho rozpočtu (v eurách) v dôsledku </w:t>
      </w:r>
      <w:r w:rsidRPr="006D6EE3">
        <w:rPr>
          <w:rFonts w:ascii="Times New Roman" w:hAnsi="Times New Roman"/>
          <w:bCs/>
        </w:rPr>
        <w:t>nelegálne</w:t>
      </w:r>
      <w:r>
        <w:rPr>
          <w:rFonts w:ascii="Times New Roman" w:hAnsi="Times New Roman"/>
          <w:bCs/>
        </w:rPr>
        <w:t>ho</w:t>
      </w:r>
      <w:r w:rsidRPr="006D6EE3">
        <w:rPr>
          <w:rFonts w:ascii="Times New Roman" w:hAnsi="Times New Roman"/>
          <w:bCs/>
        </w:rPr>
        <w:t xml:space="preserve"> zamestnávani</w:t>
      </w:r>
      <w:r>
        <w:rPr>
          <w:rFonts w:ascii="Times New Roman" w:hAnsi="Times New Roman"/>
          <w:bCs/>
        </w:rPr>
        <w:t>a sú zhrnuté v nasledujúcej tabuľke:</w:t>
      </w:r>
    </w:p>
    <w:tbl>
      <w:tblPr>
        <w:tblStyle w:val="TableNormal"/>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0"/>
        <w:gridCol w:w="1625"/>
        <w:gridCol w:w="1625"/>
        <w:gridCol w:w="1625"/>
        <w:gridCol w:w="1625"/>
      </w:tblGrid>
      <w:tr>
        <w:tblPrEx>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top"/>
          </w:tcPr>
          <w:p w:rsidR="00682CC1" w:rsidRPr="00A95F3F" w:rsidP="00223D89">
            <w:pPr>
              <w:bidi w:val="0"/>
              <w:spacing w:before="120"/>
              <w:jc w:val="both"/>
              <w:rPr>
                <w:rFonts w:ascii="Times New Roman" w:hAnsi="Times New Roman"/>
                <w:b/>
                <w:bCs/>
              </w:rPr>
            </w:pP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2011</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2012</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2013</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2014</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top"/>
          </w:tcPr>
          <w:p w:rsidR="00682CC1" w:rsidRPr="00B6370B" w:rsidP="00223D89">
            <w:pPr>
              <w:bidi w:val="0"/>
              <w:spacing w:before="120"/>
              <w:jc w:val="both"/>
              <w:rPr>
                <w:rFonts w:ascii="Times New Roman" w:hAnsi="Times New Roman"/>
                <w:b/>
                <w:bCs/>
              </w:rPr>
            </w:pPr>
            <w:r w:rsidRPr="00B6370B">
              <w:rPr>
                <w:rFonts w:ascii="Times New Roman" w:hAnsi="Times New Roman"/>
                <w:b/>
                <w:bCs/>
              </w:rPr>
              <w:t>Pokuty</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-3 800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- 20 600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-5 000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-20 800</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top"/>
          </w:tcPr>
          <w:p w:rsidR="00682CC1" w:rsidRPr="00B6370B" w:rsidP="00223D89">
            <w:pPr>
              <w:bidi w:val="0"/>
              <w:spacing w:before="120"/>
              <w:rPr>
                <w:rFonts w:ascii="Times New Roman" w:hAnsi="Times New Roman"/>
                <w:b/>
              </w:rPr>
            </w:pPr>
            <w:r w:rsidRPr="00B6370B">
              <w:rPr>
                <w:rFonts w:ascii="Times New Roman" w:hAnsi="Times New Roman"/>
                <w:b/>
              </w:rPr>
              <w:t>Dodatočná platba za daň z príjmu</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+2 580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+5 278</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+5 208</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+5 184</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rPr>
                <w:rFonts w:ascii="Times New Roman" w:hAnsi="Times New Roman"/>
                <w:b/>
                <w:bCs/>
              </w:rPr>
            </w:pPr>
            <w:r w:rsidRPr="00B6370B">
              <w:rPr>
                <w:rFonts w:ascii="Times New Roman" w:hAnsi="Times New Roman"/>
                <w:b/>
                <w:bCs/>
              </w:rPr>
              <w:t>Spolu</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Pr>
                <w:rFonts w:ascii="Times New Roman" w:hAnsi="Times New Roman"/>
                <w:b/>
                <w:bCs/>
              </w:rPr>
              <w:t>- 1 220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Pr>
                <w:rFonts w:ascii="Times New Roman" w:hAnsi="Times New Roman"/>
                <w:b/>
                <w:bCs/>
              </w:rPr>
              <w:t>- 15 322</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w:t>
            </w:r>
            <w:r>
              <w:rPr>
                <w:rFonts w:ascii="Times New Roman" w:hAnsi="Times New Roman"/>
                <w:b/>
                <w:bCs/>
              </w:rPr>
              <w:t xml:space="preserve"> 208</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100AA6" w:rsidP="00223D89">
            <w:pPr>
              <w:bidi w:val="0"/>
              <w:spacing w:before="120"/>
              <w:jc w:val="center"/>
              <w:rPr>
                <w:rFonts w:ascii="Times New Roman" w:hAnsi="Times New Roman"/>
                <w:b/>
                <w:bCs/>
              </w:rPr>
            </w:pPr>
            <w:r w:rsidRPr="00635DC8">
              <w:rPr>
                <w:rFonts w:ascii="Times New Roman" w:hAnsi="Times New Roman"/>
                <w:b/>
                <w:bCs/>
              </w:rPr>
              <w:t>-</w:t>
            </w:r>
            <w:r>
              <w:rPr>
                <w:rFonts w:ascii="Times New Roman" w:hAnsi="Times New Roman"/>
                <w:b/>
                <w:bCs/>
              </w:rPr>
              <w:t xml:space="preserve"> 15 616</w:t>
            </w:r>
          </w:p>
        </w:tc>
      </w:tr>
    </w:tbl>
    <w:p w:rsidR="00682CC1" w:rsidP="00682CC1">
      <w:pPr>
        <w:bidi w:val="0"/>
        <w:spacing w:before="120"/>
        <w:jc w:val="both"/>
        <w:rPr>
          <w:rFonts w:ascii="Times New Roman" w:hAnsi="Times New Roman"/>
          <w:bCs/>
        </w:rPr>
      </w:pPr>
    </w:p>
    <w:p w:rsidR="00682CC1" w:rsidP="00682CC1">
      <w:pPr>
        <w:bidi w:val="0"/>
        <w:spacing w:before="120"/>
        <w:ind w:firstLine="708"/>
        <w:jc w:val="both"/>
        <w:rPr>
          <w:rFonts w:ascii="Times New Roman" w:hAnsi="Times New Roman"/>
          <w:bCs/>
        </w:rPr>
      </w:pPr>
      <w:r>
        <w:rPr>
          <w:rFonts w:ascii="Times New Roman" w:hAnsi="Times New Roman"/>
          <w:bCs/>
        </w:rPr>
        <w:t>Odhadované nedaňové príjmy do verejných financií (štátneho rozpočtu) sú uvedené v nasledujúcej tabuľke:</w:t>
      </w:r>
    </w:p>
    <w:tbl>
      <w:tblPr>
        <w:tblStyle w:val="TableNormal"/>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0"/>
        <w:gridCol w:w="1625"/>
        <w:gridCol w:w="1625"/>
        <w:gridCol w:w="1625"/>
        <w:gridCol w:w="1625"/>
      </w:tblGrid>
      <w:tr>
        <w:tblPrEx>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top"/>
          </w:tcPr>
          <w:p w:rsidR="00682CC1" w:rsidRPr="00D6261A" w:rsidP="00223D89">
            <w:pPr>
              <w:bidi w:val="0"/>
              <w:spacing w:before="120"/>
              <w:jc w:val="both"/>
              <w:rPr>
                <w:rFonts w:ascii="Times New Roman" w:hAnsi="Times New Roman"/>
                <w:b/>
                <w:bCs/>
              </w:rPr>
            </w:pP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2011</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2012</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2013</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bCs/>
              </w:rPr>
            </w:pPr>
            <w:r w:rsidRPr="00B6370B">
              <w:rPr>
                <w:rFonts w:ascii="Times New Roman" w:hAnsi="Times New Roman"/>
                <w:b/>
                <w:bCs/>
              </w:rPr>
              <w:t>2014</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rPr>
                <w:rFonts w:ascii="Times New Roman" w:hAnsi="Times New Roman"/>
                <w:b/>
                <w:bCs/>
              </w:rPr>
            </w:pPr>
            <w:r w:rsidRPr="00B6370B">
              <w:rPr>
                <w:rFonts w:ascii="Times New Roman" w:hAnsi="Times New Roman"/>
                <w:b/>
                <w:bCs/>
              </w:rPr>
              <w:t>Pokuty</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-3 800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- 20 600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-5 000</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-20 800</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rPr>
                <w:rFonts w:ascii="Times New Roman" w:hAnsi="Times New Roman"/>
                <w:b/>
                <w:bCs/>
              </w:rPr>
            </w:pPr>
            <w:r w:rsidRPr="00B6370B">
              <w:rPr>
                <w:rFonts w:ascii="Times New Roman" w:hAnsi="Times New Roman"/>
                <w:b/>
                <w:bCs/>
              </w:rPr>
              <w:t xml:space="preserve">Dodatočná platba </w:t>
            </w:r>
            <w:r w:rsidRPr="00C92563">
              <w:rPr>
                <w:rFonts w:ascii="Times New Roman" w:hAnsi="Times New Roman"/>
                <w:b/>
              </w:rPr>
              <w:t xml:space="preserve">do </w:t>
            </w:r>
            <w:r>
              <w:rPr>
                <w:rFonts w:ascii="Times New Roman" w:hAnsi="Times New Roman"/>
                <w:b/>
              </w:rPr>
              <w:t>štátneho rozpočtu</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Pr>
                <w:rFonts w:ascii="Times New Roman" w:hAnsi="Times New Roman"/>
              </w:rPr>
              <w:t>+13 626</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rPr>
            </w:pPr>
            <w:r>
              <w:rPr>
                <w:rFonts w:ascii="Times New Roman" w:hAnsi="Times New Roman"/>
              </w:rPr>
              <w:t>+</w:t>
            </w:r>
            <w:r w:rsidRPr="00B13220">
              <w:rPr>
                <w:rFonts w:ascii="Times New Roman" w:hAnsi="Times New Roman"/>
              </w:rPr>
              <w:t xml:space="preserve">27 614 </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Pr>
                <w:rFonts w:ascii="Times New Roman" w:hAnsi="Times New Roman"/>
              </w:rPr>
              <w:t>+</w:t>
            </w:r>
            <w:r w:rsidRPr="00B13220">
              <w:rPr>
                <w:rFonts w:ascii="Times New Roman" w:hAnsi="Times New Roman"/>
              </w:rPr>
              <w:t>27 451</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13220" w:rsidP="00223D89">
            <w:pPr>
              <w:bidi w:val="0"/>
              <w:spacing w:before="120"/>
              <w:jc w:val="center"/>
              <w:rPr>
                <w:rFonts w:ascii="Times New Roman" w:hAnsi="Times New Roman"/>
                <w:b/>
              </w:rPr>
            </w:pPr>
            <w:r>
              <w:rPr>
                <w:rFonts w:ascii="Times New Roman" w:hAnsi="Times New Roman"/>
              </w:rPr>
              <w:t>+</w:t>
            </w:r>
            <w:r w:rsidRPr="00B13220">
              <w:rPr>
                <w:rFonts w:ascii="Times New Roman" w:hAnsi="Times New Roman"/>
              </w:rPr>
              <w:t>27 281</w:t>
            </w:r>
          </w:p>
        </w:tc>
      </w:tr>
      <w:tr>
        <w:tblPrEx>
          <w:tblW w:w="0" w:type="auto"/>
          <w:tblInd w:w="38" w:type="dxa"/>
          <w:tblLook w:val="00A0"/>
        </w:tblPrEx>
        <w:tc>
          <w:tcPr>
            <w:tcW w:w="2710"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rPr>
                <w:rFonts w:ascii="Times New Roman" w:hAnsi="Times New Roman"/>
                <w:b/>
                <w:bCs/>
              </w:rPr>
            </w:pPr>
            <w:r w:rsidRPr="00B6370B">
              <w:rPr>
                <w:rFonts w:ascii="Times New Roman" w:hAnsi="Times New Roman"/>
                <w:b/>
                <w:bCs/>
              </w:rPr>
              <w:t>Spolu</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9 826</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7 014</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22 451</w:t>
            </w:r>
          </w:p>
        </w:tc>
        <w:tc>
          <w:tcPr>
            <w:tcW w:w="1625" w:type="dxa"/>
            <w:tcBorders>
              <w:top w:val="single" w:sz="4" w:space="0" w:color="auto"/>
              <w:left w:val="single" w:sz="4" w:space="0" w:color="auto"/>
              <w:bottom w:val="single" w:sz="4" w:space="0" w:color="auto"/>
              <w:right w:val="single" w:sz="4" w:space="0" w:color="auto"/>
            </w:tcBorders>
            <w:textDirection w:val="lrTb"/>
            <w:vAlign w:val="center"/>
          </w:tcPr>
          <w:p w:rsidR="00682CC1" w:rsidRPr="00100AA6"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6 481</w:t>
            </w:r>
          </w:p>
        </w:tc>
      </w:tr>
    </w:tbl>
    <w:p w:rsidR="00682CC1" w:rsidP="00682CC1">
      <w:pPr>
        <w:bidi w:val="0"/>
        <w:spacing w:before="120"/>
        <w:jc w:val="both"/>
        <w:rPr>
          <w:rFonts w:ascii="Times New Roman" w:hAnsi="Times New Roman"/>
          <w:bCs/>
        </w:rPr>
      </w:pPr>
    </w:p>
    <w:p w:rsidR="00682CC1" w:rsidP="00682CC1">
      <w:pPr>
        <w:bidi w:val="0"/>
        <w:spacing w:before="120"/>
        <w:jc w:val="both"/>
        <w:rPr>
          <w:rFonts w:ascii="Times New Roman" w:hAnsi="Times New Roman"/>
          <w:bCs/>
        </w:rPr>
        <w:sectPr w:rsidSect="00223D89">
          <w:footerReference w:type="even" r:id="rId4"/>
          <w:footerReference w:type="default" r:id="rId5"/>
          <w:pgSz w:w="11906" w:h="16838"/>
          <w:pgMar w:top="1079" w:right="1418" w:bottom="1418" w:left="1418" w:header="709" w:footer="709" w:gutter="0"/>
          <w:lnNumType w:distance="0"/>
          <w:pgNumType w:start="1"/>
          <w:cols w:space="708"/>
          <w:noEndnote w:val="0"/>
          <w:titlePg/>
          <w:bidi w:val="0"/>
          <w:rtlGutter/>
        </w:sectPr>
      </w:pPr>
    </w:p>
    <w:p w:rsidR="00682CC1" w:rsidP="00682CC1">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Pr>
      <w:tblGrid>
        <w:gridCol w:w="2407"/>
        <w:gridCol w:w="2273"/>
        <w:gridCol w:w="2544"/>
        <w:gridCol w:w="2544"/>
        <w:gridCol w:w="2290"/>
        <w:gridCol w:w="1892"/>
      </w:tblGrid>
      <w:tr>
        <w:tblPrEx>
          <w:tblW w:w="13950" w:type="dxa"/>
          <w:tblCellMar>
            <w:left w:w="0" w:type="dxa"/>
            <w:right w:w="0" w:type="dxa"/>
          </w:tblCellMar>
        </w:tblPrEx>
        <w:trPr>
          <w:trHeight w:val="255"/>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c>
          <w:tcPr>
            <w:tcW w:w="22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2011</w:t>
            </w:r>
          </w:p>
        </w:tc>
        <w:tc>
          <w:tcPr>
            <w:tcW w:w="254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2012</w:t>
            </w:r>
          </w:p>
        </w:tc>
        <w:tc>
          <w:tcPr>
            <w:tcW w:w="254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2013</w:t>
            </w:r>
          </w:p>
        </w:tc>
        <w:tc>
          <w:tcPr>
            <w:tcW w:w="229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22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rPr>
            </w:pPr>
            <w:r>
              <w:rPr>
                <w:rFonts w:ascii="Times New Roman" w:hAnsi="Times New Roman"/>
              </w:rPr>
              <w:t>+2 580</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+5 278</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+5 208</w:t>
            </w:r>
          </w:p>
        </w:tc>
        <w:tc>
          <w:tcPr>
            <w:tcW w:w="22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rPr>
            </w:pPr>
            <w:r w:rsidRPr="00B6370B">
              <w:rPr>
                <w:rFonts w:ascii="Times New Roman" w:hAnsi="Times New Roman"/>
              </w:rPr>
              <w:t>+5 184</w:t>
            </w:r>
          </w:p>
        </w:tc>
        <w:tc>
          <w:tcPr>
            <w:tcW w:w="18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RPr="00B6370B" w:rsidP="00223D89">
            <w:pPr>
              <w:pStyle w:val="NormalWeb"/>
              <w:bidi w:val="0"/>
              <w:spacing w:before="0" w:beforeAutospacing="0" w:after="0" w:afterAutospacing="0"/>
              <w:rPr>
                <w:rFonts w:ascii="Times New Roman" w:hAnsi="Times New Roman"/>
              </w:rPr>
            </w:pPr>
            <w:r w:rsidRPr="00B6370B">
              <w:rPr>
                <w:rFonts w:ascii="Times New Roman" w:hAnsi="Times New Roman"/>
              </w:rPr>
              <w:t>Dodatočná platba za daň z príjmu</w:t>
            </w: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22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9 826</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7 014</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B6370B"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22 451</w:t>
            </w:r>
          </w:p>
        </w:tc>
        <w:tc>
          <w:tcPr>
            <w:tcW w:w="22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682CC1" w:rsidRPr="00100AA6" w:rsidP="00223D89">
            <w:pPr>
              <w:bidi w:val="0"/>
              <w:spacing w:before="120"/>
              <w:jc w:val="center"/>
              <w:rPr>
                <w:rFonts w:ascii="Times New Roman" w:hAnsi="Times New Roman"/>
                <w:b/>
              </w:rPr>
            </w:pPr>
            <w:r w:rsidRPr="00B6370B">
              <w:rPr>
                <w:rFonts w:ascii="Times New Roman" w:hAnsi="Times New Roman"/>
                <w:b/>
              </w:rPr>
              <w:t>+</w:t>
            </w:r>
            <w:r>
              <w:rPr>
                <w:rFonts w:ascii="Times New Roman" w:hAnsi="Times New Roman"/>
                <w:b/>
              </w:rPr>
              <w:t>6 481</w:t>
            </w:r>
          </w:p>
        </w:tc>
        <w:tc>
          <w:tcPr>
            <w:tcW w:w="18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sidRPr="009C5010">
              <w:rPr>
                <w:rFonts w:ascii="Times New Roman" w:hAnsi="Times New Roman"/>
                <w:bCs/>
              </w:rPr>
              <w:t xml:space="preserve">Pokuty a dodatočná platba </w:t>
            </w:r>
            <w:r>
              <w:rPr>
                <w:rFonts w:ascii="Times New Roman" w:hAnsi="Times New Roman"/>
                <w:bCs/>
              </w:rPr>
              <w:t>do štátneho rozpočtu</w:t>
            </w: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22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9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8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Príjmy z transakcií s finančnými aktívami a finančnými pasívami (400)</w:t>
            </w:r>
          </w:p>
        </w:tc>
        <w:tc>
          <w:tcPr>
            <w:tcW w:w="227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9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8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Prijaté úvery, pôžičky a návratné finančné výpomoci (500)</w:t>
            </w:r>
          </w:p>
        </w:tc>
        <w:tc>
          <w:tcPr>
            <w:tcW w:w="227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544"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9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89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2407"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color w:val="FFFFFF"/>
              </w:rPr>
              <w:t>Dopad na príjmy verejnej správy celkom</w:t>
            </w:r>
          </w:p>
        </w:tc>
        <w:tc>
          <w:tcPr>
            <w:tcW w:w="22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ind w:left="1080"/>
              <w:rPr>
                <w:rFonts w:ascii="Times New Roman" w:hAnsi="Times New Roman"/>
                <w:b/>
              </w:rPr>
            </w:pPr>
            <w:r>
              <w:rPr>
                <w:rFonts w:ascii="Times New Roman" w:hAnsi="Times New Roman"/>
                <w:b/>
              </w:rPr>
              <w:t>+ 12 406</w:t>
            </w:r>
          </w:p>
        </w:tc>
        <w:tc>
          <w:tcPr>
            <w:tcW w:w="254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ind w:left="1080"/>
              <w:rPr>
                <w:rFonts w:ascii="Times New Roman" w:hAnsi="Times New Roman"/>
                <w:b/>
              </w:rPr>
            </w:pPr>
            <w:r w:rsidRPr="005339E8">
              <w:rPr>
                <w:rFonts w:ascii="Times New Roman" w:hAnsi="Times New Roman"/>
                <w:b/>
              </w:rPr>
              <w:t xml:space="preserve">+ </w:t>
            </w:r>
            <w:r>
              <w:rPr>
                <w:rFonts w:ascii="Times New Roman" w:hAnsi="Times New Roman"/>
                <w:b/>
              </w:rPr>
              <w:t>12 292</w:t>
            </w:r>
          </w:p>
        </w:tc>
        <w:tc>
          <w:tcPr>
            <w:tcW w:w="254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ind w:left="720"/>
              <w:rPr>
                <w:rFonts w:ascii="Times New Roman" w:hAnsi="Times New Roman"/>
                <w:b/>
              </w:rPr>
            </w:pPr>
            <w:r w:rsidRPr="005339E8">
              <w:rPr>
                <w:rFonts w:ascii="Times New Roman" w:hAnsi="Times New Roman"/>
                <w:b/>
              </w:rPr>
              <w:t xml:space="preserve">+ </w:t>
            </w:r>
            <w:r>
              <w:rPr>
                <w:rFonts w:ascii="Times New Roman" w:hAnsi="Times New Roman"/>
                <w:b/>
              </w:rPr>
              <w:t>27 659</w:t>
            </w:r>
          </w:p>
        </w:tc>
        <w:tc>
          <w:tcPr>
            <w:tcW w:w="229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RPr="005339E8" w:rsidP="00223D89">
            <w:pPr>
              <w:pStyle w:val="NormalWeb"/>
              <w:bidi w:val="0"/>
              <w:spacing w:before="0" w:beforeAutospacing="0" w:after="0" w:afterAutospacing="0"/>
              <w:ind w:left="1080"/>
              <w:rPr>
                <w:rFonts w:ascii="Times New Roman" w:hAnsi="Times New Roman"/>
                <w:b/>
              </w:rPr>
            </w:pPr>
            <w:r w:rsidRPr="005339E8">
              <w:rPr>
                <w:rFonts w:ascii="Times New Roman" w:hAnsi="Times New Roman"/>
                <w:b/>
              </w:rPr>
              <w:t xml:space="preserve">+ </w:t>
            </w:r>
            <w:r>
              <w:rPr>
                <w:rFonts w:ascii="Times New Roman" w:hAnsi="Times New Roman"/>
                <w:b/>
              </w:rPr>
              <w:t>11 665</w:t>
            </w:r>
          </w:p>
        </w:tc>
        <w:tc>
          <w:tcPr>
            <w:tcW w:w="189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682CC1" w:rsidRPr="004D3665" w:rsidP="00223D89">
            <w:pPr>
              <w:pStyle w:val="NormalWeb"/>
              <w:bidi w:val="0"/>
              <w:spacing w:before="0" w:beforeAutospacing="0" w:after="0" w:afterAutospacing="0"/>
              <w:rPr>
                <w:rFonts w:ascii="Times New Roman" w:hAnsi="Times New Roman"/>
              </w:rPr>
            </w:pPr>
            <w:r w:rsidRPr="00B6370B">
              <w:rPr>
                <w:rFonts w:ascii="Times New Roman" w:hAnsi="Times New Roman"/>
              </w:rPr>
              <w:t>Dodatočná platba za daň z</w:t>
            </w:r>
            <w:r>
              <w:rPr>
                <w:rFonts w:ascii="Times New Roman" w:hAnsi="Times New Roman"/>
              </w:rPr>
              <w:t> </w:t>
            </w:r>
            <w:r w:rsidRPr="00B6370B">
              <w:rPr>
                <w:rFonts w:ascii="Times New Roman" w:hAnsi="Times New Roman"/>
              </w:rPr>
              <w:t>príjmu</w:t>
            </w:r>
            <w:r>
              <w:rPr>
                <w:rFonts w:ascii="Times New Roman" w:hAnsi="Times New Roman"/>
              </w:rPr>
              <w:t xml:space="preserve">, </w:t>
            </w:r>
            <w:r>
              <w:rPr>
                <w:rFonts w:ascii="Times New Roman" w:hAnsi="Times New Roman"/>
                <w:bCs/>
              </w:rPr>
              <w:t>p</w:t>
            </w:r>
            <w:r w:rsidRPr="009C5010">
              <w:rPr>
                <w:rFonts w:ascii="Times New Roman" w:hAnsi="Times New Roman"/>
                <w:bCs/>
              </w:rPr>
              <w:t xml:space="preserve">okuty a dodatočná platba </w:t>
            </w:r>
            <w:r>
              <w:rPr>
                <w:rFonts w:ascii="Times New Roman" w:hAnsi="Times New Roman"/>
                <w:bCs/>
              </w:rPr>
              <w:t>do štátneho rozpočtu</w:t>
            </w:r>
          </w:p>
        </w:tc>
      </w:tr>
      <w:tr>
        <w:tblPrEx>
          <w:tblW w:w="13950" w:type="dxa"/>
          <w:tblCellMar>
            <w:left w:w="0" w:type="dxa"/>
            <w:right w:w="0" w:type="dxa"/>
          </w:tblCellMar>
        </w:tblPrEx>
        <w:tc>
          <w:tcPr>
            <w:tcW w:w="2407"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2273"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2544"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2544"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229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892"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r>
    </w:tbl>
    <w:p w:rsidR="00682CC1" w:rsidP="00682CC1">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   </w:t>
      </w: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2011</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sz w:val="20"/>
                <w:szCs w:val="20"/>
                <w:vertAlign w:val="superscript"/>
              </w:rPr>
            </w:pPr>
            <w:r>
              <w:rPr>
                <w:rFonts w:ascii="Times New Roman" w:hAnsi="Times New Roman"/>
                <w:sz w:val="20"/>
                <w:szCs w:val="20"/>
              </w:rPr>
              <w:t>  Tovary a služby (630)</w:t>
            </w:r>
            <w:r>
              <w:rPr>
                <w:rFonts w:ascii="Times New Roman" w:hAnsi="Times New Roman"/>
                <w:sz w:val="13"/>
                <w:szCs w:val="13"/>
                <w:vertAlign w:val="superscript"/>
              </w:rPr>
              <w:t xml:space="preserve">2 </w:t>
            </w:r>
          </w:p>
          <w:p w:rsidR="00682CC1" w:rsidRPr="004A4043" w:rsidP="00223D89">
            <w:pPr>
              <w:pStyle w:val="NormalWeb"/>
              <w:bidi w:val="0"/>
              <w:spacing w:before="0" w:beforeAutospacing="0" w:after="0" w:afterAutospacing="0"/>
              <w:rPr>
                <w:rFonts w:ascii="Times New Roman" w:hAnsi="Times New Roman"/>
                <w:sz w:val="20"/>
                <w:szCs w:val="20"/>
              </w:rPr>
            </w:pPr>
            <w:r w:rsidRPr="00DF7B69">
              <w:rPr>
                <w:rFonts w:ascii="Times New Roman" w:hAnsi="Times New Roman"/>
                <w:sz w:val="20"/>
                <w:szCs w:val="20"/>
              </w:rPr>
              <w:t>631</w:t>
            </w:r>
            <w:r>
              <w:rPr>
                <w:rFonts w:ascii="Times New Roman" w:hAnsi="Times New Roman"/>
                <w:sz w:val="20"/>
                <w:szCs w:val="20"/>
              </w:rPr>
              <w:t>,  632,  633, 634,  637</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RPr="004A4043" w:rsidP="00223D89">
            <w:pPr>
              <w:pStyle w:val="NormalWeb"/>
              <w:bidi w:val="0"/>
              <w:spacing w:before="0" w:beforeAutospacing="0" w:after="0" w:afterAutospacing="0"/>
              <w:jc w:val="center"/>
              <w:rPr>
                <w:rFonts w:ascii="Times New Roman" w:hAnsi="Times New Roman"/>
                <w:sz w:val="20"/>
                <w:szCs w:val="20"/>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sz w:val="20"/>
                <w:szCs w:val="20"/>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r>
              <w:rPr>
                <w:rFonts w:ascii="Times New Roman" w:hAnsi="Times New Roman"/>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r w:rsidRPr="004A4043">
              <w:rPr>
                <w:rFonts w:ascii="Times New Roman" w:hAnsi="Times New Roman"/>
                <w:sz w:val="20"/>
                <w:szCs w:val="20"/>
              </w:rPr>
              <w:t>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4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222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r>
    </w:tbl>
    <w:p w:rsidR="00682CC1" w:rsidP="00682CC1">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sz w:val="20"/>
          <w:szCs w:val="20"/>
        </w:rPr>
      </w:pPr>
    </w:p>
    <w:p w:rsidR="00682CC1" w:rsidP="00682CC1">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2011</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2012</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2013</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2014</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682CC1" w:rsidP="00223D89">
            <w:pPr>
              <w:bidi w:val="0"/>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682CC1" w:rsidRPr="00C02122" w:rsidP="00223D89">
            <w:pPr>
              <w:pStyle w:val="NormalWeb"/>
              <w:bidi w:val="0"/>
              <w:spacing w:before="0" w:beforeAutospacing="0" w:after="0" w:afterAutospacing="0"/>
              <w:rPr>
                <w:rFonts w:ascii="Times New Roman" w:hAnsi="Times New Roman"/>
              </w:rPr>
            </w:pPr>
            <w:r>
              <w:rPr>
                <w:rFonts w:ascii="Times New Roman" w:hAnsi="Times New Roman"/>
                <w:color w:val="FFFFFF"/>
              </w:rPr>
              <w:t> </w:t>
            </w:r>
            <w:r>
              <w:rPr>
                <w:rFonts w:ascii="Times New Roman" w:hAnsi="Times New Roman"/>
              </w:rPr>
              <w:t xml:space="preserve">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682CC1" w:rsidP="00223D89">
            <w:pPr>
              <w:pStyle w:val="NormalWeb"/>
              <w:bidi w:val="0"/>
              <w:spacing w:before="0" w:beforeAutospacing="0" w:after="0" w:afterAutospacing="0"/>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682CC1" w:rsidP="00223D89">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0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98"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564"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491"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50"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933"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c>
          <w:tcPr>
            <w:tcW w:w="1546" w:type="dxa"/>
            <w:tcBorders>
              <w:top w:val="nil"/>
              <w:left w:val="nil"/>
              <w:bottom w:val="nil"/>
              <w:right w:val="nil"/>
            </w:tcBorders>
            <w:textDirection w:val="lrTb"/>
            <w:vAlign w:val="center"/>
          </w:tcPr>
          <w:p w:rsidR="00682CC1" w:rsidP="00223D89">
            <w:pPr>
              <w:bidi w:val="0"/>
              <w:rPr>
                <w:rFonts w:ascii="Times New Roman" w:hAnsi="Times New Roman"/>
                <w:sz w:val="2"/>
                <w:szCs w:val="2"/>
              </w:rPr>
            </w:pPr>
          </w:p>
        </w:tc>
      </w:tr>
    </w:tbl>
    <w:p w:rsidR="00682CC1" w:rsidP="00682CC1">
      <w:pPr>
        <w:pStyle w:val="NormalWeb"/>
        <w:bidi w:val="0"/>
        <w:spacing w:before="0" w:beforeAutospacing="0" w:after="0" w:afterAutospacing="0"/>
        <w:jc w:val="both"/>
        <w:rPr>
          <w:rFonts w:ascii="Times New Roman" w:hAnsi="Times New Roman"/>
        </w:rPr>
      </w:pPr>
      <w:r>
        <w:rPr>
          <w:rFonts w:ascii="Times New Roman" w:hAnsi="Times New Roman"/>
        </w:rPr>
        <w:t> </w:t>
      </w:r>
    </w:p>
    <w:p w:rsidR="00682CC1" w:rsidP="00682CC1">
      <w:pPr>
        <w:pStyle w:val="NormalWeb"/>
        <w:bidi w:val="0"/>
        <w:spacing w:before="0" w:beforeAutospacing="0" w:after="0" w:afterAutospacing="0"/>
        <w:rPr>
          <w:rFonts w:ascii="Times New Roman" w:hAnsi="Times New Roman"/>
        </w:rPr>
        <w:sectPr w:rsidSect="00223D89">
          <w:headerReference w:type="default" r:id="rId6"/>
          <w:footerReference w:type="default" r:id="rId7"/>
          <w:pgSz w:w="15840" w:h="12240" w:orient="landscape"/>
          <w:pgMar w:top="1418" w:right="1418" w:bottom="1418" w:left="1418" w:header="709" w:footer="709" w:gutter="0"/>
          <w:lnNumType w:distance="0"/>
          <w:cols w:space="708"/>
          <w:noEndnote w:val="0"/>
          <w:bidi w:val="0"/>
        </w:sectPr>
      </w:pPr>
      <w:r>
        <w:rPr>
          <w:rFonts w:ascii="Times New Roman" w:hAnsi="Times New Roman"/>
          <w:b/>
          <w:bCs/>
        </w:rPr>
        <w:t>* počet zamestnancov,  mzdy a poistné rozpísať podľa spôsobu odmeňovania (napr. policajti, colníci ...)</w:t>
      </w:r>
    </w:p>
    <w:p w:rsidR="00682CC1" w:rsidRPr="00A90DE8" w:rsidP="00682CC1">
      <w:pPr>
        <w:bidi w:val="0"/>
        <w:jc w:val="center"/>
        <w:rPr>
          <w:rFonts w:ascii="Times New Roman" w:hAnsi="Times New Roman"/>
          <w:b/>
          <w:bCs/>
        </w:rPr>
      </w:pPr>
      <w:r w:rsidRPr="00A90DE8">
        <w:rPr>
          <w:rFonts w:ascii="Times New Roman" w:hAnsi="Times New Roman"/>
          <w:b/>
          <w:bCs/>
        </w:rPr>
        <w:t>Vplyvy na podnikateľské prostredie</w:t>
      </w:r>
    </w:p>
    <w:p w:rsidR="00682CC1" w:rsidP="00682CC1">
      <w:pPr>
        <w:bidi w:val="0"/>
        <w:rPr>
          <w:rFonts w:ascii="Times New Roman" w:hAnsi="Times New Roman"/>
          <w:b/>
          <w:bCs/>
          <w:sz w:val="28"/>
          <w:szCs w:val="28"/>
        </w:rPr>
      </w:pPr>
    </w:p>
    <w:p w:rsidR="00682CC1" w:rsidP="00682CC1">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682CC1" w:rsidP="00223D89">
            <w:pPr>
              <w:bidi w:val="0"/>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682CC1" w:rsidP="00223D89">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82CC1" w:rsidRPr="00CB429B" w:rsidP="00223D89">
            <w:pPr>
              <w:bidi w:val="0"/>
              <w:rPr>
                <w:rFonts w:ascii="Times New Roman" w:hAnsi="Times New Roman"/>
              </w:rPr>
            </w:pPr>
            <w:r w:rsidRPr="00CB429B">
              <w:rPr>
                <w:rFonts w:ascii="Times New Roman" w:hAnsi="Times New Roman"/>
              </w:rPr>
              <w:t xml:space="preserve"> Ovplyvnení budú zamestnávatelia – právnické osoby a fyzické osoby – ktoré budú nelegálne zamestnávať štátnych príslušníkov krajín, ktoré nie sú členským štátom EÚ, ktorí sa na území Slovenskej republiky zdržujú neoprávnene. Ich počet sa nedá určiť. Predpokladá sa nelegálne zamestnávanie asi </w:t>
            </w:r>
            <w:r>
              <w:rPr>
                <w:rFonts w:ascii="Times New Roman" w:hAnsi="Times New Roman"/>
              </w:rPr>
              <w:t>60</w:t>
            </w:r>
            <w:r w:rsidRPr="00CB429B">
              <w:rPr>
                <w:rFonts w:ascii="Times New Roman" w:hAnsi="Times New Roman"/>
              </w:rPr>
              <w:t xml:space="preserve"> takých osôb ročne.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682CC1" w:rsidP="00223D89">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82CC1" w:rsidRPr="00CB429B" w:rsidP="00223D89">
            <w:pPr>
              <w:bidi w:val="0"/>
              <w:rPr>
                <w:rFonts w:ascii="Times New Roman" w:hAnsi="Times New Roman"/>
              </w:rPr>
            </w:pPr>
            <w:r w:rsidRPr="00CB429B">
              <w:rPr>
                <w:rFonts w:ascii="Times New Roman" w:hAnsi="Times New Roman"/>
                <w:lang w:val="pt-BR"/>
              </w:rPr>
              <w:t> </w:t>
            </w:r>
            <w:r w:rsidRPr="00CB429B">
              <w:rPr>
                <w:rFonts w:ascii="Times New Roman" w:hAnsi="Times New Roman"/>
              </w:rPr>
              <w:t xml:space="preserve">Po zistení takého nelegálneho zamestnávania budú zamestnávatelia povinní zaplatiť administratívnu pokutu, dohodnutú dlžnú mzdu </w:t>
            </w:r>
            <w:r>
              <w:rPr>
                <w:rFonts w:ascii="Times New Roman" w:hAnsi="Times New Roman"/>
              </w:rPr>
              <w:t>(najmenej vo výške mesačnej minimálnej mzdy),</w:t>
            </w:r>
            <w:r w:rsidRPr="00CB429B">
              <w:rPr>
                <w:rFonts w:ascii="Times New Roman" w:hAnsi="Times New Roman"/>
              </w:rPr>
              <w:t xml:space="preserve"> </w:t>
            </w:r>
            <w:r>
              <w:rPr>
                <w:rFonts w:ascii="Times New Roman" w:hAnsi="Times New Roman"/>
              </w:rPr>
              <w:t xml:space="preserve">náklady na doručenie </w:t>
            </w:r>
            <w:r w:rsidRPr="00CB429B">
              <w:rPr>
                <w:rFonts w:ascii="Times New Roman" w:hAnsi="Times New Roman"/>
              </w:rPr>
              <w:t>dohodnut</w:t>
            </w:r>
            <w:r>
              <w:rPr>
                <w:rFonts w:ascii="Times New Roman" w:hAnsi="Times New Roman"/>
              </w:rPr>
              <w:t>ej</w:t>
            </w:r>
            <w:r w:rsidRPr="00CB429B">
              <w:rPr>
                <w:rFonts w:ascii="Times New Roman" w:hAnsi="Times New Roman"/>
              </w:rPr>
              <w:t xml:space="preserve"> dlžn</w:t>
            </w:r>
            <w:r>
              <w:rPr>
                <w:rFonts w:ascii="Times New Roman" w:hAnsi="Times New Roman"/>
              </w:rPr>
              <w:t>ej</w:t>
            </w:r>
            <w:r w:rsidRPr="00CB429B">
              <w:rPr>
                <w:rFonts w:ascii="Times New Roman" w:hAnsi="Times New Roman"/>
              </w:rPr>
              <w:t xml:space="preserve"> mzd</w:t>
            </w:r>
            <w:r>
              <w:rPr>
                <w:rFonts w:ascii="Times New Roman" w:hAnsi="Times New Roman"/>
              </w:rPr>
              <w:t xml:space="preserve">y </w:t>
            </w:r>
            <w:r w:rsidRPr="00CB429B">
              <w:rPr>
                <w:rFonts w:ascii="Times New Roman" w:hAnsi="Times New Roman"/>
              </w:rPr>
              <w:t xml:space="preserve">a dodatočné platby </w:t>
            </w:r>
            <w:r>
              <w:rPr>
                <w:rFonts w:ascii="Times New Roman" w:hAnsi="Times New Roman"/>
              </w:rPr>
              <w:t xml:space="preserve">za </w:t>
            </w:r>
            <w:r w:rsidRPr="00CB429B">
              <w:rPr>
                <w:rFonts w:ascii="Times New Roman" w:hAnsi="Times New Roman"/>
              </w:rPr>
              <w:t xml:space="preserve">odvody na sociálne </w:t>
            </w:r>
            <w:r>
              <w:rPr>
                <w:rFonts w:ascii="Times New Roman" w:hAnsi="Times New Roman"/>
              </w:rPr>
              <w:t>a zdravotné poistenie a</w:t>
            </w:r>
            <w:r w:rsidRPr="00CB429B">
              <w:rPr>
                <w:rFonts w:ascii="Times New Roman" w:hAnsi="Times New Roman"/>
              </w:rPr>
              <w:t xml:space="preserve"> daň z</w:t>
            </w:r>
            <w:r>
              <w:rPr>
                <w:rFonts w:ascii="Times New Roman" w:hAnsi="Times New Roman"/>
              </w:rPr>
              <w:t> </w:t>
            </w:r>
            <w:r w:rsidRPr="00CB429B">
              <w:rPr>
                <w:rFonts w:ascii="Times New Roman" w:hAnsi="Times New Roman"/>
              </w:rPr>
              <w:t>príjmu</w:t>
            </w:r>
            <w:r>
              <w:rPr>
                <w:rFonts w:ascii="Times New Roman" w:hAnsi="Times New Roman"/>
              </w:rPr>
              <w:t xml:space="preserve">, v sume </w:t>
            </w:r>
            <w:r w:rsidRPr="00CB429B">
              <w:rPr>
                <w:rFonts w:ascii="Times New Roman" w:hAnsi="Times New Roman"/>
              </w:rPr>
              <w:t>ako keby danú osobu riadne zamestnávali. Ide o priame jednorazové finančné náklady</w:t>
            </w:r>
            <w:r>
              <w:rPr>
                <w:rFonts w:ascii="Times New Roman" w:hAnsi="Times New Roman"/>
              </w:rPr>
              <w:t xml:space="preserve"> vyčíslené v doložke vybraných vplyvov</w:t>
            </w:r>
            <w:r w:rsidRPr="00CB429B">
              <w:rPr>
                <w:rFonts w:ascii="Times New Roman" w:hAnsi="Times New Roman"/>
              </w:rPr>
              <w:t>.</w:t>
            </w:r>
          </w:p>
          <w:p w:rsidR="00682CC1" w:rsidRPr="00CB429B" w:rsidP="00223D89">
            <w:pPr>
              <w:bidi w:val="0"/>
              <w:rPr>
                <w:rFonts w:ascii="Times New Roman" w:hAnsi="Times New Roman"/>
                <w:lang w:val="pt-BR"/>
              </w:rPr>
            </w:pPr>
            <w:r>
              <w:rPr>
                <w:rFonts w:ascii="Times New Roman" w:hAnsi="Times New Roman"/>
                <w:lang w:val="pt-BR"/>
              </w:rPr>
              <w:t xml:space="preserve">Ak dohodnutú dlžnú mzdu a </w:t>
            </w:r>
            <w:r>
              <w:rPr>
                <w:rFonts w:ascii="Times New Roman" w:hAnsi="Times New Roman"/>
              </w:rPr>
              <w:t xml:space="preserve">náklady na doručenie </w:t>
            </w:r>
            <w:r w:rsidRPr="00CB429B">
              <w:rPr>
                <w:rFonts w:ascii="Times New Roman" w:hAnsi="Times New Roman"/>
              </w:rPr>
              <w:t>dohodnut</w:t>
            </w:r>
            <w:r>
              <w:rPr>
                <w:rFonts w:ascii="Times New Roman" w:hAnsi="Times New Roman"/>
              </w:rPr>
              <w:t>ej</w:t>
            </w:r>
            <w:r w:rsidRPr="00CB429B">
              <w:rPr>
                <w:rFonts w:ascii="Times New Roman" w:hAnsi="Times New Roman"/>
              </w:rPr>
              <w:t xml:space="preserve"> dlžn</w:t>
            </w:r>
            <w:r>
              <w:rPr>
                <w:rFonts w:ascii="Times New Roman" w:hAnsi="Times New Roman"/>
              </w:rPr>
              <w:t>ej</w:t>
            </w:r>
            <w:r w:rsidRPr="00CB429B">
              <w:rPr>
                <w:rFonts w:ascii="Times New Roman" w:hAnsi="Times New Roman"/>
              </w:rPr>
              <w:t xml:space="preserve"> mzd</w:t>
            </w:r>
            <w:r>
              <w:rPr>
                <w:rFonts w:ascii="Times New Roman" w:hAnsi="Times New Roman"/>
              </w:rPr>
              <w:t>y</w:t>
            </w:r>
            <w:r>
              <w:rPr>
                <w:rFonts w:ascii="Times New Roman" w:hAnsi="Times New Roman"/>
                <w:lang w:val="pt-BR"/>
              </w:rPr>
              <w:t>nezaplati zamestnavateľ, ktorý nelegálne zamestnaval takú osobu, zaplatí ich  osoba vymedzená § 7b návrhu zákona.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682CC1" w:rsidP="00223D89">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82CC1" w:rsidRPr="00D14B64" w:rsidP="00223D89">
            <w:pPr>
              <w:bidi w:val="0"/>
              <w:rPr>
                <w:rFonts w:ascii="Times New Roman" w:hAnsi="Times New Roman"/>
              </w:rPr>
            </w:pPr>
            <w:r w:rsidRPr="00D14B64">
              <w:rPr>
                <w:rFonts w:ascii="Times New Roman" w:hAnsi="Times New Roman"/>
              </w:rPr>
              <w:t> Ak bude zistené nelegálne zamestnávanie štátnych príslušníkov krajín, ktoré nie sú členským štátom EÚ, ktorí sa na území Slovenskej republiky zdržujú neoprávnene, ich zamestnávatelia zaplatia dodatočné plat</w:t>
            </w:r>
            <w:r>
              <w:rPr>
                <w:rFonts w:ascii="Times New Roman" w:hAnsi="Times New Roman"/>
              </w:rPr>
              <w:t xml:space="preserve">by, </w:t>
            </w:r>
            <w:r w:rsidRPr="00D14B64">
              <w:rPr>
                <w:rFonts w:ascii="Times New Roman" w:hAnsi="Times New Roman"/>
              </w:rPr>
              <w:t xml:space="preserve">administratívne náklady zamestnávateľov (účastníkov správneho konania) </w:t>
            </w:r>
            <w:r>
              <w:rPr>
                <w:rFonts w:ascii="Times New Roman" w:hAnsi="Times New Roman"/>
              </w:rPr>
              <w:t xml:space="preserve">v prípade uplatnenia odvolania </w:t>
            </w:r>
            <w:r w:rsidRPr="00D14B64">
              <w:rPr>
                <w:rFonts w:ascii="Times New Roman" w:hAnsi="Times New Roman"/>
              </w:rPr>
              <w:t>voči rozhodnutiu správneho orgánu vo veci porušenia zákazu nelegálneho zamestnávania a</w:t>
            </w:r>
            <w:r>
              <w:rPr>
                <w:rFonts w:ascii="Times New Roman" w:hAnsi="Times New Roman"/>
              </w:rPr>
              <w:t> </w:t>
            </w:r>
            <w:r w:rsidRPr="00D14B64">
              <w:rPr>
                <w:rFonts w:ascii="Times New Roman" w:hAnsi="Times New Roman"/>
              </w:rPr>
              <w:t>iné</w:t>
            </w:r>
            <w:r>
              <w:rPr>
                <w:rFonts w:ascii="Times New Roman" w:hAnsi="Times New Roman"/>
              </w:rPr>
              <w:t xml:space="preserve">, </w:t>
            </w:r>
            <w:r w:rsidRPr="00D14B64">
              <w:rPr>
                <w:rFonts w:ascii="Times New Roman" w:hAnsi="Times New Roman"/>
              </w:rPr>
              <w:t xml:space="preserve">napr. </w:t>
            </w:r>
            <w:r>
              <w:rPr>
                <w:rFonts w:ascii="Times New Roman" w:hAnsi="Times New Roman"/>
              </w:rPr>
              <w:t>súvisiace s</w:t>
            </w:r>
            <w:r w:rsidRPr="00D14B64">
              <w:rPr>
                <w:rFonts w:ascii="Times New Roman" w:hAnsi="Times New Roman"/>
              </w:rPr>
              <w:t xml:space="preserve"> exekučn</w:t>
            </w:r>
            <w:r>
              <w:rPr>
                <w:rFonts w:ascii="Times New Roman" w:hAnsi="Times New Roman"/>
              </w:rPr>
              <w:t>ým konaním</w:t>
            </w:r>
            <w:r w:rsidRPr="00D14B64">
              <w:rPr>
                <w:rFonts w:ascii="Times New Roman" w:hAnsi="Times New Roman"/>
              </w:rPr>
              <w:t>.</w:t>
            </w:r>
            <w:r>
              <w:rPr>
                <w:rFonts w:ascii="Times New Roman" w:hAnsi="Times New Roman"/>
              </w:rPr>
              <w:t xml:space="preserve"> Ide </w:t>
            </w:r>
            <w:r w:rsidRPr="00D14B64">
              <w:rPr>
                <w:rFonts w:ascii="Times New Roman" w:hAnsi="Times New Roman"/>
              </w:rPr>
              <w:t xml:space="preserve">o uplatnenie riadneho opravného prostriedku, v záujme ktorého môže zamestnávateľa zastupovať právny zástupca za odplatu. Nútený výkon rozhodnutia sa uskutočňuje zrážkami zo mzdy, prikázaním pohľadávky alebo predajom hnuteľných vecí alebo nehnuteľností (exekúciou). Uvedené administratívne náklady v prípade uplatnenia riadneho opravného prostriedku nemožno kvantifikovať ako paušálnu náhradu, ich výška závisí od daného prípadu (dĺžky správneho alebo súdneho konania, dokladovaním poľahčujúcich dôkazov účastníka správneho konania) a tým celkových nákladov vo veci správneho alebo súdneho konania. </w:t>
            </w:r>
          </w:p>
          <w:p w:rsidR="00682CC1" w:rsidRPr="00D14B64" w:rsidP="00223D89">
            <w:pPr>
              <w:bidi w:val="0"/>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682CC1" w:rsidP="00223D89">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82CC1" w:rsidRPr="00D14B64" w:rsidP="00223D89">
            <w:pPr>
              <w:bidi w:val="0"/>
              <w:jc w:val="both"/>
              <w:rPr>
                <w:rFonts w:ascii="Times New Roman" w:hAnsi="Times New Roman"/>
              </w:rPr>
            </w:pPr>
            <w:r w:rsidRPr="00D14B64">
              <w:rPr>
                <w:rFonts w:ascii="Times New Roman" w:hAnsi="Times New Roman"/>
              </w:rPr>
              <w:t> Právnické osoby a fyzické osoby nesmú nelegálne zamestnávať štátnych príslušníkov krajín, ktoré nie sú členským štátom EÚ, ktorí sa na území Slovenskej republiky zdržujú neoprávnene.</w:t>
            </w:r>
          </w:p>
          <w:p w:rsidR="00682CC1" w:rsidRPr="00D14B64" w:rsidP="00223D89">
            <w:pPr>
              <w:bidi w:val="0"/>
              <w:rPr>
                <w:rFonts w:ascii="Times New Roman" w:hAnsi="Times New Roman"/>
              </w:rPr>
            </w:pPr>
            <w:r>
              <w:rPr>
                <w:rFonts w:ascii="Times New Roman" w:hAnsi="Times New Roman"/>
              </w:rPr>
              <w:t xml:space="preserve">Tento cieľ - </w:t>
            </w:r>
            <w:r w:rsidRPr="00D14B64">
              <w:rPr>
                <w:rFonts w:ascii="Times New Roman" w:hAnsi="Times New Roman"/>
              </w:rPr>
              <w:t xml:space="preserve">zabránenie nerešpektovaniu a porušovaniu zákazu nelegálneho zamestnávania </w:t>
            </w:r>
            <w:r>
              <w:rPr>
                <w:rFonts w:ascii="Times New Roman" w:hAnsi="Times New Roman"/>
              </w:rPr>
              <w:t>– sa d</w:t>
            </w:r>
            <w:r w:rsidRPr="00D14B64">
              <w:rPr>
                <w:rFonts w:ascii="Times New Roman" w:hAnsi="Times New Roman"/>
              </w:rPr>
              <w:t>osahuje priamo (sankciami) i nepriamo (subjekt, ktorému právo ukladá príslušné právne povinnosti, má dobrovoľne splniť primárnu právnu povinnosť; v prípade jej nesplnenia má dobrovoľne splniť sekundárnu právnu povinnosť; ak nesplní ani túto, nastupuje priame vynútenie (exekúcia) respektíve prechod zodpovednosti znášať príslušné sankcie za porušenie zákazu nelegálneho zamestnávania podľa § 2 ods. 5 zákona o nelegálnej práci a nelegálnom zamestnávaní na iné</w:t>
            </w:r>
            <w:r>
              <w:rPr>
                <w:rFonts w:ascii="Times New Roman" w:hAnsi="Times New Roman"/>
              </w:rPr>
              <w:t>, v § 7b</w:t>
            </w:r>
            <w:r w:rsidRPr="00D14B64">
              <w:rPr>
                <w:rFonts w:ascii="Times New Roman" w:hAnsi="Times New Roman"/>
              </w:rPr>
              <w:t xml:space="preserve"> zákon</w:t>
            </w:r>
            <w:r>
              <w:rPr>
                <w:rFonts w:ascii="Times New Roman" w:hAnsi="Times New Roman"/>
              </w:rPr>
              <w:t>a</w:t>
            </w:r>
            <w:r w:rsidRPr="00D14B64">
              <w:rPr>
                <w:rFonts w:ascii="Times New Roman" w:hAnsi="Times New Roman"/>
              </w:rPr>
              <w:t xml:space="preserve"> vymedzené osoby).</w:t>
            </w:r>
          </w:p>
          <w:p w:rsidR="00682CC1" w:rsidRPr="00D14B64" w:rsidP="00223D89">
            <w:pPr>
              <w:bidi w:val="0"/>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682CC1" w:rsidP="00223D89">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82CC1" w:rsidRPr="00CB429B" w:rsidP="00223D89">
            <w:pPr>
              <w:bidi w:val="0"/>
              <w:rPr>
                <w:rFonts w:ascii="Times New Roman" w:hAnsi="Times New Roman"/>
              </w:rPr>
            </w:pPr>
            <w:r w:rsidRPr="00CB429B">
              <w:rPr>
                <w:rFonts w:ascii="Times New Roman" w:hAnsi="Times New Roman"/>
              </w:rPr>
              <w:t> Predpokladá sa eliminovanie podpory nelegálnej migrácie štátnych príslušníkov krajín, ktoré nie sú členským štátom EÚ a zníženie počtu nelegálneho zamestnávania.</w:t>
            </w:r>
          </w:p>
        </w:tc>
      </w:tr>
    </w:tbl>
    <w:p w:rsidR="00682CC1" w:rsidP="00682CC1">
      <w:pPr>
        <w:bidi w:val="0"/>
        <w:rPr>
          <w:rFonts w:ascii="Times New Roman" w:hAnsi="Times New Roman"/>
          <w:bCs/>
          <w:szCs w:val="20"/>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jc w:val="right"/>
        <w:rPr>
          <w:rFonts w:ascii="Times New Roman" w:hAnsi="Times New Roman"/>
        </w:rPr>
      </w:pPr>
    </w:p>
    <w:p w:rsidR="00682CC1" w:rsidP="00682CC1">
      <w:pPr>
        <w:bidi w:val="0"/>
        <w:rPr>
          <w:rFonts w:ascii="Times New Roman" w:hAnsi="Times New Roman"/>
          <w:b/>
          <w:sz w:val="28"/>
          <w:szCs w:val="28"/>
        </w:rPr>
      </w:pPr>
    </w:p>
    <w:p w:rsidR="00682CC1" w:rsidRPr="00A90DE8" w:rsidP="00682CC1">
      <w:pPr>
        <w:bidi w:val="0"/>
        <w:jc w:val="center"/>
        <w:rPr>
          <w:rFonts w:ascii="Times New Roman" w:hAnsi="Times New Roman"/>
          <w:b/>
        </w:rPr>
      </w:pPr>
      <w:r w:rsidRPr="00A90DE8">
        <w:rPr>
          <w:rFonts w:ascii="Times New Roman" w:hAnsi="Times New Roman"/>
          <w:b/>
        </w:rPr>
        <w:t>Sociálne vplyvy -  vplyvy na hospodárenie obyvateľstva, sociálnu exklúziu, rovnosť príležitostí a rodovú rovnosť  a na zamestnanosť</w:t>
      </w:r>
    </w:p>
    <w:p w:rsidR="00682CC1" w:rsidP="00682CC1">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682CC1" w:rsidP="00223D89">
            <w:pPr>
              <w:bidi w:val="0"/>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82CC1" w:rsidP="00223D89">
            <w:pPr>
              <w:bidi w:val="0"/>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682CC1" w:rsidP="00223D89">
            <w:pPr>
              <w:bidi w:val="0"/>
              <w:jc w:val="both"/>
              <w:rPr>
                <w:rFonts w:ascii="Times New Roman" w:hAnsi="Times New Roman"/>
              </w:rPr>
            </w:pPr>
            <w:r>
              <w:rPr>
                <w:rFonts w:ascii="Times New Roman" w:hAnsi="Times New Roman"/>
              </w:rPr>
              <w:t> </w:t>
            </w:r>
          </w:p>
          <w:p w:rsidR="00682CC1" w:rsidP="00223D89">
            <w:pPr>
              <w:bidi w:val="0"/>
              <w:jc w:val="both"/>
              <w:rPr>
                <w:rFonts w:ascii="Times New Roman" w:hAnsi="Times New Roman"/>
              </w:rPr>
            </w:pPr>
            <w:r>
              <w:rPr>
                <w:rFonts w:ascii="Times New Roman" w:hAnsi="Times New Roman"/>
              </w:rPr>
              <w:t>Návrh zákona nemá vplyv na hospodárenie bežnej domácnosti.</w:t>
            </w:r>
          </w:p>
          <w:p w:rsidR="00682CC1" w:rsidRPr="00FA039D" w:rsidP="00223D89">
            <w:pPr>
              <w:bidi w:val="0"/>
              <w:rPr>
                <w:rFonts w:ascii="Times New Roman" w:hAnsi="Times New Roman"/>
              </w:rPr>
            </w:pPr>
            <w:r>
              <w:rPr>
                <w:rFonts w:ascii="Times New Roman" w:hAnsi="Times New Roman"/>
              </w:rPr>
              <w:t xml:space="preserve">Návrh zákona sa dotkne  domácností s vysokými príjmami, v ktorých budú </w:t>
            </w:r>
            <w:r w:rsidRPr="00FA039D">
              <w:rPr>
                <w:rFonts w:ascii="Times New Roman" w:hAnsi="Times New Roman"/>
              </w:rPr>
              <w:t xml:space="preserve">nelegálne zamestnávať štátnych príslušníkov krajín, ktoré nie sú členským štátom EÚ, ktorí sa na území Slovenskej republiky zdržujú neoprávnene. </w:t>
            </w:r>
            <w:r>
              <w:rPr>
                <w:rFonts w:ascii="Times New Roman" w:hAnsi="Times New Roman"/>
              </w:rPr>
              <w:t xml:space="preserve">  </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682CC1" w:rsidP="00223D89">
            <w:pPr>
              <w:bidi w:val="0"/>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682CC1" w:rsidP="00223D89">
            <w:pPr>
              <w:bidi w:val="0"/>
              <w:rPr>
                <w:rFonts w:ascii="Times New Roman" w:hAnsi="Times New Roman"/>
              </w:rPr>
            </w:pPr>
            <w:r>
              <w:rPr>
                <w:rFonts w:ascii="Times New Roman" w:hAnsi="Times New Roman"/>
              </w:rPr>
              <w:t xml:space="preserve">Údaje sa nedajú kvantifikovať vzhľadom na novú povinnosť fyzickej osoby podľa návrhu i na nemonitorovanie príslušných údajov. </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682CC1" w:rsidP="00223D89">
            <w:pPr>
              <w:bidi w:val="0"/>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682CC1" w:rsidP="00223D89">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682CC1" w:rsidP="00223D89">
            <w:pPr>
              <w:bidi w:val="0"/>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682CC1" w:rsidP="00223D89">
            <w:pPr>
              <w:bidi w:val="0"/>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682CC1" w:rsidP="00223D89">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682CC1" w:rsidP="00223D89">
            <w:pPr>
              <w:bidi w:val="0"/>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682CC1" w:rsidP="00223D89">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82CC1" w:rsidP="00223D89">
            <w:pPr>
              <w:bidi w:val="0"/>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682CC1" w:rsidP="00223D89">
            <w:pPr>
              <w:bidi w:val="0"/>
              <w:jc w:val="both"/>
              <w:rPr>
                <w:rFonts w:ascii="Times New Roman" w:hAnsi="Times New Roman"/>
              </w:rPr>
            </w:pPr>
            <w:r>
              <w:rPr>
                <w:rFonts w:ascii="Times New Roman" w:hAnsi="Times New Roman"/>
              </w:rPr>
              <w:t> Návrh zákona nemá vplyv.</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682CC1" w:rsidP="00223D89">
            <w:pPr>
              <w:bidi w:val="0"/>
              <w:jc w:val="both"/>
              <w:rPr>
                <w:rFonts w:ascii="Times New Roman" w:hAnsi="Times New Roman"/>
              </w:rPr>
            </w:pPr>
          </w:p>
          <w:p w:rsidR="00682CC1" w:rsidP="00223D89">
            <w:pPr>
              <w:bidi w:val="0"/>
              <w:jc w:val="both"/>
              <w:rPr>
                <w:rFonts w:ascii="Times New Roman" w:hAnsi="Times New Roman"/>
              </w:rPr>
            </w:pPr>
            <w:r>
              <w:rPr>
                <w:rFonts w:ascii="Times New Roman" w:hAnsi="Times New Roman"/>
              </w:rPr>
              <w:t>Zhodnoťte vplyv na rodovú rovnosť.</w:t>
            </w:r>
          </w:p>
          <w:p w:rsidR="00682CC1" w:rsidP="00223D89">
            <w:pPr>
              <w:bidi w:val="0"/>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682CC1" w:rsidP="00223D89">
            <w:pPr>
              <w:bidi w:val="0"/>
              <w:jc w:val="both"/>
              <w:rPr>
                <w:rFonts w:ascii="Times New Roman" w:hAnsi="Times New Roman"/>
              </w:rPr>
            </w:pPr>
            <w:r>
              <w:rPr>
                <w:rFonts w:ascii="Times New Roman" w:hAnsi="Times New Roman"/>
              </w:rPr>
              <w:t> Návrh zákona 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82CC1" w:rsidP="00223D89">
            <w:pPr>
              <w:bidi w:val="0"/>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682CC1" w:rsidP="00223D89">
            <w:pPr>
              <w:bidi w:val="0"/>
              <w:jc w:val="both"/>
              <w:rPr>
                <w:rFonts w:ascii="Times New Roman" w:hAnsi="Times New Roman"/>
                <w:b/>
              </w:rPr>
            </w:pPr>
          </w:p>
          <w:p w:rsidR="00682CC1" w:rsidP="00223D89">
            <w:pPr>
              <w:bidi w:val="0"/>
              <w:jc w:val="both"/>
              <w:rPr>
                <w:rFonts w:ascii="Times New Roman" w:hAnsi="Times New Roman"/>
                <w:bCs/>
              </w:rPr>
            </w:pPr>
            <w:r>
              <w:rPr>
                <w:rFonts w:ascii="Times New Roman" w:hAnsi="Times New Roman"/>
                <w:bCs/>
              </w:rPr>
              <w:t>Aké sú  vplyvy na zamestnanosť ?</w:t>
            </w:r>
          </w:p>
          <w:p w:rsidR="00682CC1" w:rsidP="00223D89">
            <w:pPr>
              <w:bidi w:val="0"/>
              <w:jc w:val="both"/>
              <w:rPr>
                <w:rFonts w:ascii="Times New Roman" w:hAnsi="Times New Roman"/>
              </w:rPr>
            </w:pPr>
            <w:r>
              <w:rPr>
                <w:rFonts w:ascii="Times New Roman" w:hAnsi="Times New Roman"/>
                <w:bCs/>
              </w:rPr>
              <w:t>Ktoré skupiny zamestnancov budú ohrozené schválením predkladaného materiálu ?</w:t>
            </w:r>
          </w:p>
          <w:p w:rsidR="00682CC1" w:rsidP="00223D89">
            <w:pPr>
              <w:bidi w:val="0"/>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82CC1" w:rsidP="00223D89">
            <w:pPr>
              <w:bidi w:val="0"/>
              <w:rPr>
                <w:rFonts w:ascii="Times New Roman" w:hAnsi="Times New Roman"/>
              </w:rPr>
            </w:pPr>
            <w:r>
              <w:rPr>
                <w:rFonts w:ascii="Times New Roman" w:hAnsi="Times New Roman"/>
              </w:rPr>
              <w:t xml:space="preserve"> Návrh zákona by mohol mať určitý veľmi minimálny vplyv na zamestnanosť, a to pri náhrade </w:t>
            </w:r>
            <w:r w:rsidRPr="00FA039D">
              <w:rPr>
                <w:rFonts w:ascii="Times New Roman" w:hAnsi="Times New Roman"/>
              </w:rPr>
              <w:t>nelegálne zamestnáva</w:t>
            </w:r>
            <w:r>
              <w:rPr>
                <w:rFonts w:ascii="Times New Roman" w:hAnsi="Times New Roman"/>
              </w:rPr>
              <w:t>ných</w:t>
            </w:r>
            <w:r w:rsidRPr="00FA039D">
              <w:rPr>
                <w:rFonts w:ascii="Times New Roman" w:hAnsi="Times New Roman"/>
              </w:rPr>
              <w:t xml:space="preserve"> štátnych príslušníkov krajín, ktoré nie sú členským štátom EÚ, ktorí sa na území Slovenskej republiky zdržujú neoprávnene</w:t>
            </w:r>
            <w:r>
              <w:rPr>
                <w:rFonts w:ascii="Times New Roman" w:hAnsi="Times New Roman"/>
              </w:rPr>
              <w:t xml:space="preserve">, občanmi SR. </w:t>
            </w:r>
          </w:p>
          <w:p w:rsidR="00682CC1" w:rsidP="00223D89">
            <w:pPr>
              <w:bidi w:val="0"/>
              <w:jc w:val="both"/>
              <w:rPr>
                <w:rFonts w:ascii="Times New Roman" w:hAnsi="Times New Roman"/>
              </w:rPr>
            </w:pPr>
          </w:p>
          <w:p w:rsidR="00682CC1" w:rsidP="00223D89">
            <w:pPr>
              <w:bidi w:val="0"/>
              <w:jc w:val="both"/>
              <w:rPr>
                <w:rFonts w:ascii="Times New Roman" w:hAnsi="Times New Roman"/>
              </w:rPr>
            </w:pPr>
          </w:p>
        </w:tc>
      </w:tr>
    </w:tbl>
    <w:p w:rsidR="00682CC1" w:rsidRPr="004A6A2B" w:rsidP="00682CC1">
      <w:pPr>
        <w:bidi w:val="0"/>
        <w:rPr>
          <w:rFonts w:ascii="Times New Roman" w:hAnsi="Times New Roman"/>
        </w:rPr>
      </w:pPr>
    </w:p>
    <w:p w:rsidR="00682CC1" w:rsidP="00682CC1">
      <w:pPr>
        <w:bidi w:val="0"/>
        <w:rPr>
          <w:rFonts w:ascii="Times New Roman" w:hAnsi="Times New Roman"/>
        </w:rPr>
      </w:pPr>
    </w:p>
    <w:p w:rsidR="00BA7974" w:rsidP="00682CC1">
      <w:pPr>
        <w:bidi w:val="0"/>
        <w:rPr>
          <w:rFonts w:ascii="Times New Roman" w:hAnsi="Times New Roman"/>
        </w:rPr>
      </w:pPr>
    </w:p>
    <w:sectPr w:rsidSect="00682CC1">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89" w:rsidP="00682CC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23D89" w:rsidP="00223D8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8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335A8">
      <w:rPr>
        <w:rFonts w:ascii="Times New Roman" w:hAnsi="Times New Roman"/>
        <w:noProof/>
      </w:rPr>
      <w:t>11</w:t>
    </w:r>
    <w:r>
      <w:rPr>
        <w:rFonts w:ascii="Times New Roman" w:hAnsi="Times New Roman"/>
      </w:rPr>
      <w:fldChar w:fldCharType="end"/>
    </w:r>
  </w:p>
  <w:p w:rsidR="00223D89" w:rsidP="00223D89">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CC1" w:rsidP="00223D8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335A8">
      <w:rPr>
        <w:rStyle w:val="PageNumber"/>
        <w:rFonts w:ascii="Times New Roman" w:hAnsi="Times New Roman"/>
        <w:noProof/>
      </w:rPr>
      <w:t>17</w:t>
    </w:r>
    <w:r>
      <w:rPr>
        <w:rStyle w:val="PageNumber"/>
        <w:rFonts w:ascii="Times New Roman" w:hAnsi="Times New Roman"/>
      </w:rPr>
      <w:fldChar w:fldCharType="end"/>
    </w:r>
  </w:p>
  <w:p w:rsidR="00223D89" w:rsidRPr="004A2238" w:rsidP="00682CC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89" w:rsidRPr="008F4DB3" w:rsidP="00223D89">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78B"/>
    <w:multiLevelType w:val="hybridMultilevel"/>
    <w:tmpl w:val="CB1C8AFC"/>
    <w:lvl w:ilvl="0">
      <w:start w:val="555"/>
      <w:numFmt w:val="bullet"/>
      <w:lvlText w:val="-"/>
      <w:lvlJc w:val="left"/>
      <w:pPr>
        <w:ind w:left="765" w:hanging="360"/>
      </w:pPr>
      <w:rPr>
        <w:rFonts w:ascii="Times New Roman" w:eastAsia="Times New Roman" w:hAnsi="Times New Roman" w:hint="default"/>
      </w:rPr>
    </w:lvl>
    <w:lvl w:ilvl="1">
      <w:start w:val="1"/>
      <w:numFmt w:val="bullet"/>
      <w:lvlText w:val="o"/>
      <w:lvlJc w:val="left"/>
      <w:pPr>
        <w:ind w:left="1485" w:hanging="360"/>
      </w:pPr>
      <w:rPr>
        <w:rFonts w:ascii="Courier New" w:hAnsi="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1">
    <w:nsid w:val="04526D61"/>
    <w:multiLevelType w:val="hybridMultilevel"/>
    <w:tmpl w:val="539848D2"/>
    <w:lvl w:ilvl="0">
      <w:start w:val="0"/>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5C39F0"/>
    <w:multiLevelType w:val="hybridMultilevel"/>
    <w:tmpl w:val="33E2B98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9B0697"/>
    <w:multiLevelType w:val="hybridMultilevel"/>
    <w:tmpl w:val="2D3E17D6"/>
    <w:lvl w:ilvl="0">
      <w:start w:val="68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592F06"/>
    <w:multiLevelType w:val="hybridMultilevel"/>
    <w:tmpl w:val="6FE41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7">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CF20B2E"/>
    <w:multiLevelType w:val="hybridMultilevel"/>
    <w:tmpl w:val="B07AB888"/>
    <w:lvl w:ilvl="0">
      <w:start w:val="1"/>
      <w:numFmt w:val="decimal"/>
      <w:lvlText w:val="%1."/>
      <w:lvlJc w:val="left"/>
      <w:pPr>
        <w:tabs>
          <w:tab w:val="num" w:pos="1443"/>
        </w:tabs>
        <w:ind w:left="1443" w:hanging="360"/>
      </w:pPr>
      <w:rPr>
        <w:rFonts w:cs="Times New Roman" w:hint="default"/>
        <w:i w:val="0"/>
        <w:rtl w:val="0"/>
        <w:cs w:val="0"/>
      </w:rPr>
    </w:lvl>
    <w:lvl w:ilvl="1">
      <w:start w:val="1"/>
      <w:numFmt w:val="lowerLetter"/>
      <w:lvlText w:val="%2."/>
      <w:lvlJc w:val="left"/>
      <w:pPr>
        <w:tabs>
          <w:tab w:val="num" w:pos="2163"/>
        </w:tabs>
        <w:ind w:left="2163" w:hanging="360"/>
      </w:pPr>
      <w:rPr>
        <w:rFonts w:cs="Times New Roman"/>
        <w:rtl w:val="0"/>
        <w:cs w:val="0"/>
      </w:rPr>
    </w:lvl>
    <w:lvl w:ilvl="2">
      <w:start w:val="1"/>
      <w:numFmt w:val="lowerRoman"/>
      <w:lvlText w:val="%3."/>
      <w:lvlJc w:val="right"/>
      <w:pPr>
        <w:tabs>
          <w:tab w:val="num" w:pos="2883"/>
        </w:tabs>
        <w:ind w:left="2883" w:hanging="180"/>
      </w:pPr>
      <w:rPr>
        <w:rFonts w:cs="Times New Roman"/>
        <w:rtl w:val="0"/>
        <w:cs w:val="0"/>
      </w:rPr>
    </w:lvl>
    <w:lvl w:ilvl="3">
      <w:start w:val="1"/>
      <w:numFmt w:val="decimal"/>
      <w:lvlText w:val="%4."/>
      <w:lvlJc w:val="left"/>
      <w:pPr>
        <w:tabs>
          <w:tab w:val="num" w:pos="3603"/>
        </w:tabs>
        <w:ind w:left="3603" w:hanging="360"/>
      </w:pPr>
      <w:rPr>
        <w:rFonts w:cs="Times New Roman"/>
        <w:rtl w:val="0"/>
        <w:cs w:val="0"/>
      </w:rPr>
    </w:lvl>
    <w:lvl w:ilvl="4">
      <w:start w:val="1"/>
      <w:numFmt w:val="lowerLetter"/>
      <w:lvlText w:val="%5."/>
      <w:lvlJc w:val="left"/>
      <w:pPr>
        <w:tabs>
          <w:tab w:val="num" w:pos="4323"/>
        </w:tabs>
        <w:ind w:left="4323" w:hanging="360"/>
      </w:pPr>
      <w:rPr>
        <w:rFonts w:cs="Times New Roman"/>
        <w:rtl w:val="0"/>
        <w:cs w:val="0"/>
      </w:rPr>
    </w:lvl>
    <w:lvl w:ilvl="5">
      <w:start w:val="1"/>
      <w:numFmt w:val="lowerRoman"/>
      <w:lvlText w:val="%6."/>
      <w:lvlJc w:val="right"/>
      <w:pPr>
        <w:tabs>
          <w:tab w:val="num" w:pos="5043"/>
        </w:tabs>
        <w:ind w:left="5043" w:hanging="180"/>
      </w:pPr>
      <w:rPr>
        <w:rFonts w:cs="Times New Roman"/>
        <w:rtl w:val="0"/>
        <w:cs w:val="0"/>
      </w:rPr>
    </w:lvl>
    <w:lvl w:ilvl="6">
      <w:start w:val="1"/>
      <w:numFmt w:val="decimal"/>
      <w:lvlText w:val="%7."/>
      <w:lvlJc w:val="left"/>
      <w:pPr>
        <w:tabs>
          <w:tab w:val="num" w:pos="5763"/>
        </w:tabs>
        <w:ind w:left="5763" w:hanging="360"/>
      </w:pPr>
      <w:rPr>
        <w:rFonts w:cs="Times New Roman"/>
        <w:rtl w:val="0"/>
        <w:cs w:val="0"/>
      </w:rPr>
    </w:lvl>
    <w:lvl w:ilvl="7">
      <w:start w:val="1"/>
      <w:numFmt w:val="lowerLetter"/>
      <w:lvlText w:val="%8."/>
      <w:lvlJc w:val="left"/>
      <w:pPr>
        <w:tabs>
          <w:tab w:val="num" w:pos="6483"/>
        </w:tabs>
        <w:ind w:left="6483" w:hanging="360"/>
      </w:pPr>
      <w:rPr>
        <w:rFonts w:cs="Times New Roman"/>
        <w:rtl w:val="0"/>
        <w:cs w:val="0"/>
      </w:rPr>
    </w:lvl>
    <w:lvl w:ilvl="8">
      <w:start w:val="1"/>
      <w:numFmt w:val="lowerRoman"/>
      <w:lvlText w:val="%9."/>
      <w:lvlJc w:val="right"/>
      <w:pPr>
        <w:tabs>
          <w:tab w:val="num" w:pos="7203"/>
        </w:tabs>
        <w:ind w:left="7203" w:hanging="180"/>
      </w:pPr>
      <w:rPr>
        <w:rFonts w:cs="Times New Roman"/>
        <w:rtl w:val="0"/>
        <w:cs w:val="0"/>
      </w:rPr>
    </w:lvl>
  </w:abstractNum>
  <w:abstractNum w:abstractNumId="9">
    <w:nsid w:val="35082996"/>
    <w:multiLevelType w:val="hybridMultilevel"/>
    <w:tmpl w:val="8ACC16FE"/>
    <w:lvl w:ilvl="0">
      <w:start w:val="1"/>
      <w:numFmt w:val="decimal"/>
      <w:lvlText w:val="%1."/>
      <w:lvlJc w:val="left"/>
      <w:pPr>
        <w:tabs>
          <w:tab w:val="num" w:pos="1443"/>
        </w:tabs>
        <w:ind w:left="1443" w:hanging="360"/>
      </w:pPr>
      <w:rPr>
        <w:rFonts w:cs="Times New Roman" w:hint="default"/>
        <w:i w:val="0"/>
        <w:rtl w:val="0"/>
        <w:cs w:val="0"/>
      </w:rPr>
    </w:lvl>
    <w:lvl w:ilvl="1">
      <w:start w:val="1"/>
      <w:numFmt w:val="bullet"/>
      <w:lvlText w:val=""/>
      <w:lvlJc w:val="left"/>
      <w:pPr>
        <w:tabs>
          <w:tab w:val="num" w:pos="1440"/>
        </w:tabs>
        <w:ind w:left="1440" w:hanging="360"/>
      </w:pPr>
      <w:rPr>
        <w:rFonts w:ascii="Symbol" w:hAnsi="Symbol" w:hint="default"/>
        <w:i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D97037"/>
    <w:multiLevelType w:val="hybridMultilevel"/>
    <w:tmpl w:val="6D585FD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E70655"/>
    <w:multiLevelType w:val="hybridMultilevel"/>
    <w:tmpl w:val="AC5279F0"/>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37531941"/>
    <w:multiLevelType w:val="hybridMultilevel"/>
    <w:tmpl w:val="3F30A70A"/>
    <w:lvl w:ilvl="0">
      <w:start w:val="21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D41B32"/>
    <w:multiLevelType w:val="hybridMultilevel"/>
    <w:tmpl w:val="2D325DC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42DC2F80"/>
    <w:multiLevelType w:val="hybridMultilevel"/>
    <w:tmpl w:val="56186AD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79C718D"/>
    <w:multiLevelType w:val="hybridMultilevel"/>
    <w:tmpl w:val="BBECBFCE"/>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48B45857"/>
    <w:multiLevelType w:val="hybridMultilevel"/>
    <w:tmpl w:val="0D1A146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9644B9E"/>
    <w:multiLevelType w:val="hybridMultilevel"/>
    <w:tmpl w:val="5B88D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nsid w:val="4C17541B"/>
    <w:multiLevelType w:val="hybridMultilevel"/>
    <w:tmpl w:val="DAC8D93C"/>
    <w:lvl w:ilvl="0">
      <w:start w:val="18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D2262AA"/>
    <w:multiLevelType w:val="hybridMultilevel"/>
    <w:tmpl w:val="2EA014CA"/>
    <w:lvl w:ilvl="0">
      <w:start w:val="6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DBC611F"/>
    <w:multiLevelType w:val="hybridMultilevel"/>
    <w:tmpl w:val="0134A63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6B153F"/>
    <w:multiLevelType w:val="hybridMultilevel"/>
    <w:tmpl w:val="69649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4FF245A4"/>
    <w:multiLevelType w:val="hybridMultilevel"/>
    <w:tmpl w:val="3D5E8BC0"/>
    <w:lvl w:ilvl="0">
      <w:start w:val="1"/>
      <w:numFmt w:val="lowerLetter"/>
      <w:lvlText w:val="%1)"/>
      <w:lvlJc w:val="left"/>
      <w:pPr>
        <w:tabs>
          <w:tab w:val="num" w:pos="861"/>
        </w:tabs>
        <w:ind w:left="861" w:hanging="435"/>
      </w:pPr>
      <w:rPr>
        <w:rFonts w:cs="Times New Roman"/>
        <w:rtl w:val="0"/>
        <w:cs w:val="0"/>
      </w:rPr>
    </w:lvl>
    <w:lvl w:ilvl="1">
      <w:start w:val="0"/>
      <w:numFmt w:val="bullet"/>
      <w:lvlText w:val="-"/>
      <w:lvlJc w:val="left"/>
      <w:pPr>
        <w:tabs>
          <w:tab w:val="num" w:pos="2100"/>
        </w:tabs>
        <w:ind w:left="2100" w:hanging="1020"/>
      </w:pPr>
      <w:rPr>
        <w:rFonts w:ascii="Times New Roman" w:eastAsia="Times New Roman" w:hAnsi="Times New Roman" w:hint="default"/>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12D7193"/>
    <w:multiLevelType w:val="hybridMultilevel"/>
    <w:tmpl w:val="8EBE8AE0"/>
    <w:lvl w:ilvl="0">
      <w:start w:val="6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14A4EF2"/>
    <w:multiLevelType w:val="hybridMultilevel"/>
    <w:tmpl w:val="DBDC37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593B66C9"/>
    <w:multiLevelType w:val="hybridMultilevel"/>
    <w:tmpl w:val="F30E22AC"/>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AD908E9"/>
    <w:multiLevelType w:val="hybridMultilevel"/>
    <w:tmpl w:val="F1500F1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5C156B07"/>
    <w:multiLevelType w:val="hybridMultilevel"/>
    <w:tmpl w:val="4296F560"/>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5C642B18"/>
    <w:multiLevelType w:val="hybridMultilevel"/>
    <w:tmpl w:val="EF2AB53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373081F"/>
    <w:multiLevelType w:val="hybridMultilevel"/>
    <w:tmpl w:val="93D84136"/>
    <w:lvl w:ilvl="0">
      <w:start w:val="1"/>
      <w:numFmt w:val="decimal"/>
      <w:lvlText w:val="%1."/>
      <w:lvlJc w:val="left"/>
      <w:pPr>
        <w:ind w:left="1065" w:hanging="360"/>
      </w:pPr>
      <w:rPr>
        <w:rFonts w:ascii="Times New Roman" w:eastAsia="Times New Roman" w:hAnsi="Times New Roman"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3">
    <w:nsid w:val="63980AC2"/>
    <w:multiLevelType w:val="hybridMultilevel"/>
    <w:tmpl w:val="C4B610A2"/>
    <w:lvl w:ilvl="0">
      <w:start w:val="55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64811E0"/>
    <w:multiLevelType w:val="hybridMultilevel"/>
    <w:tmpl w:val="CD32788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6AC2F21"/>
    <w:multiLevelType w:val="hybridMultilevel"/>
    <w:tmpl w:val="23247EA2"/>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90C2E3E"/>
    <w:multiLevelType w:val="hybridMultilevel"/>
    <w:tmpl w:val="2FB47AA8"/>
    <w:lvl w:ilvl="0">
      <w:start w:val="1"/>
      <w:numFmt w:val="lowerLetter"/>
      <w:lvlText w:val="%1)"/>
      <w:lvlJc w:val="left"/>
      <w:pPr>
        <w:tabs>
          <w:tab w:val="num" w:pos="861"/>
        </w:tabs>
        <w:ind w:left="861" w:hanging="435"/>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37">
    <w:nsid w:val="696336EB"/>
    <w:multiLevelType w:val="hybridMultilevel"/>
    <w:tmpl w:val="2D3CC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0A069D3"/>
    <w:multiLevelType w:val="hybridMultilevel"/>
    <w:tmpl w:val="47561B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9">
    <w:nsid w:val="7609186C"/>
    <w:multiLevelType w:val="hybridMultilevel"/>
    <w:tmpl w:val="D7880186"/>
    <w:lvl w:ilvl="0">
      <w:start w:val="18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7967F4D"/>
    <w:multiLevelType w:val="hybridMultilevel"/>
    <w:tmpl w:val="FF143A26"/>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1">
    <w:nsid w:val="780F2C2E"/>
    <w:multiLevelType w:val="hybridMultilevel"/>
    <w:tmpl w:val="26141402"/>
    <w:lvl w:ilvl="0">
      <w:start w:val="555"/>
      <w:numFmt w:val="bullet"/>
      <w:lvlText w:val="–"/>
      <w:lvlJc w:val="left"/>
      <w:pPr>
        <w:ind w:left="765" w:hanging="360"/>
      </w:pPr>
      <w:rPr>
        <w:rFonts w:ascii="Times New Roman" w:eastAsia="Times New Roman" w:hAnsi="Times New Roman" w:hint="default"/>
      </w:rPr>
    </w:lvl>
    <w:lvl w:ilvl="1">
      <w:start w:val="1"/>
      <w:numFmt w:val="bullet"/>
      <w:lvlText w:val="o"/>
      <w:lvlJc w:val="left"/>
      <w:pPr>
        <w:ind w:left="1485" w:hanging="360"/>
      </w:pPr>
      <w:rPr>
        <w:rFonts w:ascii="Courier New" w:hAnsi="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42">
    <w:nsid w:val="78D25C4D"/>
    <w:multiLevelType w:val="hybridMultilevel"/>
    <w:tmpl w:val="62500DCC"/>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9"/>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8"/>
  </w:num>
  <w:num w:numId="6">
    <w:abstractNumId w:val="29"/>
  </w:num>
  <w:num w:numId="7">
    <w:abstractNumId w:val="4"/>
  </w:num>
  <w:num w:numId="8">
    <w:abstractNumId w:val="38"/>
  </w:num>
  <w:num w:numId="9">
    <w:abstractNumId w:val="20"/>
  </w:num>
  <w:num w:numId="10">
    <w:abstractNumId w:val="39"/>
  </w:num>
  <w:num w:numId="11">
    <w:abstractNumId w:val="35"/>
  </w:num>
  <w:num w:numId="12">
    <w:abstractNumId w:val="27"/>
  </w:num>
  <w:num w:numId="13">
    <w:abstractNumId w:val="16"/>
  </w:num>
  <w:num w:numId="14">
    <w:abstractNumId w:val="30"/>
  </w:num>
  <w:num w:numId="15">
    <w:abstractNumId w:val="40"/>
  </w:num>
  <w:num w:numId="16">
    <w:abstractNumId w:val="25"/>
  </w:num>
  <w:num w:numId="17">
    <w:abstractNumId w:val="18"/>
  </w:num>
  <w:num w:numId="18">
    <w:abstractNumId w:val="23"/>
  </w:num>
  <w:num w:numId="19">
    <w:abstractNumId w:val="5"/>
  </w:num>
  <w:num w:numId="20">
    <w:abstractNumId w:val="31"/>
  </w:num>
  <w:num w:numId="21">
    <w:abstractNumId w:val="14"/>
  </w:num>
  <w:num w:numId="22">
    <w:abstractNumId w:val="42"/>
  </w:num>
  <w:num w:numId="23">
    <w:abstractNumId w:val="3"/>
  </w:num>
  <w:num w:numId="24">
    <w:abstractNumId w:val="26"/>
  </w:num>
  <w:num w:numId="25">
    <w:abstractNumId w:val="13"/>
  </w:num>
  <w:num w:numId="26">
    <w:abstractNumId w:val="41"/>
  </w:num>
  <w:num w:numId="27">
    <w:abstractNumId w:val="0"/>
  </w:num>
  <w:num w:numId="28">
    <w:abstractNumId w:val="33"/>
  </w:num>
  <w:num w:numId="29">
    <w:abstractNumId w:val="21"/>
  </w:num>
  <w:num w:numId="30">
    <w:abstractNumId w:val="32"/>
  </w:num>
  <w:num w:numId="31">
    <w:abstractNumId w:val="37"/>
  </w:num>
  <w:num w:numId="32">
    <w:abstractNumId w:val="15"/>
  </w:num>
  <w:num w:numId="33">
    <w:abstractNumId w:val="2"/>
  </w:num>
  <w:num w:numId="34">
    <w:abstractNumId w:val="11"/>
  </w:num>
  <w:num w:numId="35">
    <w:abstractNumId w:val="1"/>
  </w:num>
  <w:num w:numId="36">
    <w:abstractNumId w:val="22"/>
  </w:num>
  <w:num w:numId="37">
    <w:abstractNumId w:val="34"/>
  </w:num>
  <w:num w:numId="38">
    <w:abstractNumId w:val="17"/>
  </w:num>
  <w:num w:numId="39">
    <w:abstractNumId w:val="12"/>
  </w:num>
  <w:num w:numId="40">
    <w:abstractNumId w:val="6"/>
  </w:num>
  <w:num w:numId="4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8"/>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82CC1"/>
    <w:rsid w:val="000A4D1F"/>
    <w:rsid w:val="000D7941"/>
    <w:rsid w:val="000E08D3"/>
    <w:rsid w:val="00100AA6"/>
    <w:rsid w:val="00223D89"/>
    <w:rsid w:val="002704AC"/>
    <w:rsid w:val="002E334B"/>
    <w:rsid w:val="003B4D9F"/>
    <w:rsid w:val="004161A1"/>
    <w:rsid w:val="0043767E"/>
    <w:rsid w:val="004A2238"/>
    <w:rsid w:val="004A4043"/>
    <w:rsid w:val="004A6A2B"/>
    <w:rsid w:val="004D3665"/>
    <w:rsid w:val="005339E8"/>
    <w:rsid w:val="00635DC8"/>
    <w:rsid w:val="00682CC1"/>
    <w:rsid w:val="006C121A"/>
    <w:rsid w:val="006D6EE3"/>
    <w:rsid w:val="00836BFA"/>
    <w:rsid w:val="008F4DB3"/>
    <w:rsid w:val="009C5010"/>
    <w:rsid w:val="00A90DE8"/>
    <w:rsid w:val="00A95F3F"/>
    <w:rsid w:val="00AE740F"/>
    <w:rsid w:val="00B13220"/>
    <w:rsid w:val="00B37936"/>
    <w:rsid w:val="00B6370B"/>
    <w:rsid w:val="00B74462"/>
    <w:rsid w:val="00BA7974"/>
    <w:rsid w:val="00BE7B13"/>
    <w:rsid w:val="00C02122"/>
    <w:rsid w:val="00C30F13"/>
    <w:rsid w:val="00C335A8"/>
    <w:rsid w:val="00C92563"/>
    <w:rsid w:val="00CB429B"/>
    <w:rsid w:val="00CF425A"/>
    <w:rsid w:val="00D14B64"/>
    <w:rsid w:val="00D6261A"/>
    <w:rsid w:val="00DF7B69"/>
    <w:rsid w:val="00FA039D"/>
    <w:rsid w:val="00FF4A5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CC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Heading4Char"/>
    <w:qFormat/>
    <w:rsid w:val="00682CC1"/>
    <w:pPr>
      <w:keepNext/>
      <w:spacing w:before="240" w:after="60"/>
      <w:jc w:val="left"/>
      <w:outlineLvl w:val="3"/>
    </w:pPr>
    <w:rPr>
      <w:b/>
      <w:bCs/>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locked/>
    <w:rsid w:val="00682CC1"/>
    <w:rPr>
      <w:rFonts w:cs="Times New Roman"/>
      <w:b/>
      <w:bCs/>
      <w:sz w:val="28"/>
      <w:szCs w:val="28"/>
      <w:rtl w:val="0"/>
      <w:cs w:val="0"/>
      <w:lang w:val="en-US" w:eastAsia="sk-SK" w:bidi="ar-SA"/>
    </w:rPr>
  </w:style>
  <w:style w:type="paragraph" w:styleId="BodyText">
    <w:name w:val="Body Text"/>
    <w:basedOn w:val="Normal"/>
    <w:link w:val="BodyTextChar"/>
    <w:rsid w:val="00682CC1"/>
    <w:pPr>
      <w:spacing w:after="120"/>
      <w:jc w:val="left"/>
    </w:pPr>
  </w:style>
  <w:style w:type="character" w:customStyle="1" w:styleId="BodyTextChar">
    <w:name w:val="Body Text Char"/>
    <w:basedOn w:val="DefaultParagraphFont"/>
    <w:link w:val="BodyText"/>
    <w:semiHidden/>
    <w:locked/>
    <w:rsid w:val="00682CC1"/>
    <w:rPr>
      <w:rFonts w:cs="Times New Roman"/>
      <w:sz w:val="24"/>
      <w:szCs w:val="24"/>
      <w:rtl w:val="0"/>
      <w:cs w:val="0"/>
      <w:lang w:val="sk-SK" w:eastAsia="sk-SK" w:bidi="ar-SA"/>
    </w:rPr>
  </w:style>
  <w:style w:type="paragraph" w:styleId="BodyText2">
    <w:name w:val="Body Text 2"/>
    <w:basedOn w:val="Normal"/>
    <w:link w:val="BodyText2Char"/>
    <w:rsid w:val="00682CC1"/>
    <w:pPr>
      <w:spacing w:after="120" w:line="480" w:lineRule="auto"/>
      <w:jc w:val="left"/>
    </w:pPr>
  </w:style>
  <w:style w:type="character" w:customStyle="1" w:styleId="BodyText2Char">
    <w:name w:val="Body Text 2 Char"/>
    <w:basedOn w:val="DefaultParagraphFont"/>
    <w:link w:val="BodyText2"/>
    <w:semiHidden/>
    <w:locked/>
    <w:rsid w:val="00682CC1"/>
    <w:rPr>
      <w:rFonts w:cs="Times New Roman"/>
      <w:sz w:val="24"/>
      <w:szCs w:val="24"/>
      <w:rtl w:val="0"/>
      <w:cs w:val="0"/>
      <w:lang w:val="sk-SK" w:eastAsia="sk-SK" w:bidi="ar-SA"/>
    </w:rPr>
  </w:style>
  <w:style w:type="paragraph" w:styleId="Header">
    <w:name w:val="header"/>
    <w:basedOn w:val="Normal"/>
    <w:link w:val="HeaderChar"/>
    <w:rsid w:val="00682CC1"/>
    <w:pPr>
      <w:tabs>
        <w:tab w:val="center" w:pos="4536"/>
        <w:tab w:val="right" w:pos="9072"/>
      </w:tabs>
      <w:jc w:val="left"/>
    </w:pPr>
  </w:style>
  <w:style w:type="character" w:customStyle="1" w:styleId="HeaderChar">
    <w:name w:val="Header Char"/>
    <w:basedOn w:val="DefaultParagraphFont"/>
    <w:link w:val="Header"/>
    <w:locked/>
    <w:rsid w:val="00682CC1"/>
    <w:rPr>
      <w:rFonts w:cs="Times New Roman"/>
      <w:sz w:val="24"/>
      <w:szCs w:val="24"/>
      <w:rtl w:val="0"/>
      <w:cs w:val="0"/>
      <w:lang w:val="sk-SK" w:eastAsia="sk-SK" w:bidi="ar-SA"/>
    </w:rPr>
  </w:style>
  <w:style w:type="paragraph" w:styleId="Footer">
    <w:name w:val="footer"/>
    <w:basedOn w:val="Normal"/>
    <w:link w:val="FooterChar"/>
    <w:rsid w:val="00682CC1"/>
    <w:pPr>
      <w:tabs>
        <w:tab w:val="center" w:pos="4536"/>
        <w:tab w:val="right" w:pos="9072"/>
      </w:tabs>
      <w:jc w:val="left"/>
    </w:pPr>
  </w:style>
  <w:style w:type="character" w:customStyle="1" w:styleId="FooterChar">
    <w:name w:val="Footer Char"/>
    <w:basedOn w:val="DefaultParagraphFont"/>
    <w:link w:val="Footer"/>
    <w:locked/>
    <w:rsid w:val="00682CC1"/>
    <w:rPr>
      <w:rFonts w:cs="Times New Roman"/>
      <w:sz w:val="24"/>
      <w:szCs w:val="24"/>
      <w:rtl w:val="0"/>
      <w:cs w:val="0"/>
      <w:lang w:val="sk-SK" w:eastAsia="sk-SK" w:bidi="ar-SA"/>
    </w:rPr>
  </w:style>
  <w:style w:type="paragraph" w:styleId="NormalWeb">
    <w:name w:val="Normal (Web)"/>
    <w:basedOn w:val="Normal"/>
    <w:rsid w:val="00682CC1"/>
    <w:pPr>
      <w:spacing w:before="100" w:beforeAutospacing="1" w:after="100" w:afterAutospacing="1"/>
      <w:jc w:val="left"/>
    </w:pPr>
  </w:style>
  <w:style w:type="paragraph" w:styleId="BalloonText">
    <w:name w:val="Balloon Text"/>
    <w:basedOn w:val="Normal"/>
    <w:link w:val="BalloonTextChar"/>
    <w:semiHidden/>
    <w:rsid w:val="00682CC1"/>
    <w:pPr>
      <w:jc w:val="left"/>
    </w:pPr>
    <w:rPr>
      <w:rFonts w:ascii="Tahoma" w:hAnsi="Tahoma" w:cs="Tahoma"/>
      <w:sz w:val="16"/>
      <w:szCs w:val="16"/>
    </w:rPr>
  </w:style>
  <w:style w:type="character" w:customStyle="1" w:styleId="BalloonTextChar">
    <w:name w:val="Balloon Text Char"/>
    <w:basedOn w:val="DefaultParagraphFont"/>
    <w:link w:val="BalloonText"/>
    <w:semiHidden/>
    <w:locked/>
    <w:rsid w:val="00682CC1"/>
    <w:rPr>
      <w:rFonts w:ascii="Tahoma" w:hAnsi="Tahoma" w:cs="Tahoma"/>
      <w:sz w:val="16"/>
      <w:szCs w:val="16"/>
      <w:rtl w:val="0"/>
      <w:cs w:val="0"/>
      <w:lang w:val="sk-SK" w:eastAsia="sk-SK" w:bidi="ar-SA"/>
    </w:rPr>
  </w:style>
  <w:style w:type="character" w:styleId="PageNumber">
    <w:name w:val="page number"/>
    <w:basedOn w:val="DefaultParagraphFont"/>
    <w:rsid w:val="00682CC1"/>
    <w:rPr>
      <w:rFonts w:cs="Times New Roman"/>
      <w:rtl w:val="0"/>
      <w:cs w:val="0"/>
    </w:rPr>
  </w:style>
  <w:style w:type="paragraph" w:styleId="BodyTextIndent">
    <w:name w:val="Body Text Indent"/>
    <w:basedOn w:val="Normal"/>
    <w:link w:val="BodyTextIndentChar"/>
    <w:rsid w:val="00682CC1"/>
    <w:pPr>
      <w:spacing w:after="120"/>
      <w:ind w:left="283"/>
      <w:jc w:val="left"/>
    </w:pPr>
  </w:style>
  <w:style w:type="character" w:customStyle="1" w:styleId="BodyTextIndentChar">
    <w:name w:val="Body Text Indent Char"/>
    <w:basedOn w:val="DefaultParagraphFont"/>
    <w:link w:val="BodyTextIndent"/>
    <w:locked/>
    <w:rsid w:val="00682CC1"/>
    <w:rPr>
      <w:rFonts w:cs="Times New Roman"/>
      <w:sz w:val="24"/>
      <w:szCs w:val="24"/>
      <w:rtl w:val="0"/>
      <w:cs w:val="0"/>
      <w:lang w:val="sk-SK" w:eastAsia="sk-SK" w:bidi="ar-SA"/>
    </w:rPr>
  </w:style>
  <w:style w:type="paragraph" w:styleId="Title">
    <w:name w:val="Title"/>
    <w:basedOn w:val="Normal"/>
    <w:link w:val="TitleChar"/>
    <w:qFormat/>
    <w:rsid w:val="00682CC1"/>
    <w:pPr>
      <w:jc w:val="center"/>
    </w:pPr>
    <w:rPr>
      <w:sz w:val="28"/>
      <w:szCs w:val="28"/>
    </w:rPr>
  </w:style>
  <w:style w:type="character" w:customStyle="1" w:styleId="TitleChar">
    <w:name w:val="Title Char"/>
    <w:basedOn w:val="DefaultParagraphFont"/>
    <w:link w:val="Title"/>
    <w:locked/>
    <w:rsid w:val="00682CC1"/>
    <w:rPr>
      <w:rFonts w:cs="Times New Roman"/>
      <w:sz w:val="28"/>
      <w:szCs w:val="28"/>
      <w:rtl w:val="0"/>
      <w:cs w:val="0"/>
      <w:lang w:val="sk-SK" w:eastAsia="sk-SK" w:bidi="ar-SA"/>
    </w:rPr>
  </w:style>
  <w:style w:type="paragraph" w:styleId="BodyTextIndent3">
    <w:name w:val="Body Text Indent 3"/>
    <w:basedOn w:val="Normal"/>
    <w:link w:val="BodyTextIndent3Char"/>
    <w:rsid w:val="00682CC1"/>
    <w:pPr>
      <w:spacing w:after="120"/>
      <w:ind w:left="283"/>
      <w:jc w:val="left"/>
    </w:pPr>
    <w:rPr>
      <w:sz w:val="16"/>
      <w:szCs w:val="16"/>
    </w:rPr>
  </w:style>
  <w:style w:type="character" w:customStyle="1" w:styleId="BodyTextIndent3Char">
    <w:name w:val="Body Text Indent 3 Char"/>
    <w:basedOn w:val="DefaultParagraphFont"/>
    <w:link w:val="BodyTextIndent3"/>
    <w:locked/>
    <w:rsid w:val="00682CC1"/>
    <w:rPr>
      <w:rFonts w:cs="Times New Roman"/>
      <w:sz w:val="16"/>
      <w:szCs w:val="16"/>
      <w:rtl w:val="0"/>
      <w:cs w:val="0"/>
      <w:lang w:val="sk-SK" w:eastAsia="sk-SK" w:bidi="ar-SA"/>
    </w:rPr>
  </w:style>
  <w:style w:type="paragraph" w:customStyle="1" w:styleId="Action">
    <w:name w:val="Action"/>
    <w:basedOn w:val="BodyText"/>
    <w:rsid w:val="00682CC1"/>
    <w:pPr>
      <w:numPr>
        <w:numId w:val="1"/>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rsid w:val="00682CC1"/>
    <w:rPr>
      <w:rFonts w:ascii="Verdana" w:hAnsi="Verdana" w:cs="Verdana"/>
      <w:kern w:val="20"/>
      <w:sz w:val="22"/>
      <w:szCs w:val="22"/>
      <w:u w:val="single"/>
      <w:rtl w:val="0"/>
      <w:cs w:val="0"/>
      <w:lang w:val="en-US" w:eastAsia="en-US"/>
    </w:rPr>
  </w:style>
  <w:style w:type="character" w:styleId="Hyperlink">
    <w:name w:val="Hyperlink"/>
    <w:basedOn w:val="DefaultParagraphFont"/>
    <w:rsid w:val="00682CC1"/>
    <w:rPr>
      <w:rFonts w:cs="Times New Roman"/>
      <w:color w:val="0000FF"/>
      <w:u w:val="single"/>
      <w:rtl w:val="0"/>
      <w:cs w:val="0"/>
    </w:rPr>
  </w:style>
  <w:style w:type="character" w:customStyle="1" w:styleId="NzovChar">
    <w:name w:val="Názov Char"/>
    <w:basedOn w:val="DefaultParagraphFont"/>
    <w:locked/>
    <w:rsid w:val="00682CC1"/>
    <w:rPr>
      <w:rFonts w:ascii="Cambria" w:hAnsi="Cambria" w:cs="Times New Roman"/>
      <w:b/>
      <w:bCs/>
      <w:kern w:val="28"/>
      <w:sz w:val="32"/>
      <w:szCs w:val="32"/>
      <w:rtl w:val="0"/>
      <w:cs w:val="0"/>
    </w:rPr>
  </w:style>
  <w:style w:type="paragraph" w:customStyle="1" w:styleId="BodyText22">
    <w:name w:val="Body Text 22"/>
    <w:basedOn w:val="Normal"/>
    <w:rsid w:val="00682CC1"/>
    <w:pPr>
      <w:widowControl w:val="0"/>
      <w:autoSpaceDE w:val="0"/>
      <w:autoSpaceDN w:val="0"/>
      <w:ind w:firstLine="709"/>
      <w:jc w:val="both"/>
    </w:pPr>
    <w:rPr>
      <w:rFonts w:ascii="Arial" w:hAnsi="Arial" w:cs="Arial"/>
    </w:rPr>
  </w:style>
  <w:style w:type="paragraph" w:styleId="ListParagraph">
    <w:name w:val="List Paragraph"/>
    <w:basedOn w:val="Normal"/>
    <w:qFormat/>
    <w:rsid w:val="00682CC1"/>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4326</Words>
  <Characters>24659</Characters>
  <Application>Microsoft Office Word</Application>
  <DocSecurity>0</DocSecurity>
  <Lines>0</Lines>
  <Paragraphs>0</Paragraphs>
  <ScaleCrop>false</ScaleCrop>
  <Company>mpsvr</Company>
  <LinksUpToDate>false</LinksUpToDate>
  <CharactersWithSpaces>28928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dc:creator>Administrator</dc:creator>
  <cp:lastModifiedBy>Gašparíková, Jarmila</cp:lastModifiedBy>
  <cp:revision>2</cp:revision>
  <dcterms:created xsi:type="dcterms:W3CDTF">2011-04-29T14:04:00Z</dcterms:created>
  <dcterms:modified xsi:type="dcterms:W3CDTF">2011-04-29T14:04:00Z</dcterms:modified>
</cp:coreProperties>
</file>