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246E" w:rsidP="001B166B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C6246E" w:rsidP="00C6246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46E" w:rsidP="00C6246E">
      <w:pPr>
        <w:bidi w:val="0"/>
        <w:rPr>
          <w:rFonts w:ascii="Times New Roman" w:hAnsi="Times New Roman"/>
          <w:b/>
          <w:bCs/>
        </w:rPr>
      </w:pPr>
    </w:p>
    <w:p w:rsidR="00C6246E" w:rsidP="00C6246E">
      <w:pPr>
        <w:bidi w:val="0"/>
        <w:rPr>
          <w:rFonts w:ascii="Times New Roman" w:hAnsi="Times New Roman"/>
          <w:b/>
          <w:bCs/>
        </w:rPr>
      </w:pPr>
    </w:p>
    <w:p w:rsidR="00284763" w:rsidP="00284763">
      <w:pPr>
        <w:bidi w:val="0"/>
        <w:jc w:val="both"/>
        <w:rPr>
          <w:rFonts w:ascii="Times New Roman" w:hAnsi="Times New Roman" w:cs="Arial"/>
        </w:rPr>
      </w:pPr>
      <w:r w:rsidR="00C6246E">
        <w:rPr>
          <w:rFonts w:ascii="Times New Roman" w:hAnsi="Times New Roman"/>
          <w:b/>
          <w:bCs/>
        </w:rPr>
        <w:t>A.1. Názov materiálu: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color w:val="000000"/>
        </w:rPr>
        <w:t xml:space="preserve">Návrh zákona, ktorým sa mení a dopĺňa </w:t>
      </w:r>
      <w:r>
        <w:rPr>
          <w:rFonts w:ascii="Times New Roman" w:hAnsi="Times New Roman" w:cs="Arial"/>
        </w:rPr>
        <w:t xml:space="preserve">zákon </w:t>
      </w:r>
      <w:r w:rsidRPr="005E55D9">
        <w:rPr>
          <w:rFonts w:ascii="Times New Roman" w:hAnsi="Times New Roman" w:cs="Arial"/>
        </w:rPr>
        <w:t>č. 561/2007 Z. z. o investičnej pomoci a o zmen</w:t>
      </w:r>
      <w:r>
        <w:rPr>
          <w:rFonts w:ascii="Times New Roman" w:hAnsi="Times New Roman" w:cs="Arial"/>
        </w:rPr>
        <w:t xml:space="preserve">e a doplnení niektorých zákonov  v znení zákona č. 56/2009 Z. z. </w:t>
      </w:r>
      <w:r w:rsidR="006D2C6A">
        <w:rPr>
          <w:rFonts w:ascii="Times New Roman" w:hAnsi="Times New Roman" w:cs="Arial"/>
        </w:rPr>
        <w:t>a ktorým sa menia a dopĺňajú niektoré zákony</w:t>
      </w:r>
    </w:p>
    <w:p w:rsidR="00284763" w:rsidP="001B166B">
      <w:pPr>
        <w:bidi w:val="0"/>
        <w:outlineLvl w:val="0"/>
        <w:rPr>
          <w:rFonts w:ascii="Times New Roman" w:hAnsi="Times New Roman" w:cs="Arial"/>
        </w:rPr>
      </w:pPr>
    </w:p>
    <w:p w:rsidR="00C6246E" w:rsidP="001B166B">
      <w:pPr>
        <w:bidi w:val="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Termín začatia a ukončenia PPK:</w:t>
      </w:r>
      <w:r w:rsidR="00284763">
        <w:rPr>
          <w:rFonts w:ascii="Times New Roman" w:hAnsi="Times New Roman"/>
          <w:b/>
          <w:bCs/>
        </w:rPr>
        <w:t xml:space="preserve"> </w:t>
      </w:r>
      <w:r w:rsidR="00284763">
        <w:rPr>
          <w:rFonts w:ascii="Times New Roman" w:hAnsi="Times New Roman"/>
          <w:color w:val="000000"/>
        </w:rPr>
        <w:t>25. 1. 2011 – 02. 02. 2011</w:t>
      </w:r>
    </w:p>
    <w:p w:rsidR="00C6246E" w:rsidP="00C6246E">
      <w:pPr>
        <w:bidi w:val="0"/>
        <w:rPr>
          <w:rFonts w:ascii="Times New Roman" w:hAnsi="Times New Roman"/>
          <w:b/>
          <w:bCs/>
        </w:rPr>
      </w:pPr>
    </w:p>
    <w:p w:rsidR="00C6246E" w:rsidP="00C6246E">
      <w:pPr>
        <w:bidi w:val="0"/>
        <w:rPr>
          <w:rFonts w:ascii="Times New Roman" w:hAnsi="Times New Roman"/>
          <w:b/>
          <w:bCs/>
        </w:rPr>
      </w:pPr>
    </w:p>
    <w:p w:rsidR="00C6246E" w:rsidP="001B166B">
      <w:pPr>
        <w:bidi w:val="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C6246E" w:rsidP="00C6246E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C6246E" w:rsidRPr="00915AFF" w:rsidP="00C6246E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 w:rsidR="002B595C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 w:rsidR="002B595C"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 w:rsidR="003A01BB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C6246E" w:rsidP="00C6246E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C6246E" w:rsidP="00C6246E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C6246E" w:rsidRPr="00915AFF" w:rsidP="00C6246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 w:rsidR="002B595C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 w:rsidR="002B595C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  <w:r w:rsidR="002B595C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 w:val="0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C6246E" w:rsidP="001B166B">
      <w:pPr>
        <w:pStyle w:val="BodyText"/>
        <w:bidi w:val="0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A.3. Poznámky</w:t>
      </w: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  <w:bCs/>
        </w:rPr>
      </w:pPr>
      <w:r w:rsidRPr="009C4C67" w:rsidR="009C4C67">
        <w:rPr>
          <w:rFonts w:ascii="Times New Roman" w:hAnsi="Times New Roman"/>
          <w:b w:val="0"/>
          <w:bCs/>
        </w:rPr>
        <w:t>Na základe schválenej investičnej pomoci v zmysle zákona 561/2007 Z.</w:t>
      </w:r>
      <w:r w:rsidR="00284763">
        <w:rPr>
          <w:rFonts w:ascii="Times New Roman" w:hAnsi="Times New Roman"/>
          <w:b w:val="0"/>
          <w:bCs/>
        </w:rPr>
        <w:t xml:space="preserve"> </w:t>
      </w:r>
      <w:r w:rsidRPr="009C4C67" w:rsidR="009C4C67">
        <w:rPr>
          <w:rFonts w:ascii="Times New Roman" w:hAnsi="Times New Roman"/>
          <w:b w:val="0"/>
          <w:bCs/>
        </w:rPr>
        <w:t>z.</w:t>
      </w:r>
      <w:r w:rsidR="009C4C67">
        <w:rPr>
          <w:rFonts w:ascii="Times New Roman" w:hAnsi="Times New Roman"/>
          <w:b w:val="0"/>
          <w:bCs/>
        </w:rPr>
        <w:t xml:space="preserve"> o investičnej pomoci a o zmene a doplnení niektorých zákonov v znení </w:t>
      </w:r>
      <w:r w:rsidR="00284763">
        <w:rPr>
          <w:rFonts w:ascii="Times New Roman" w:hAnsi="Times New Roman"/>
          <w:b w:val="0"/>
          <w:bCs/>
        </w:rPr>
        <w:t xml:space="preserve">zákona č. 56/2009 Z. z. </w:t>
      </w:r>
      <w:r w:rsidR="009C4C67">
        <w:rPr>
          <w:rFonts w:ascii="Times New Roman" w:hAnsi="Times New Roman"/>
          <w:b w:val="0"/>
          <w:bCs/>
        </w:rPr>
        <w:t>bolo celkovo schválených 24 investičných zámerov. Podľa nasledujúceho vzorca výpočtu výnosov pre verejné financie je koeficient prínosov v porovnaní s nákladmi z verejných zdrojov 1,74</w:t>
      </w:r>
      <w:r w:rsidR="009F0CA1">
        <w:rPr>
          <w:rFonts w:ascii="Times New Roman" w:hAnsi="Times New Roman"/>
          <w:b w:val="0"/>
          <w:bCs/>
        </w:rPr>
        <w:t>:</w:t>
      </w:r>
    </w:p>
    <w:p w:rsidR="009C4C67" w:rsidRPr="009C4C67" w:rsidP="00C6246E">
      <w:pPr>
        <w:pStyle w:val="BodyText"/>
        <w:bidi w:val="0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77pt;height:171pt;mso-position-horizontal-relative:char;mso-position-vertical-relative:line;visibility:visible" o:preferrelative="t" filled="f" stroked="f">
            <v:imagedata r:id="rId4" o:title="" chromakey="white"/>
            <o:lock v:ext="edit" aspectratio="t"/>
            <o:diagram v:ext="edit"/>
            <w10:wrap type="none"/>
            <w10:anchorlock/>
          </v:shape>
        </w:pict>
      </w: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9C4C67" w:rsidP="00C6246E">
      <w:pPr>
        <w:pStyle w:val="BodyText"/>
        <w:bidi w:val="0"/>
        <w:jc w:val="both"/>
        <w:rPr>
          <w:rFonts w:ascii="Times New Roman" w:hAnsi="Times New Roman"/>
          <w:b w:val="0"/>
        </w:rPr>
      </w:pPr>
      <w:r w:rsidR="006E7C3D">
        <w:rPr>
          <w:rFonts w:ascii="Times New Roman" w:hAnsi="Times New Roman"/>
          <w:b w:val="0"/>
        </w:rPr>
        <w:t>Popis:</w:t>
      </w:r>
    </w:p>
    <w:p w:rsidR="006E7C3D" w:rsidP="006E7C3D">
      <w:pPr>
        <w:bidi w:val="0"/>
        <w:jc w:val="both"/>
        <w:rPr>
          <w:rFonts w:ascii="Times New Roman" w:hAnsi="Times New Roman"/>
        </w:rPr>
      </w:pPr>
    </w:p>
    <w:p w:rsidR="006E7C3D" w:rsidP="006E7C3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Picture 11" o:spid="_x0000_i1026" type="#_x0000_t75" style="width:18pt;height:14.25pt;mso-position-horizontal-relative:char;mso-position-vertical-relative:line;visibility:visible" o:preferrelative="t" filled="f" stroked="f">
            <v:imagedata r:id="rId5" o:title="" chromakey="white"/>
            <o:lock v:ext="edit" aspectratio="t"/>
            <o:diagram v:ext="edit"/>
            <w10:wrap type="none"/>
            <w10:anchorlock/>
          </v:shape>
        </w:pict>
      </w:r>
      <w:r>
        <w:rPr>
          <w:rFonts w:ascii="Times New Roman" w:hAnsi="Times New Roman"/>
        </w:rPr>
        <w:t xml:space="preserve"> - </w:t>
      </w:r>
      <w:r w:rsidRPr="009D760D">
        <w:rPr>
          <w:rFonts w:ascii="Times New Roman" w:hAnsi="Times New Roman"/>
        </w:rPr>
        <w:t>súčasná hodnota priamych a indukovaných budúcich fiskálnych výnosov</w:t>
      </w:r>
    </w:p>
    <w:p w:rsidR="006E7C3D" w:rsidP="006E7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Picture 11" o:spid="_x0000_i1027" type="#_x0000_t75" style="width:18pt;height:14.25pt;mso-position-horizontal-relative:char;mso-position-vertical-relative:line;visibility:visible" o:preferrelative="t" filled="f" stroked="f">
            <v:imagedata r:id="rId5" o:title="" chromakey="white"/>
            <o:lock v:ext="edit" aspectratio="t"/>
            <o:diagram v:ext="edit"/>
            <w10:wrap type="none"/>
            <w10:anchorlock/>
          </v:shape>
        </w:pict>
      </w:r>
      <w:r>
        <w:rPr>
          <w:rFonts w:ascii="Times New Roman" w:hAnsi="Times New Roman"/>
        </w:rPr>
        <w:t xml:space="preserve"> - </w:t>
      </w:r>
      <w:r w:rsidRPr="009D760D">
        <w:rPr>
          <w:rFonts w:ascii="Times New Roman" w:hAnsi="Times New Roman"/>
        </w:rPr>
        <w:t>výška odhadovaných fiskálnych výnosov z individuálnych daní z</w:t>
      </w:r>
      <w:r w:rsidRPr="009D760D">
        <w:rPr>
          <w:rFonts w:ascii="Times New Roman" w:hAnsi="Times New Roman"/>
        </w:rPr>
        <w:t>o strany podporeného investora v roku k. Vypočíta sa ako príjem štátu z odvodov zamestnávateľa a zamestnanca, a dane z príj</w:t>
      </w:r>
      <w:r>
        <w:rPr>
          <w:rFonts w:ascii="Times New Roman" w:hAnsi="Times New Roman"/>
        </w:rPr>
        <w:t>mov fyzických osôb v danom roku</w:t>
      </w:r>
    </w:p>
    <w:p w:rsidR="006E7C3D" w:rsidP="006E7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Picture 10" o:spid="_x0000_i1028" type="#_x0000_t75" style="width:20.25pt;height:14.25pt;mso-position-horizontal-relative:char;mso-position-vertical-relative:line;visibility:visible" o:preferrelative="t" filled="f" stroked="f">
            <v:imagedata r:id="rId6" o:title="" chromakey="white"/>
            <o:lock v:ext="edit" aspectratio="t"/>
            <o:diagram v:ext="edit"/>
            <w10:wrap type="none"/>
            <w10:anchorlock/>
          </v:shape>
        </w:pict>
      </w:r>
      <w:r>
        <w:rPr>
          <w:rFonts w:ascii="Times New Roman" w:hAnsi="Times New Roman"/>
        </w:rPr>
        <w:t xml:space="preserve"> - </w:t>
      </w:r>
      <w:r w:rsidRPr="006E7C3D">
        <w:rPr>
          <w:rFonts w:ascii="Times New Roman" w:hAnsi="Times New Roman"/>
        </w:rPr>
        <w:t>výška odhadovaných fiskálnych výnosov z korporátnych daní zo strany po</w:t>
      </w:r>
      <w:r w:rsidRPr="006E7C3D">
        <w:rPr>
          <w:rFonts w:ascii="Times New Roman" w:hAnsi="Times New Roman"/>
        </w:rPr>
        <w:t>dporeného investora v roku k sa vypočít</w:t>
      </w:r>
      <w:r>
        <w:rPr>
          <w:rFonts w:ascii="Times New Roman" w:hAnsi="Times New Roman"/>
        </w:rPr>
        <w:t>a ako daň zo zisku v danom roku</w:t>
      </w:r>
    </w:p>
    <w:p w:rsidR="006E7C3D" w:rsidP="006E7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Picture 9" o:spid="_x0000_i1029" type="#_x0000_t75" style="width:20.25pt;height:15pt;mso-position-horizontal-relative:char;mso-position-vertical-relative:line;visibility:visible" o:preferrelative="t" filled="f" stroked="f">
            <v:imagedata r:id="rId7" o:title="" chromakey="white"/>
            <o:lock v:ext="edit" aspectratio="t"/>
            <o:diagram v:ext="edit"/>
            <w10:wrap type="none"/>
            <w10:anchorlock/>
          </v:shape>
        </w:pict>
      </w:r>
      <w:r>
        <w:rPr>
          <w:rFonts w:ascii="Times New Roman" w:hAnsi="Times New Roman"/>
        </w:rPr>
        <w:t xml:space="preserve"> - </w:t>
      </w:r>
      <w:r w:rsidRPr="006E7C3D">
        <w:rPr>
          <w:rFonts w:ascii="Times New Roman" w:hAnsi="Times New Roman"/>
        </w:rPr>
        <w:t>výška odhadovaných fiskálnych výnosov z individuálnych daní zo strany dodávateľov podporeného investora v roku k sa vypočíta ako príjem štátu z odvodov za</w:t>
      </w:r>
      <w:r w:rsidRPr="006E7C3D">
        <w:rPr>
          <w:rFonts w:ascii="Times New Roman" w:hAnsi="Times New Roman"/>
        </w:rPr>
        <w:t>mestnávateľa a zamestnanca, a dane z príjmov fyzických osôb v danom roku.</w:t>
      </w:r>
    </w:p>
    <w:p w:rsidR="006E7C3D" w:rsidP="006E7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Picture 8" o:spid="_x0000_i1030" type="#_x0000_t75" style="width:22.5pt;height:15pt;mso-position-horizontal-relative:char;mso-position-vertical-relative:line;visibility:visible" o:preferrelative="t" filled="f" stroked="f">
            <v:imagedata r:id="rId8" o:title="" chromakey="white"/>
            <o:lock v:ext="edit" aspectratio="t"/>
            <o:diagram v:ext="edit"/>
            <w10:wrap type="none"/>
            <w10:anchorlock/>
          </v:shape>
        </w:pict>
      </w:r>
      <w:r>
        <w:rPr>
          <w:rFonts w:ascii="Times New Roman" w:hAnsi="Times New Roman"/>
        </w:rPr>
        <w:t xml:space="preserve"> - </w:t>
      </w:r>
      <w:r w:rsidRPr="006E7C3D">
        <w:rPr>
          <w:rFonts w:ascii="Times New Roman" w:hAnsi="Times New Roman"/>
        </w:rPr>
        <w:t>výška odhadovaných fiskálnych výnosov z korporátnych daní zo strany dodávateľov podporeného investora v roku k sa vypočít</w:t>
      </w:r>
      <w:r>
        <w:rPr>
          <w:rFonts w:ascii="Times New Roman" w:hAnsi="Times New Roman"/>
        </w:rPr>
        <w:t>a ako daň zo zisku v danom rok</w:t>
      </w:r>
      <w:r>
        <w:rPr>
          <w:rFonts w:ascii="Times New Roman" w:hAnsi="Times New Roman"/>
        </w:rPr>
        <w:t>u</w:t>
      </w:r>
    </w:p>
    <w:p w:rsidR="006E7C3D" w:rsidP="006E7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Picture 7" o:spid="_x0000_i1031" type="#_x0000_t75" style="width:19.5pt;height:13.5pt;mso-position-horizontal-relative:char;mso-position-vertical-relative:line;visibility:visible" o:preferrelative="t" filled="f" stroked="f">
            <v:imagedata r:id="rId9" o:title="" chromakey="white"/>
            <o:lock v:ext="edit" aspectratio="t"/>
            <o:diagram v:ext="edit"/>
            <w10:wrap type="none"/>
            <w10:anchorlock/>
          </v:shape>
        </w:pict>
      </w:r>
      <w:r>
        <w:rPr>
          <w:rFonts w:ascii="Times New Roman" w:hAnsi="Times New Roman"/>
        </w:rPr>
        <w:t xml:space="preserve"> - </w:t>
      </w:r>
      <w:r w:rsidRPr="006E7C3D">
        <w:rPr>
          <w:rFonts w:ascii="Times New Roman" w:hAnsi="Times New Roman"/>
        </w:rPr>
        <w:t>ušetrená podpora v nezamestnanosti v roku k sa vypočíta ako súhrn ročne ušetrenej podpory v nezamestnanosti za všetkých zam</w:t>
      </w:r>
      <w:r>
        <w:rPr>
          <w:rFonts w:ascii="Times New Roman" w:hAnsi="Times New Roman"/>
        </w:rPr>
        <w:t>estnancov podporeného investora</w:t>
      </w:r>
    </w:p>
    <w:p w:rsidR="006E7C3D" w:rsidRPr="006E7C3D" w:rsidP="006E7C3D">
      <w:pPr>
        <w:bidi w:val="0"/>
        <w:jc w:val="both"/>
        <w:rPr>
          <w:rFonts w:ascii="Times New Roman" w:hAnsi="Times New Roman"/>
          <w:color w:val="000000"/>
        </w:rPr>
      </w:pPr>
      <w:r w:rsidRPr="006E7C3D">
        <w:rPr>
          <w:rFonts w:ascii="Times New Roman" w:hAnsi="Times New Roman"/>
          <w:color w:val="000000"/>
        </w:rPr>
        <w:t>i  - úroková miera je reprezentovaná výškou úrokovej miery štátnych dlhopisov so strednou až dlhou dobou splatnosti (6-10 rokov)</w:t>
      </w:r>
    </w:p>
    <w:p w:rsidR="006E7C3D" w:rsidRPr="006E7C3D" w:rsidP="006E7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Picture 6" o:spid="_x0000_i1032" type="#_x0000_t75" style="width:6.75pt;height:12.75pt;mso-position-horizontal-relative:char;mso-position-vertical-relative:line;visibility:visible" o:preferrelative="t" filled="f" stroked="f">
            <v:imagedata r:id="rId10" o:title="" chromakey="white"/>
            <o:lock v:ext="edit" aspectratio="t"/>
            <o:diagram v:ext="edit"/>
            <w10:wrap type="none"/>
            <w10:anchorlock/>
          </v:shape>
        </w:pict>
      </w:r>
      <w:r w:rsidRPr="006E7C3D">
        <w:rPr>
          <w:rFonts w:ascii="Times New Roman" w:hAnsi="Times New Roman"/>
        </w:rPr>
        <w:t xml:space="preserve"> - odhad miery inflácie</w:t>
      </w:r>
    </w:p>
    <w:p w:rsidR="006E7C3D" w:rsidRPr="006D2C6A" w:rsidP="006E7C3D">
      <w:pPr>
        <w:bidi w:val="0"/>
        <w:jc w:val="both"/>
        <w:rPr>
          <w:rFonts w:ascii="Times New Roman" w:hAnsi="Times New Roman"/>
          <w:color w:val="000000"/>
        </w:rPr>
      </w:pPr>
      <w:r w:rsidRPr="006D2C6A">
        <w:rPr>
          <w:rFonts w:ascii="Times New Roman" w:hAnsi="Times New Roman"/>
          <w:color w:val="000000"/>
        </w:rPr>
        <w:t>n - počet rokov odhadovaného obdobia</w:t>
      </w:r>
    </w:p>
    <w:p w:rsidR="006E7C3D" w:rsidRPr="006D2C6A" w:rsidP="006E7C3D">
      <w:pPr>
        <w:bidi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6D2C6A">
        <w:rPr>
          <w:rFonts w:ascii="Times New Roman" w:hAnsi="Times New Roman"/>
          <w:color w:val="000000"/>
          <w:sz w:val="22"/>
          <w:szCs w:val="22"/>
        </w:rPr>
        <w:t>k - konkrétny rok uvažovaného obdobia</w:t>
      </w:r>
    </w:p>
    <w:p w:rsidR="006E7C3D" w:rsidP="006E7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Picture 5" o:spid="_x0000_i1033" type="#_x0000_t75" style="width:12.75pt;height:12.75pt;mso-position-horizontal-relative:char;mso-position-vertical-relative:line;visibility:visible" o:preferrelative="t" filled="f" stroked="f">
            <v:imagedata r:id="rId11" o:title="" chromakey="white"/>
            <o:lock v:ext="edit" aspectratio="t"/>
            <o:diagram v:ext="edit"/>
            <w10:wrap type="none"/>
            <w10:anchorlock/>
          </v:shape>
        </w:pict>
      </w:r>
      <w:r w:rsidRPr="006D2C6A">
        <w:rPr>
          <w:rFonts w:ascii="Times New Roman" w:hAnsi="Times New Roman"/>
        </w:rPr>
        <w:t>- p_(1 )- odhad pravdepodobnosti, že by sa investície bez investičných stimulov neuskutočnili. Tento pomocný parameter reprezentuje odhad pravdepodobnosti dôležitosti investičného stimulu pre investora (inak povedané, že bez prítomno</w:t>
      </w:r>
      <w:r w:rsidRPr="006D2C6A">
        <w:rPr>
          <w:rFonts w:ascii="Times New Roman" w:hAnsi="Times New Roman"/>
        </w:rPr>
        <w:t>sti investičného stimulu</w:t>
      </w:r>
      <w:r w:rsidRPr="006E7C3D">
        <w:rPr>
          <w:rFonts w:ascii="Times New Roman" w:hAnsi="Times New Roman"/>
        </w:rPr>
        <w:t xml:space="preserve"> by sa investícia neuskutočnila). Parameter nadobúda hodnoty od 0 - 1, pričom hodnota 0 znamená, že investičný stimul je pre investora úplne nepotrebný a bez jeho prítomnosti by investoval taktiež. Hodnoty blížiace sa k 1 znamenajú,</w:t>
      </w:r>
      <w:r w:rsidRPr="006E7C3D">
        <w:rPr>
          <w:rFonts w:ascii="Times New Roman" w:hAnsi="Times New Roman"/>
        </w:rPr>
        <w:t xml:space="preserve"> že bez prítomnosti investičného stimulu by investor radšej investoval v inej krajine, teda je pre neho stimul úplne potrebný / dôležitý. ( Pozn. autorov - z praxe však najčastejšie tento parameter nadobúda hodnoty 0,2 - 0,35, čo znamená, že pre väčšinu i</w:t>
      </w:r>
      <w:r w:rsidRPr="006E7C3D">
        <w:rPr>
          <w:rFonts w:ascii="Times New Roman" w:hAnsi="Times New Roman"/>
        </w:rPr>
        <w:t>n</w:t>
      </w:r>
      <w:r w:rsidRPr="006E7C3D">
        <w:rPr>
          <w:rFonts w:ascii="Times New Roman" w:hAnsi="Times New Roman"/>
        </w:rPr>
        <w:t>vestorov sú investičné stimuly nepotrebné, teda že by v danej krajine investovali aj bez investičných stimulov.) Parameter sa dá odhadnúť, avšak je možné ho aj vypočítať ako podiel odmietnutých investorov, ktorí po odmietnutí investičného stimulu neinvest</w:t>
      </w:r>
      <w:r w:rsidRPr="006E7C3D">
        <w:rPr>
          <w:rFonts w:ascii="Times New Roman" w:hAnsi="Times New Roman"/>
        </w:rPr>
        <w:t>o</w:t>
      </w:r>
      <w:r w:rsidRPr="006E7C3D">
        <w:rPr>
          <w:rFonts w:ascii="Times New Roman" w:hAnsi="Times New Roman"/>
        </w:rPr>
        <w:t xml:space="preserve">vali v krajine, na celkovom počte investorov prichádzajúcich do krajiny (súčet tých čo žiadali aj tých čo </w:t>
      </w:r>
      <w:r>
        <w:rPr>
          <w:rFonts w:ascii="Times New Roman" w:hAnsi="Times New Roman"/>
        </w:rPr>
        <w:t>nežiadali o investičné stimuly)</w:t>
      </w:r>
    </w:p>
    <w:p w:rsidR="006E7C3D" w:rsidRPr="006E7C3D" w:rsidP="006E7C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Picture 4" o:spid="_x0000_i1034" type="#_x0000_t75" style="width:12.75pt;height:12.75pt;mso-position-horizontal-relative:char;mso-position-vertical-relative:line;visibility:visible" o:preferrelative="t" filled="f" stroked="f">
            <v:imagedata r:id="rId12" o:title="" chromakey="white"/>
            <o:lock v:ext="edit" aspectratio="t"/>
            <o:diagram v:ext="edit"/>
            <w10:wrap type="none"/>
            <w10:anchorlock/>
          </v:shape>
        </w:pict>
      </w:r>
      <w:r>
        <w:rPr>
          <w:rFonts w:ascii="Times New Roman" w:hAnsi="Times New Roman"/>
        </w:rPr>
        <w:t xml:space="preserve"> - </w:t>
      </w:r>
      <w:r w:rsidRPr="006E7C3D">
        <w:rPr>
          <w:rFonts w:ascii="Times New Roman" w:hAnsi="Times New Roman"/>
        </w:rPr>
        <w:t>odhad podielu zamestnancov pretiahnutých z iných firiem v SR. Tento pomocný parameter r</w:t>
      </w:r>
      <w:r w:rsidRPr="006E7C3D">
        <w:rPr>
          <w:rFonts w:ascii="Times New Roman" w:hAnsi="Times New Roman"/>
        </w:rPr>
        <w:t xml:space="preserve">eprezentuje odhad pravdepodobnosti podielu zamestnancov, ktorí sú pretiahnutí od konkurencie do firmy investora na celkovom počte zamestnancov investora. Hodnoty blízke 0 znamenajú, že skoro väčšina zamestnancov, ktorí pracujú u investora, prišlo z radov </w:t>
      </w:r>
      <w:r w:rsidRPr="006E7C3D">
        <w:rPr>
          <w:rFonts w:ascii="Times New Roman" w:hAnsi="Times New Roman"/>
        </w:rPr>
        <w:t>n</w:t>
      </w:r>
      <w:r w:rsidRPr="006E7C3D">
        <w:rPr>
          <w:rFonts w:ascii="Times New Roman" w:hAnsi="Times New Roman"/>
        </w:rPr>
        <w:t>ezamestnaných. Hodnota 1 znamená, že všetci zamestnanci boli stiahnutí od konkurencie, a teda investor nevytvoril ani jedno pracovné miesto, ktoré by bolo obsadené človekom evidovaným na úrade práce ako nezamestnaný.</w:t>
      </w:r>
    </w:p>
    <w:p w:rsidR="006E7C3D" w:rsidP="00C6246E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C6246E" w:rsidRPr="00B564AB" w:rsidP="001B166B">
      <w:pPr>
        <w:pStyle w:val="BodyText"/>
        <w:bidi w:val="0"/>
        <w:jc w:val="both"/>
        <w:outlineLvl w:val="0"/>
        <w:rPr>
          <w:rFonts w:ascii="Times New Roman" w:hAnsi="Times New Roman"/>
        </w:rPr>
      </w:pPr>
      <w:r w:rsidRPr="00B564AB">
        <w:rPr>
          <w:rFonts w:ascii="Times New Roman" w:hAnsi="Times New Roman"/>
        </w:rPr>
        <w:t xml:space="preserve">A.4. </w:t>
      </w:r>
      <w:r>
        <w:rPr>
          <w:rFonts w:ascii="Times New Roman" w:hAnsi="Times New Roman"/>
        </w:rPr>
        <w:t>Alternatívne riešenia</w:t>
      </w:r>
    </w:p>
    <w:p w:rsidR="00C6246E" w:rsidP="00C6246E">
      <w:pPr>
        <w:pStyle w:val="BodyText"/>
        <w:bidi w:val="0"/>
        <w:ind w:left="1416"/>
        <w:jc w:val="both"/>
        <w:rPr>
          <w:rFonts w:ascii="Times New Roman" w:hAnsi="Times New Roman"/>
          <w:b w:val="0"/>
          <w:sz w:val="22"/>
          <w:szCs w:val="22"/>
        </w:rPr>
      </w:pPr>
    </w:p>
    <w:p w:rsidR="00C6246E" w:rsidRPr="00284763" w:rsidP="00284763">
      <w:pPr>
        <w:pStyle w:val="BodyText"/>
        <w:bidi w:val="0"/>
        <w:jc w:val="both"/>
        <w:rPr>
          <w:rFonts w:ascii="Times New Roman" w:hAnsi="Times New Roman"/>
          <w:b w:val="0"/>
          <w:szCs w:val="24"/>
        </w:rPr>
      </w:pPr>
      <w:r w:rsidRPr="00284763">
        <w:rPr>
          <w:rFonts w:ascii="Times New Roman" w:hAnsi="Times New Roman"/>
          <w:b w:val="0"/>
          <w:szCs w:val="24"/>
        </w:rPr>
        <w:t>Ak zvažoval predkladateľ alternatívne riešenia, prosím uveďte bližšie aké, prečo a ktorý variant je v materiáli použitý?</w:t>
      </w:r>
    </w:p>
    <w:p w:rsidR="00C6246E" w:rsidP="00C6246E">
      <w:pPr>
        <w:pStyle w:val="BodyText"/>
        <w:bidi w:val="0"/>
        <w:jc w:val="both"/>
        <w:rPr>
          <w:rFonts w:ascii="Times New Roman" w:hAnsi="Times New Roman"/>
        </w:rPr>
      </w:pPr>
    </w:p>
    <w:p w:rsidR="00284763" w:rsidP="00C6246E">
      <w:pPr>
        <w:pStyle w:val="BodyText"/>
        <w:bidi w:val="0"/>
        <w:jc w:val="both"/>
        <w:rPr>
          <w:rFonts w:ascii="Times New Roman" w:hAnsi="Times New Roman"/>
        </w:rPr>
      </w:pPr>
    </w:p>
    <w:p w:rsidR="00C6246E" w:rsidP="001B166B">
      <w:pPr>
        <w:pStyle w:val="BodyText2"/>
        <w:bidi w:val="0"/>
        <w:outlineLvl w:val="0"/>
        <w:rPr>
          <w:rFonts w:ascii="Times New Roman" w:hAnsi="Times New Roman"/>
          <w:b/>
        </w:rPr>
      </w:pPr>
      <w:r w:rsidRPr="002076B4">
        <w:rPr>
          <w:rFonts w:ascii="Times New Roman" w:hAnsi="Times New Roman"/>
          <w:b/>
        </w:rPr>
        <w:t>A.5. Stanovi</w:t>
      </w:r>
      <w:smartTag w:uri="urn:schemas-microsoft-com:office:smarttags" w:element="PersonName">
        <w:r w:rsidRPr="002076B4">
          <w:rPr>
            <w:rFonts w:ascii="Times New Roman" w:hAnsi="Times New Roman"/>
            <w:b/>
          </w:rPr>
          <w:t>sk</w:t>
        </w:r>
      </w:smartTag>
      <w:r w:rsidRPr="002076B4">
        <w:rPr>
          <w:rFonts w:ascii="Times New Roman" w:hAnsi="Times New Roman"/>
          <w:b/>
        </w:rPr>
        <w:t xml:space="preserve">o gestorov </w:t>
      </w:r>
    </w:p>
    <w:p w:rsidR="00284763" w:rsidP="00284763">
      <w:pPr>
        <w:bidi w:val="0"/>
        <w:rPr>
          <w:rFonts w:ascii="Times New Roman" w:hAnsi="Times New Roman"/>
          <w:bCs/>
          <w:color w:val="000000"/>
        </w:rPr>
      </w:pPr>
      <w:r w:rsidRPr="00D90128">
        <w:rPr>
          <w:rFonts w:ascii="Times New Roman" w:hAnsi="Times New Roman"/>
        </w:rPr>
        <w:t>Ministerstvo pr</w:t>
      </w:r>
      <w:r>
        <w:rPr>
          <w:rFonts w:ascii="Times New Roman" w:hAnsi="Times New Roman"/>
        </w:rPr>
        <w:t>áce, sociálnych vecí a rodiny SR</w:t>
      </w:r>
      <w:r w:rsidRPr="00D90128">
        <w:rPr>
          <w:rFonts w:ascii="Times New Roman" w:hAnsi="Times New Roman"/>
        </w:rPr>
        <w:t xml:space="preserve"> súhlasí s</w:t>
      </w:r>
      <w:r>
        <w:rPr>
          <w:rFonts w:ascii="Times New Roman" w:hAnsi="Times New Roman"/>
        </w:rPr>
        <w:t xml:space="preserve"> </w:t>
      </w:r>
      <w:r w:rsidRPr="00D90128">
        <w:rPr>
          <w:rFonts w:ascii="Times New Roman" w:hAnsi="Times New Roman"/>
        </w:rPr>
        <w:t xml:space="preserve">doložkou vybraných vplyvov </w:t>
      </w:r>
      <w:r>
        <w:rPr>
          <w:rFonts w:ascii="Times New Roman" w:hAnsi="Times New Roman"/>
        </w:rPr>
        <w:t>v časti sociálne vplyvy pripravenou k predloženému návrhu</w:t>
      </w:r>
      <w:r>
        <w:rPr>
          <w:rFonts w:ascii="Times New Roman" w:hAnsi="Times New Roman"/>
          <w:bCs/>
          <w:color w:val="000000"/>
        </w:rPr>
        <w:t>.</w:t>
      </w:r>
    </w:p>
    <w:p w:rsidR="00284763" w:rsidRPr="002F0144" w:rsidP="00284763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Ministerstvo financií SR nemá pripomienky k doložke vybraných vplyvov z hľadi</w:t>
      </w:r>
      <w:smartTag w:uri="urn:schemas-microsoft-com:office:smarttags" w:element="PersonName">
        <w:r>
          <w:rPr>
            <w:rFonts w:ascii="Times New Roman" w:hAnsi="Times New Roman"/>
            <w:color w:val="000000"/>
          </w:rPr>
          <w:t>sk</w:t>
        </w:r>
      </w:smartTag>
      <w:r>
        <w:rPr>
          <w:rFonts w:ascii="Times New Roman" w:hAnsi="Times New Roman"/>
          <w:color w:val="000000"/>
        </w:rPr>
        <w:t xml:space="preserve">a vplyvov na informatizáciu spoločnosti. </w:t>
      </w:r>
    </w:p>
    <w:p w:rsidR="00284763" w:rsidRPr="000D5377" w:rsidP="00284763">
      <w:pPr>
        <w:bidi w:val="0"/>
        <w:jc w:val="both"/>
        <w:rPr>
          <w:rFonts w:ascii="Times New Roman" w:hAnsi="Times New Roman"/>
          <w:bCs/>
          <w:color w:val="000000"/>
        </w:rPr>
      </w:pPr>
      <w:r w:rsidRPr="000D5377">
        <w:rPr>
          <w:rFonts w:ascii="Times New Roman" w:hAnsi="Times New Roman"/>
          <w:bCs/>
          <w:color w:val="000000"/>
        </w:rPr>
        <w:t>Ministerstvo hospodárstva SR nemá k predmetnému materiálu pripomienky a</w:t>
      </w:r>
      <w:r>
        <w:rPr>
          <w:rFonts w:ascii="Times New Roman" w:hAnsi="Times New Roman"/>
          <w:bCs/>
          <w:color w:val="000000"/>
        </w:rPr>
        <w:t> </w:t>
      </w:r>
      <w:r w:rsidRPr="000D5377">
        <w:rPr>
          <w:rFonts w:ascii="Times New Roman" w:hAnsi="Times New Roman"/>
          <w:bCs/>
          <w:color w:val="000000"/>
        </w:rPr>
        <w:t>súhlasí s doložkou.</w:t>
      </w:r>
    </w:p>
    <w:p w:rsidR="00284763" w:rsidRPr="000D5377" w:rsidP="00284763">
      <w:pPr>
        <w:bidi w:val="0"/>
        <w:jc w:val="both"/>
        <w:rPr>
          <w:rFonts w:ascii="Times New Roman" w:hAnsi="Times New Roman"/>
          <w:bCs/>
          <w:color w:val="000000"/>
        </w:rPr>
      </w:pPr>
      <w:r w:rsidRPr="000D5377">
        <w:rPr>
          <w:rFonts w:ascii="Times New Roman" w:hAnsi="Times New Roman"/>
          <w:bCs/>
          <w:color w:val="000000"/>
        </w:rPr>
        <w:t xml:space="preserve">Ministerstvo </w:t>
      </w:r>
      <w:r>
        <w:rPr>
          <w:rFonts w:ascii="Times New Roman" w:hAnsi="Times New Roman"/>
          <w:bCs/>
          <w:color w:val="000000"/>
        </w:rPr>
        <w:t xml:space="preserve">životného prostredia </w:t>
      </w:r>
      <w:r w:rsidRPr="000D5377">
        <w:rPr>
          <w:rFonts w:ascii="Times New Roman" w:hAnsi="Times New Roman"/>
          <w:bCs/>
          <w:color w:val="000000"/>
        </w:rPr>
        <w:t>SR súhlasí s predloženou doložkou vybraných vplyvov bez pripomienok.</w:t>
      </w:r>
    </w:p>
    <w:p w:rsidR="00284763" w:rsidP="001B166B">
      <w:pPr>
        <w:pStyle w:val="BodyText2"/>
        <w:bidi w:val="0"/>
        <w:outlineLvl w:val="0"/>
        <w:rPr>
          <w:rFonts w:ascii="Times New Roman" w:hAnsi="Times New Roman"/>
          <w:b/>
        </w:rPr>
      </w:pPr>
    </w:p>
    <w:p w:rsidR="00284763" w:rsidRPr="002076B4" w:rsidP="001B166B">
      <w:pPr>
        <w:pStyle w:val="BodyText2"/>
        <w:bidi w:val="0"/>
        <w:outlineLvl w:val="0"/>
        <w:rPr>
          <w:rFonts w:ascii="Times New Roman" w:hAnsi="Times New Roman"/>
          <w:b/>
          <w:szCs w:val="24"/>
        </w:rPr>
      </w:pPr>
    </w:p>
    <w:sectPr w:rsidSect="00510F1C">
      <w:footerReference w:type="even" r:id="rId13"/>
      <w:footerReference w:type="default" r:id="rId14"/>
      <w:pgSz w:w="11906" w:h="16838"/>
      <w:pgMar w:top="1247" w:right="1418" w:bottom="1247" w:left="1418" w:header="709" w:footer="709" w:gutter="0"/>
      <w:lnNumType w:distance="0"/>
      <w:pgNumType w:start="4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1C" w:rsidP="00E22CC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10F1C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1C" w:rsidRPr="00510F1C" w:rsidP="00E22CC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510F1C">
      <w:rPr>
        <w:rStyle w:val="PageNumber"/>
        <w:rFonts w:ascii="Times New Roman" w:hAnsi="Times New Roman"/>
        <w:sz w:val="22"/>
        <w:szCs w:val="22"/>
      </w:rPr>
      <w:fldChar w:fldCharType="begin"/>
    </w:r>
    <w:r w:rsidRPr="00510F1C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510F1C">
      <w:rPr>
        <w:rStyle w:val="PageNumber"/>
        <w:rFonts w:ascii="Times New Roman" w:hAnsi="Times New Roman"/>
        <w:sz w:val="22"/>
        <w:szCs w:val="22"/>
      </w:rPr>
      <w:fldChar w:fldCharType="separate"/>
    </w:r>
    <w:r w:rsidR="00AB248F">
      <w:rPr>
        <w:rStyle w:val="PageNumber"/>
        <w:rFonts w:ascii="Times New Roman" w:hAnsi="Times New Roman"/>
        <w:noProof/>
        <w:sz w:val="22"/>
        <w:szCs w:val="22"/>
      </w:rPr>
      <w:t>4</w:t>
    </w:r>
    <w:r w:rsidRPr="00510F1C">
      <w:rPr>
        <w:rStyle w:val="PageNumber"/>
        <w:rFonts w:ascii="Times New Roman" w:hAnsi="Times New Roman"/>
        <w:sz w:val="22"/>
        <w:szCs w:val="22"/>
      </w:rPr>
      <w:fldChar w:fldCharType="end"/>
    </w:r>
  </w:p>
  <w:p w:rsidR="00510F1C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6246E"/>
    <w:rsid w:val="00003980"/>
    <w:rsid w:val="000A34F4"/>
    <w:rsid w:val="000D5377"/>
    <w:rsid w:val="001B166B"/>
    <w:rsid w:val="002076B4"/>
    <w:rsid w:val="00220599"/>
    <w:rsid w:val="00284763"/>
    <w:rsid w:val="00292DAD"/>
    <w:rsid w:val="002B595C"/>
    <w:rsid w:val="002F0144"/>
    <w:rsid w:val="003A01BB"/>
    <w:rsid w:val="0040793B"/>
    <w:rsid w:val="004E7D94"/>
    <w:rsid w:val="00510F1C"/>
    <w:rsid w:val="005E55D9"/>
    <w:rsid w:val="005F0590"/>
    <w:rsid w:val="006D2C6A"/>
    <w:rsid w:val="006E7C3D"/>
    <w:rsid w:val="007A2DE2"/>
    <w:rsid w:val="008A14D6"/>
    <w:rsid w:val="00915AFF"/>
    <w:rsid w:val="009C4C67"/>
    <w:rsid w:val="009D760D"/>
    <w:rsid w:val="009F0CA1"/>
    <w:rsid w:val="00AB248F"/>
    <w:rsid w:val="00B564AB"/>
    <w:rsid w:val="00C42E8E"/>
    <w:rsid w:val="00C6246E"/>
    <w:rsid w:val="00D90128"/>
    <w:rsid w:val="00E22CC2"/>
    <w:rsid w:val="00E40BE3"/>
    <w:rsid w:val="00EC732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6246E"/>
    <w:pPr>
      <w:jc w:val="left"/>
    </w:pPr>
    <w:rPr>
      <w:b/>
      <w:szCs w:val="20"/>
    </w:rPr>
  </w:style>
  <w:style w:type="paragraph" w:styleId="BodyText2">
    <w:name w:val="Body Text 2"/>
    <w:basedOn w:val="Normal"/>
    <w:rsid w:val="00C6246E"/>
    <w:pPr>
      <w:jc w:val="left"/>
    </w:pPr>
    <w:rPr>
      <w:szCs w:val="20"/>
    </w:rPr>
  </w:style>
  <w:style w:type="paragraph" w:styleId="Header">
    <w:name w:val="header"/>
    <w:basedOn w:val="Normal"/>
    <w:rsid w:val="00C6246E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9C4C67"/>
    <w:pPr>
      <w:tabs>
        <w:tab w:val="center" w:pos="4536"/>
        <w:tab w:val="right" w:pos="9072"/>
      </w:tabs>
      <w:jc w:val="left"/>
    </w:pPr>
  </w:style>
  <w:style w:type="paragraph" w:styleId="DocumentMap">
    <w:name w:val="Document Map"/>
    <w:basedOn w:val="Normal"/>
    <w:semiHidden/>
    <w:rsid w:val="001B166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510F1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806</Words>
  <Characters>4597</Characters>
  <Application>Microsoft Office Word</Application>
  <DocSecurity>0</DocSecurity>
  <Lines>0</Lines>
  <Paragraphs>0</Paragraphs>
  <ScaleCrop>false</ScaleCrop>
  <Company>mhsr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Gašparíková, Jarmila</cp:lastModifiedBy>
  <cp:revision>2</cp:revision>
  <cp:lastPrinted>2011-04-20T14:22:00Z</cp:lastPrinted>
  <dcterms:created xsi:type="dcterms:W3CDTF">2011-04-28T15:10:00Z</dcterms:created>
  <dcterms:modified xsi:type="dcterms:W3CDTF">2011-04-28T15:10:00Z</dcterms:modified>
</cp:coreProperties>
</file>