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07FF">
      <w:pPr>
        <w:bidi w:val="0"/>
        <w:rPr>
          <w:rFonts w:ascii="Times New Roman" w:hAnsi="Times New Roman"/>
          <w:b/>
        </w:rPr>
      </w:pPr>
      <w:r w:rsidR="00BF0238">
        <w:rPr>
          <w:rFonts w:ascii="Times New Roman" w:hAnsi="Times New Roman"/>
          <w:b/>
        </w:rPr>
        <w:t>Dôvodová správa</w:t>
      </w:r>
    </w:p>
    <w:p w:rsidR="00BF0238">
      <w:pPr>
        <w:bidi w:val="0"/>
        <w:rPr>
          <w:rFonts w:ascii="Times New Roman" w:hAnsi="Times New Roman"/>
          <w:b/>
        </w:rPr>
      </w:pPr>
    </w:p>
    <w:p w:rsidR="00BF0238" w:rsidP="00BF0238">
      <w:pPr>
        <w:numPr>
          <w:numId w:val="1"/>
        </w:numPr>
        <w:bidi w:val="0"/>
        <w:rPr>
          <w:rFonts w:ascii="Times New Roman" w:hAnsi="Times New Roman"/>
        </w:rPr>
      </w:pPr>
      <w:r>
        <w:rPr>
          <w:rFonts w:ascii="Times New Roman" w:hAnsi="Times New Roman"/>
          <w:b/>
        </w:rPr>
        <w:t>Všeobecná časť</w:t>
      </w:r>
    </w:p>
    <w:p w:rsidR="00BF0238" w:rsidP="00BF0238">
      <w:pPr>
        <w:bidi w:val="0"/>
        <w:rPr>
          <w:rFonts w:ascii="Times New Roman" w:hAnsi="Times New Roman"/>
        </w:rPr>
      </w:pPr>
    </w:p>
    <w:p w:rsidR="000827BA" w:rsidP="000827BA">
      <w:pPr>
        <w:bidi w:val="0"/>
        <w:jc w:val="both"/>
        <w:rPr>
          <w:rFonts w:ascii="Times New Roman" w:hAnsi="Times New Roman"/>
        </w:rPr>
      </w:pPr>
      <w:r>
        <w:rPr>
          <w:rFonts w:ascii="Times New Roman" w:hAnsi="Times New Roman"/>
        </w:rPr>
        <w:t>Pokračujúca intenzívna výstavba hlavne vo väčších mestách prináša so sebou mnohé problémy, najmä však problém s prehusťovaním dopravy v miestach, kde sa sústreďuje väčšie množstvo ľudí a dopravných prostriedkov. Takýmito miestami sú obchodné centrá, veľké bytové domy alebo polyfunkčné stavby, kde sa okrem obyvateľov sústreďuje mnoho podnikateľov a ich klientov. Dnes už investori takýchto projektov dokážu zabezpečiť v podstate adekvátny počet parkovacích miest pre užívateľov takýchto objektov, toto je však postačujúce len pre zabezpečenie určitého komfortu pre týchto užívateľov.</w:t>
      </w:r>
    </w:p>
    <w:p w:rsidR="000827BA" w:rsidP="000827BA">
      <w:pPr>
        <w:bidi w:val="0"/>
        <w:jc w:val="both"/>
        <w:rPr>
          <w:rFonts w:ascii="Times New Roman" w:hAnsi="Times New Roman"/>
        </w:rPr>
      </w:pPr>
    </w:p>
    <w:p w:rsidR="000827BA" w:rsidP="000827BA">
      <w:pPr>
        <w:bidi w:val="0"/>
        <w:jc w:val="both"/>
        <w:rPr>
          <w:rFonts w:ascii="Times New Roman" w:hAnsi="Times New Roman"/>
        </w:rPr>
      </w:pPr>
      <w:r>
        <w:rPr>
          <w:rFonts w:ascii="Times New Roman" w:hAnsi="Times New Roman"/>
        </w:rPr>
        <w:t xml:space="preserve">Čoraz väčším problémom sa ukazuje byť dopravné napojenie z týchto objektov na ostatné miestne komunikácie, prehusťovanie a zneprehľadňovanie dopravy v týchto miestach, ale aj väčšie opotrebovanie miestnych komunikácií a tým aj väčšie nároky na ich údržbu a s tým spojené výdavky nielen v miestach výstavby nových objektov, ale nároky na miestnu dopravu vôbec. Pôvodné architektonické a urbanistické dimenzovanie miest na Slovensku pred niekoľkými desaťročiami nepočítalo s tak intenzívnym rozvojom miestnej dopravy, nárastu miestnej dopravy, ako aj s tak intenzívnou výstavbou nových objektov. </w:t>
      </w:r>
    </w:p>
    <w:p w:rsidR="000827BA" w:rsidP="000827BA">
      <w:pPr>
        <w:bidi w:val="0"/>
        <w:jc w:val="both"/>
        <w:rPr>
          <w:rFonts w:ascii="Times New Roman" w:hAnsi="Times New Roman"/>
        </w:rPr>
      </w:pPr>
    </w:p>
    <w:p w:rsidR="000827BA" w:rsidP="000827BA">
      <w:pPr>
        <w:bidi w:val="0"/>
        <w:jc w:val="both"/>
        <w:rPr>
          <w:rFonts w:ascii="Times New Roman" w:hAnsi="Times New Roman"/>
        </w:rPr>
      </w:pPr>
      <w:r>
        <w:rPr>
          <w:rFonts w:ascii="Times New Roman" w:hAnsi="Times New Roman"/>
        </w:rPr>
        <w:t>Predkladaný návrh zákona o miestnom poplatku za zaťaženie pozemných komunikácii na území obce má snahu umožniť miestnym samosprávam, aby si na základe miestnych podmienok mohli regulovať takéto situácie, resp. má prispieť k tomu, že na základe takto vyberan</w:t>
      </w:r>
      <w:r w:rsidR="00C96572">
        <w:rPr>
          <w:rFonts w:ascii="Times New Roman" w:hAnsi="Times New Roman"/>
        </w:rPr>
        <w:t>om</w:t>
      </w:r>
      <w:r>
        <w:rPr>
          <w:rFonts w:ascii="Times New Roman" w:hAnsi="Times New Roman"/>
        </w:rPr>
        <w:t xml:space="preserve"> </w:t>
      </w:r>
      <w:r w:rsidR="00C96572">
        <w:rPr>
          <w:rFonts w:ascii="Times New Roman" w:hAnsi="Times New Roman"/>
        </w:rPr>
        <w:t>poplatku</w:t>
      </w:r>
      <w:r>
        <w:rPr>
          <w:rFonts w:ascii="Times New Roman" w:hAnsi="Times New Roman"/>
        </w:rPr>
        <w:t xml:space="preserve"> získajú samosprávy prostriedky na sanovanie problémov s prehustenou dopravou v určitých miestach</w:t>
      </w:r>
      <w:r w:rsidR="00C96572">
        <w:rPr>
          <w:rFonts w:ascii="Times New Roman" w:hAnsi="Times New Roman"/>
        </w:rPr>
        <w:t xml:space="preserve"> a problémov s miestnou dopravou v slovenských mestách všeobecne.</w:t>
      </w:r>
      <w:r>
        <w:rPr>
          <w:rFonts w:ascii="Times New Roman" w:hAnsi="Times New Roman"/>
        </w:rPr>
        <w:t xml:space="preserve">  </w:t>
      </w:r>
    </w:p>
    <w:p w:rsidR="000827BA" w:rsidP="000827BA">
      <w:pPr>
        <w:bidi w:val="0"/>
        <w:jc w:val="both"/>
        <w:rPr>
          <w:rFonts w:ascii="Times New Roman" w:hAnsi="Times New Roman"/>
        </w:rPr>
      </w:pPr>
    </w:p>
    <w:p w:rsidR="000827BA" w:rsidP="000827BA">
      <w:pPr>
        <w:bidi w:val="0"/>
        <w:jc w:val="both"/>
        <w:rPr>
          <w:rFonts w:ascii="Times New Roman" w:hAnsi="Times New Roman"/>
        </w:rPr>
      </w:pPr>
      <w:r>
        <w:rPr>
          <w:rFonts w:ascii="Times New Roman" w:hAnsi="Times New Roman"/>
        </w:rPr>
        <w:t xml:space="preserve">Návrh predpokladá, že stavebník bude zaťažený osobitným druhom </w:t>
      </w:r>
      <w:r w:rsidR="00C96572">
        <w:rPr>
          <w:rFonts w:ascii="Times New Roman" w:hAnsi="Times New Roman"/>
        </w:rPr>
        <w:t>miestneho poplatku</w:t>
      </w:r>
      <w:r>
        <w:rPr>
          <w:rFonts w:ascii="Times New Roman" w:hAnsi="Times New Roman"/>
        </w:rPr>
        <w:t xml:space="preserve">. </w:t>
      </w:r>
      <w:r w:rsidR="00C96572">
        <w:rPr>
          <w:rFonts w:ascii="Times New Roman" w:hAnsi="Times New Roman"/>
        </w:rPr>
        <w:t xml:space="preserve">Poplatok by mal byť platený jednorazovo, pričom stanovenie podmienok, kto sa stane poplatníkom, obsahujú jednotlivé ustanovenia návrhu zákona. Spoplatnený by mal byť poplatník, ktorým je fyzická osoba alebo právnická osoba, ktorej bolo, ako stavebníkovi, vydané právoplatné stavebné povolenie na stavbu, súčasťou ktorej sú odstavné a parkovacie stojiská v počte minimálne </w:t>
      </w:r>
      <w:r w:rsidR="00291A3F">
        <w:rPr>
          <w:rFonts w:ascii="Times New Roman" w:hAnsi="Times New Roman"/>
        </w:rPr>
        <w:t>1</w:t>
      </w:r>
      <w:r w:rsidR="00C96572">
        <w:rPr>
          <w:rFonts w:ascii="Times New Roman" w:hAnsi="Times New Roman"/>
        </w:rPr>
        <w:t xml:space="preserve">0. </w:t>
      </w:r>
      <w:r>
        <w:rPr>
          <w:rFonts w:ascii="Times New Roman" w:hAnsi="Times New Roman"/>
        </w:rPr>
        <w:t xml:space="preserve">Počet dopravných prostriedkov, ktoré budú v budúcnosti parkovať na týchto </w:t>
      </w:r>
      <w:r w:rsidR="00C96572">
        <w:rPr>
          <w:rFonts w:ascii="Times New Roman" w:hAnsi="Times New Roman"/>
        </w:rPr>
        <w:t xml:space="preserve">odstavných a parkovacích stojiskách </w:t>
      </w:r>
      <w:r>
        <w:rPr>
          <w:rFonts w:ascii="Times New Roman" w:hAnsi="Times New Roman"/>
        </w:rPr>
        <w:t xml:space="preserve">totiž priamo zaťaží dopravu na danom mieste tak, ako je uvedené vyššie.  </w:t>
      </w:r>
    </w:p>
    <w:p w:rsidR="00C96572" w:rsidP="000827BA">
      <w:pPr>
        <w:bidi w:val="0"/>
        <w:jc w:val="both"/>
        <w:rPr>
          <w:rFonts w:ascii="Times New Roman" w:hAnsi="Times New Roman"/>
        </w:rPr>
      </w:pPr>
    </w:p>
    <w:p w:rsidR="00C96572" w:rsidP="000827BA">
      <w:pPr>
        <w:bidi w:val="0"/>
        <w:jc w:val="both"/>
        <w:rPr>
          <w:rFonts w:ascii="Times New Roman" w:hAnsi="Times New Roman"/>
        </w:rPr>
      </w:pPr>
      <w:r>
        <w:rPr>
          <w:rFonts w:ascii="Times New Roman" w:hAnsi="Times New Roman"/>
        </w:rPr>
        <w:t xml:space="preserve">Predkladaný návrh zákona zavádza osobitný druh miestneho poplatku, ktorého osobitosť spočíva vo viacerých bodoch. Ide o miestny poplatok, ktorý nie je obligatórny, ako je to </w:t>
      </w:r>
      <w:r w:rsidR="000C391B">
        <w:rPr>
          <w:rFonts w:ascii="Times New Roman" w:hAnsi="Times New Roman"/>
        </w:rPr>
        <w:t>pri miestnom poplatku za komunálne odpady  a drobné stavebné odpady. Viazanosť použitia výnosu tohto poplatku je daná tak, ako pri inom miestnom poplatku, jeho zavedeni</w:t>
      </w:r>
      <w:r w:rsidR="00982A62">
        <w:rPr>
          <w:rFonts w:ascii="Times New Roman" w:hAnsi="Times New Roman"/>
        </w:rPr>
        <w:t>e</w:t>
      </w:r>
      <w:r w:rsidR="000C391B">
        <w:rPr>
          <w:rFonts w:ascii="Times New Roman" w:hAnsi="Times New Roman"/>
        </w:rPr>
        <w:t xml:space="preserve"> však spočíva na vôli konkrétnej obci. Jeho úlohou je jednak získať prostriedky na riešenie problémov v miestnej doprave vzniknutých intenzívnou výstavbou, takisto však regulovať túto intenzívnu výstavbu podľa miestnych podmienok. </w:t>
      </w:r>
    </w:p>
    <w:p w:rsidR="000C391B" w:rsidP="000827BA">
      <w:pPr>
        <w:bidi w:val="0"/>
        <w:jc w:val="both"/>
        <w:rPr>
          <w:rFonts w:ascii="Times New Roman" w:hAnsi="Times New Roman"/>
        </w:rPr>
      </w:pPr>
    </w:p>
    <w:p w:rsidR="000C391B" w:rsidP="000827BA">
      <w:pPr>
        <w:bidi w:val="0"/>
        <w:jc w:val="both"/>
        <w:rPr>
          <w:rFonts w:ascii="Times New Roman" w:hAnsi="Times New Roman"/>
        </w:rPr>
      </w:pPr>
      <w:r>
        <w:rPr>
          <w:rFonts w:ascii="Times New Roman" w:hAnsi="Times New Roman"/>
        </w:rPr>
        <w:t xml:space="preserve">Dôležitú úlohu tu budú hrať všeobecne záväzné nariadenia obcí, ktoré si určia všetky potrebné náležitosti výšky, vyberania a správy tohto poplatku, ako aj to, kto bude od  poplatku oslobodený. Návrh zákona to ponecháva na samotných obciach, predkladateľ však má na mysli najmä budovy škôl, nemocnice, zariadenia poskytujúce sociálne služby a pod. </w:t>
      </w:r>
    </w:p>
    <w:p w:rsidR="00C96572" w:rsidP="000827BA">
      <w:pPr>
        <w:bidi w:val="0"/>
        <w:jc w:val="both"/>
        <w:rPr>
          <w:rFonts w:ascii="Times New Roman" w:hAnsi="Times New Roman"/>
        </w:rPr>
      </w:pPr>
    </w:p>
    <w:p w:rsidR="001C61F4" w:rsidRPr="001C61F4" w:rsidP="000827BA">
      <w:pPr>
        <w:bidi w:val="0"/>
        <w:jc w:val="both"/>
        <w:rPr>
          <w:rFonts w:ascii="Times New Roman" w:hAnsi="Times New Roman"/>
          <w:b/>
        </w:rPr>
      </w:pPr>
      <w:r w:rsidRPr="001C61F4">
        <w:rPr>
          <w:rFonts w:ascii="Times New Roman" w:hAnsi="Times New Roman"/>
          <w:b/>
        </w:rPr>
        <w:t xml:space="preserve">Doložka </w:t>
      </w:r>
      <w:r w:rsidR="00551471">
        <w:rPr>
          <w:rFonts w:ascii="Times New Roman" w:hAnsi="Times New Roman"/>
          <w:b/>
        </w:rPr>
        <w:t>vplyvov</w:t>
      </w:r>
    </w:p>
    <w:p w:rsidR="001C61F4" w:rsidP="000827BA">
      <w:pPr>
        <w:bidi w:val="0"/>
        <w:jc w:val="both"/>
        <w:rPr>
          <w:rFonts w:ascii="Times New Roman" w:hAnsi="Times New Roman"/>
        </w:rPr>
      </w:pPr>
    </w:p>
    <w:p w:rsidR="00F561C0" w:rsidP="000827BA">
      <w:pPr>
        <w:bidi w:val="0"/>
        <w:jc w:val="both"/>
        <w:rPr>
          <w:rFonts w:ascii="Times New Roman" w:hAnsi="Times New Roman"/>
        </w:rPr>
      </w:pPr>
      <w:r w:rsidR="00C96572">
        <w:rPr>
          <w:rFonts w:ascii="Times New Roman" w:hAnsi="Times New Roman"/>
        </w:rPr>
        <w:t>Predkladaný návrh zákona</w:t>
      </w:r>
      <w:r w:rsidR="000827BA">
        <w:rPr>
          <w:rFonts w:ascii="Times New Roman" w:hAnsi="Times New Roman"/>
        </w:rPr>
        <w:t xml:space="preserve"> o</w:t>
      </w:r>
      <w:r w:rsidR="00C96572">
        <w:rPr>
          <w:rFonts w:ascii="Times New Roman" w:hAnsi="Times New Roman"/>
        </w:rPr>
        <w:t> </w:t>
      </w:r>
      <w:r w:rsidR="000827BA">
        <w:rPr>
          <w:rFonts w:ascii="Times New Roman" w:hAnsi="Times New Roman"/>
        </w:rPr>
        <w:t>miestn</w:t>
      </w:r>
      <w:r w:rsidR="00C96572">
        <w:rPr>
          <w:rFonts w:ascii="Times New Roman" w:hAnsi="Times New Roman"/>
        </w:rPr>
        <w:t>om poplatku za zaťaženie pozemných komunikácii na území obce</w:t>
      </w:r>
      <w:r w:rsidR="000827BA">
        <w:rPr>
          <w:rFonts w:ascii="Times New Roman" w:hAnsi="Times New Roman"/>
        </w:rPr>
        <w:t xml:space="preserve"> nepredpokladá zvýšenie finančných dôsledkov na štátny rozpočet a vo vzťahu k rozpočtom obcí sa predpokladá zvýšenie príjmov tam, kde bude t</w:t>
      </w:r>
      <w:r w:rsidR="000C391B">
        <w:rPr>
          <w:rFonts w:ascii="Times New Roman" w:hAnsi="Times New Roman"/>
        </w:rPr>
        <w:t xml:space="preserve">ento poplatok </w:t>
      </w:r>
      <w:r w:rsidR="000827BA">
        <w:rPr>
          <w:rFonts w:ascii="Times New Roman" w:hAnsi="Times New Roman"/>
        </w:rPr>
        <w:t>zaveden</w:t>
      </w:r>
      <w:r w:rsidR="000C391B">
        <w:rPr>
          <w:rFonts w:ascii="Times New Roman" w:hAnsi="Times New Roman"/>
        </w:rPr>
        <w:t>ý</w:t>
      </w:r>
      <w:r w:rsidR="000827BA">
        <w:rPr>
          <w:rFonts w:ascii="Times New Roman" w:hAnsi="Times New Roman"/>
        </w:rPr>
        <w:t>. Navrhovanými zmenami a úpravami sa neočakáva zvýšenie finančného zaťaženia obyvateľov v poro</w:t>
      </w:r>
      <w:r w:rsidR="00A24C2F">
        <w:rPr>
          <w:rFonts w:ascii="Times New Roman" w:hAnsi="Times New Roman"/>
        </w:rPr>
        <w:t>vnaní s rokom 2010 resp. 2011</w:t>
      </w:r>
      <w:r w:rsidR="000827BA">
        <w:rPr>
          <w:rFonts w:ascii="Times New Roman" w:hAnsi="Times New Roman"/>
        </w:rPr>
        <w:t xml:space="preserve">. </w:t>
      </w:r>
    </w:p>
    <w:p w:rsidR="00F561C0" w:rsidP="000827BA">
      <w:pPr>
        <w:bidi w:val="0"/>
        <w:jc w:val="both"/>
        <w:rPr>
          <w:rFonts w:ascii="Times New Roman" w:hAnsi="Times New Roman"/>
        </w:rPr>
      </w:pPr>
      <w:r w:rsidR="000827BA">
        <w:rPr>
          <w:rFonts w:ascii="Times New Roman" w:hAnsi="Times New Roman"/>
        </w:rPr>
        <w:t>Predpokladá sa vyššie zaťaženie podnikateľov v stavebnom s</w:t>
      </w:r>
      <w:r w:rsidR="000C391B">
        <w:rPr>
          <w:rFonts w:ascii="Times New Roman" w:hAnsi="Times New Roman"/>
        </w:rPr>
        <w:t>egmente</w:t>
      </w:r>
      <w:r w:rsidR="000827BA">
        <w:rPr>
          <w:rFonts w:ascii="Times New Roman" w:hAnsi="Times New Roman"/>
        </w:rPr>
        <w:t xml:space="preserve">, kde sa počíta s vyšším </w:t>
      </w:r>
      <w:r w:rsidR="000C391B">
        <w:rPr>
          <w:rFonts w:ascii="Times New Roman" w:hAnsi="Times New Roman"/>
        </w:rPr>
        <w:t xml:space="preserve">poplatkovým </w:t>
      </w:r>
      <w:r w:rsidR="000827BA">
        <w:rPr>
          <w:rFonts w:ascii="Times New Roman" w:hAnsi="Times New Roman"/>
        </w:rPr>
        <w:t xml:space="preserve">zaťažením. </w:t>
      </w:r>
    </w:p>
    <w:p w:rsidR="000827BA" w:rsidP="000827BA">
      <w:pPr>
        <w:bidi w:val="0"/>
        <w:jc w:val="both"/>
        <w:rPr>
          <w:rFonts w:ascii="Times New Roman" w:hAnsi="Times New Roman"/>
        </w:rPr>
      </w:pPr>
      <w:r>
        <w:rPr>
          <w:rFonts w:ascii="Times New Roman" w:hAnsi="Times New Roman"/>
        </w:rPr>
        <w:t xml:space="preserve">Návrh </w:t>
      </w:r>
      <w:r w:rsidR="000C391B">
        <w:rPr>
          <w:rFonts w:ascii="Times New Roman" w:hAnsi="Times New Roman"/>
        </w:rPr>
        <w:t xml:space="preserve">zákona o miestnom poplatku za zaťaženie pozemných komunikácii na území obce </w:t>
      </w:r>
      <w:r>
        <w:rPr>
          <w:rFonts w:ascii="Times New Roman" w:hAnsi="Times New Roman"/>
        </w:rPr>
        <w:t>nebude mať negatívny finančný dopad ani na životné prostredie.</w:t>
      </w:r>
    </w:p>
    <w:p w:rsidR="000827BA" w:rsidP="000827BA">
      <w:pPr>
        <w:bidi w:val="0"/>
        <w:jc w:val="both"/>
        <w:rPr>
          <w:rFonts w:ascii="Times New Roman" w:hAnsi="Times New Roman"/>
        </w:rPr>
      </w:pPr>
    </w:p>
    <w:p w:rsidR="000827BA" w:rsidP="000827BA">
      <w:pPr>
        <w:bidi w:val="0"/>
        <w:jc w:val="both"/>
        <w:rPr>
          <w:rFonts w:ascii="Times New Roman" w:hAnsi="Times New Roman"/>
        </w:rPr>
      </w:pPr>
      <w:r>
        <w:rPr>
          <w:rFonts w:ascii="Times New Roman" w:hAnsi="Times New Roman"/>
        </w:rPr>
        <w:t>Návrh zákona nebude mať dopad na zamestnanosť a na tvorbu pracovných miest.</w:t>
      </w:r>
    </w:p>
    <w:p w:rsidR="000827BA" w:rsidP="000827BA">
      <w:pPr>
        <w:bidi w:val="0"/>
        <w:jc w:val="both"/>
        <w:rPr>
          <w:rFonts w:ascii="Times New Roman" w:hAnsi="Times New Roman"/>
        </w:rPr>
      </w:pPr>
    </w:p>
    <w:p w:rsidR="000827BA" w:rsidP="000827BA">
      <w:pPr>
        <w:bidi w:val="0"/>
        <w:jc w:val="both"/>
        <w:rPr>
          <w:rFonts w:ascii="Times New Roman" w:hAnsi="Times New Roman"/>
        </w:rPr>
      </w:pPr>
      <w:r>
        <w:rPr>
          <w:rFonts w:ascii="Times New Roman" w:hAnsi="Times New Roman"/>
        </w:rPr>
        <w:t>Navrhovaná právna úprava je v súlade s medzinárodnými zmluvami a inými medzinárodnými dokumentmi, ktorými je Slovenská republika viazaná. Predmet úpravy návrhu novely zákona o miestnych daniach nie je upravený v práve Európskych spoločenstiev</w:t>
      </w:r>
      <w:r w:rsidR="00EB0095">
        <w:rPr>
          <w:rFonts w:ascii="Times New Roman" w:hAnsi="Times New Roman"/>
        </w:rPr>
        <w:t xml:space="preserve"> (okrem problematiky dane z motorových vozidiel, ktorá nie je predmetom predkladaného návrhu)</w:t>
      </w:r>
      <w:r>
        <w:rPr>
          <w:rFonts w:ascii="Times New Roman" w:hAnsi="Times New Roman"/>
        </w:rPr>
        <w:t>. Ide o</w:t>
      </w:r>
      <w:r w:rsidR="000C391B">
        <w:rPr>
          <w:rFonts w:ascii="Times New Roman" w:hAnsi="Times New Roman"/>
        </w:rPr>
        <w:t xml:space="preserve"> miestne </w:t>
      </w:r>
      <w:r w:rsidR="00F561C0">
        <w:rPr>
          <w:rFonts w:ascii="Times New Roman" w:hAnsi="Times New Roman"/>
        </w:rPr>
        <w:t xml:space="preserve">dane a </w:t>
      </w:r>
      <w:r w:rsidR="000C391B">
        <w:rPr>
          <w:rFonts w:ascii="Times New Roman" w:hAnsi="Times New Roman"/>
        </w:rPr>
        <w:t>poplatky</w:t>
      </w:r>
      <w:r>
        <w:rPr>
          <w:rFonts w:ascii="Times New Roman" w:hAnsi="Times New Roman"/>
        </w:rPr>
        <w:t xml:space="preserve">, ktorých zlučiteľnosť s právom Európskej únie </w:t>
      </w:r>
      <w:r w:rsidR="00EB0095">
        <w:rPr>
          <w:rFonts w:ascii="Times New Roman" w:hAnsi="Times New Roman"/>
        </w:rPr>
        <w:t xml:space="preserve">(okrem dane z motorových vozidiel) </w:t>
      </w:r>
      <w:r>
        <w:rPr>
          <w:rFonts w:ascii="Times New Roman" w:hAnsi="Times New Roman"/>
        </w:rPr>
        <w:t xml:space="preserve">sa nevyžaduje. </w:t>
      </w:r>
    </w:p>
    <w:p w:rsidR="000827BA" w:rsidP="000827BA">
      <w:pPr>
        <w:bidi w:val="0"/>
        <w:jc w:val="both"/>
        <w:rPr>
          <w:rFonts w:ascii="Times New Roman" w:hAnsi="Times New Roman"/>
        </w:rPr>
      </w:pPr>
    </w:p>
    <w:p w:rsidR="00BF0238" w:rsidP="000827BA">
      <w:pPr>
        <w:bidi w:val="0"/>
        <w:jc w:val="both"/>
        <w:rPr>
          <w:rFonts w:ascii="Times New Roman" w:hAnsi="Times New Roman"/>
        </w:rPr>
      </w:pPr>
      <w:r w:rsidR="000827BA">
        <w:rPr>
          <w:rFonts w:ascii="Times New Roman" w:hAnsi="Times New Roman"/>
        </w:rPr>
        <w:t>Tento návrh zákona je v súlade s Ústavou Slovenskej republiky a nie je v rozpore s inými všeobecne záväznými právnymi predpismi.</w:t>
      </w:r>
    </w:p>
    <w:p w:rsidR="000C391B" w:rsidP="000827BA">
      <w:pPr>
        <w:bidi w:val="0"/>
        <w:jc w:val="both"/>
        <w:rPr>
          <w:rFonts w:ascii="Times New Roman" w:hAnsi="Times New Roman"/>
        </w:rPr>
      </w:pPr>
    </w:p>
    <w:p w:rsidR="000C391B" w:rsidP="000C391B">
      <w:pPr>
        <w:numPr>
          <w:numId w:val="1"/>
        </w:numPr>
        <w:bidi w:val="0"/>
        <w:jc w:val="both"/>
        <w:rPr>
          <w:rFonts w:ascii="Times New Roman" w:hAnsi="Times New Roman"/>
          <w:b/>
        </w:rPr>
      </w:pPr>
      <w:r>
        <w:rPr>
          <w:rFonts w:ascii="Times New Roman" w:hAnsi="Times New Roman"/>
          <w:b/>
        </w:rPr>
        <w:t>Osobitná časť</w:t>
      </w:r>
    </w:p>
    <w:p w:rsidR="000C391B" w:rsidP="000C391B">
      <w:pPr>
        <w:bidi w:val="0"/>
        <w:jc w:val="both"/>
        <w:rPr>
          <w:rFonts w:ascii="Times New Roman" w:hAnsi="Times New Roman"/>
          <w:b/>
        </w:rPr>
      </w:pPr>
    </w:p>
    <w:p w:rsidR="000C391B" w:rsidRPr="0000523A" w:rsidP="000C391B">
      <w:pPr>
        <w:bidi w:val="0"/>
        <w:jc w:val="both"/>
        <w:rPr>
          <w:rFonts w:ascii="Times New Roman" w:hAnsi="Times New Roman"/>
          <w:b/>
        </w:rPr>
      </w:pPr>
      <w:r w:rsidRPr="0000523A">
        <w:rPr>
          <w:rFonts w:ascii="Times New Roman" w:hAnsi="Times New Roman"/>
          <w:b/>
        </w:rPr>
        <w:t>Čl. I</w:t>
      </w:r>
    </w:p>
    <w:p w:rsidR="000C391B" w:rsidRPr="0000523A" w:rsidP="000C391B">
      <w:pPr>
        <w:bidi w:val="0"/>
        <w:jc w:val="both"/>
        <w:rPr>
          <w:rFonts w:ascii="Times New Roman" w:hAnsi="Times New Roman"/>
          <w:b/>
        </w:rPr>
      </w:pPr>
    </w:p>
    <w:p w:rsidR="000C391B" w:rsidRPr="0000523A" w:rsidP="000C391B">
      <w:pPr>
        <w:bidi w:val="0"/>
        <w:jc w:val="both"/>
        <w:rPr>
          <w:rFonts w:ascii="Times New Roman" w:hAnsi="Times New Roman"/>
          <w:b/>
        </w:rPr>
      </w:pPr>
      <w:r w:rsidRPr="0000523A">
        <w:rPr>
          <w:rFonts w:ascii="Times New Roman" w:hAnsi="Times New Roman"/>
          <w:b/>
        </w:rPr>
        <w:t>K § 1</w:t>
      </w:r>
    </w:p>
    <w:p w:rsidR="0000523A" w:rsidP="000C391B">
      <w:pPr>
        <w:bidi w:val="0"/>
        <w:jc w:val="both"/>
        <w:rPr>
          <w:rFonts w:ascii="Times New Roman" w:hAnsi="Times New Roman"/>
        </w:rPr>
      </w:pPr>
    </w:p>
    <w:p w:rsidR="000C391B" w:rsidP="000C391B">
      <w:pPr>
        <w:bidi w:val="0"/>
        <w:jc w:val="both"/>
        <w:rPr>
          <w:rFonts w:ascii="Times New Roman" w:hAnsi="Times New Roman"/>
        </w:rPr>
      </w:pPr>
      <w:r w:rsidR="00012DDE">
        <w:rPr>
          <w:rFonts w:ascii="Times New Roman" w:hAnsi="Times New Roman"/>
        </w:rPr>
        <w:t>Ustanovuje sa osobitný miestny poplatok za zaťaženie pozemných komunikácií na území obce (ďalej len „poplatok“). Poplatok sa ustanovuje osobitným zákonom z niekoľkých dôvodov. Prvým je ten, že doteraz existujúci jediný miestny poplatok ustanovený v zákone č. 582/2004 Z. z. o miestnych daniach a miestnom poplatku za komunálne odpady a drobné stavebné odpady v znení neskorších predpisov je definovaný už v názve zákona. Podľa platných legislatívnych pravidiel tvorby zákonov nie je možné novelou zákona meniť názov novelizovaného zákona (a teda zadefinovať tak ďalší miestny poplatok). Ďalším významným dôvodom je to, že ide o osobitný druh aj v rámci miestnych poplatkov, ktorého zavedenie osobitným zákonom je odôvodnené. Ide o fakultatívny, nie obligatórny poplatok, v čom má črty miestnej dane. Platí sa však jednorazovo</w:t>
      </w:r>
      <w:r w:rsidR="00DB0B3B">
        <w:rPr>
          <w:rFonts w:ascii="Times New Roman" w:hAnsi="Times New Roman"/>
        </w:rPr>
        <w:t xml:space="preserve">, čo je osobitná črta </w:t>
      </w:r>
      <w:r w:rsidR="00012DDE">
        <w:rPr>
          <w:rFonts w:ascii="Times New Roman" w:hAnsi="Times New Roman"/>
        </w:rPr>
        <w:t xml:space="preserve">a použitie jeho výnosu je viazané ako pri inom miestnom poplatku, čo </w:t>
      </w:r>
      <w:r w:rsidR="00DB0B3B">
        <w:rPr>
          <w:rFonts w:ascii="Times New Roman" w:hAnsi="Times New Roman"/>
        </w:rPr>
        <w:t xml:space="preserve">je typická </w:t>
      </w:r>
      <w:r w:rsidR="00012DDE">
        <w:rPr>
          <w:rFonts w:ascii="Times New Roman" w:hAnsi="Times New Roman"/>
        </w:rPr>
        <w:t>črt</w:t>
      </w:r>
      <w:r w:rsidR="00DB0B3B">
        <w:rPr>
          <w:rFonts w:ascii="Times New Roman" w:hAnsi="Times New Roman"/>
        </w:rPr>
        <w:t>a</w:t>
      </w:r>
      <w:r w:rsidR="00012DDE">
        <w:rPr>
          <w:rFonts w:ascii="Times New Roman" w:hAnsi="Times New Roman"/>
        </w:rPr>
        <w:t xml:space="preserve"> miestneho poplatku. </w:t>
      </w:r>
    </w:p>
    <w:p w:rsidR="00012DDE" w:rsidP="000C391B">
      <w:pPr>
        <w:bidi w:val="0"/>
        <w:jc w:val="both"/>
        <w:rPr>
          <w:rFonts w:ascii="Times New Roman" w:hAnsi="Times New Roman"/>
        </w:rPr>
      </w:pPr>
    </w:p>
    <w:p w:rsidR="00DB0B3B" w:rsidP="000C391B">
      <w:pPr>
        <w:bidi w:val="0"/>
        <w:jc w:val="both"/>
        <w:rPr>
          <w:rFonts w:ascii="Times New Roman" w:hAnsi="Times New Roman"/>
        </w:rPr>
      </w:pPr>
    </w:p>
    <w:p w:rsidR="00DB0B3B" w:rsidP="000C391B">
      <w:pPr>
        <w:bidi w:val="0"/>
        <w:jc w:val="both"/>
        <w:rPr>
          <w:rFonts w:ascii="Times New Roman" w:hAnsi="Times New Roman"/>
        </w:rPr>
      </w:pPr>
    </w:p>
    <w:p w:rsidR="00012DDE" w:rsidRPr="0000523A" w:rsidP="000C391B">
      <w:pPr>
        <w:bidi w:val="0"/>
        <w:jc w:val="both"/>
        <w:rPr>
          <w:rFonts w:ascii="Times New Roman" w:hAnsi="Times New Roman"/>
          <w:b/>
        </w:rPr>
      </w:pPr>
      <w:r w:rsidRPr="0000523A">
        <w:rPr>
          <w:rFonts w:ascii="Times New Roman" w:hAnsi="Times New Roman"/>
          <w:b/>
        </w:rPr>
        <w:t>K § 2</w:t>
      </w:r>
    </w:p>
    <w:p w:rsidR="0000523A" w:rsidP="000C391B">
      <w:pPr>
        <w:bidi w:val="0"/>
        <w:jc w:val="both"/>
        <w:rPr>
          <w:rFonts w:ascii="Times New Roman" w:hAnsi="Times New Roman"/>
        </w:rPr>
      </w:pPr>
    </w:p>
    <w:p w:rsidR="00012DDE" w:rsidP="000C391B">
      <w:pPr>
        <w:bidi w:val="0"/>
        <w:jc w:val="both"/>
        <w:rPr>
          <w:rFonts w:ascii="Times New Roman" w:hAnsi="Times New Roman"/>
        </w:rPr>
      </w:pPr>
      <w:r>
        <w:rPr>
          <w:rFonts w:ascii="Times New Roman" w:hAnsi="Times New Roman"/>
        </w:rPr>
        <w:t>Ustanovuje sa možnosť pre obce ukladať poplatok všeobecne záväzným nariadením, ako aj to, kto je správcom takéhoto miestneho poplatku v prípade, že bude zavedený</w:t>
      </w:r>
      <w:r w:rsidR="00A24C2F">
        <w:rPr>
          <w:rFonts w:ascii="Times New Roman" w:hAnsi="Times New Roman"/>
        </w:rPr>
        <w:t>. Osobitne sa zdôrazňuje jednora</w:t>
      </w:r>
      <w:r>
        <w:rPr>
          <w:rFonts w:ascii="Times New Roman" w:hAnsi="Times New Roman"/>
        </w:rPr>
        <w:t>zovosť takéhoto poplatku (na rozdiel od miestneho poplatku za komunálne odpady a drobné stavebné odpady, ktorý sa platí cyklicky).</w:t>
      </w:r>
    </w:p>
    <w:p w:rsidR="00DB0B3B" w:rsidP="000C391B">
      <w:pPr>
        <w:bidi w:val="0"/>
        <w:jc w:val="both"/>
        <w:rPr>
          <w:rFonts w:ascii="Times New Roman" w:hAnsi="Times New Roman"/>
        </w:rPr>
      </w:pPr>
    </w:p>
    <w:p w:rsidR="00DB0B3B" w:rsidRPr="0000523A" w:rsidP="000C391B">
      <w:pPr>
        <w:bidi w:val="0"/>
        <w:jc w:val="both"/>
        <w:rPr>
          <w:rFonts w:ascii="Times New Roman" w:hAnsi="Times New Roman"/>
          <w:b/>
        </w:rPr>
      </w:pPr>
      <w:r w:rsidRPr="0000523A">
        <w:rPr>
          <w:rFonts w:ascii="Times New Roman" w:hAnsi="Times New Roman"/>
          <w:b/>
        </w:rPr>
        <w:t>K § 3</w:t>
      </w:r>
    </w:p>
    <w:p w:rsidR="0000523A" w:rsidP="000C391B">
      <w:pPr>
        <w:bidi w:val="0"/>
        <w:jc w:val="both"/>
        <w:rPr>
          <w:rFonts w:ascii="Times New Roman" w:hAnsi="Times New Roman"/>
        </w:rPr>
      </w:pPr>
    </w:p>
    <w:p w:rsidR="00DB0B3B" w:rsidP="000C391B">
      <w:pPr>
        <w:bidi w:val="0"/>
        <w:jc w:val="both"/>
        <w:rPr>
          <w:rFonts w:ascii="Times New Roman" w:hAnsi="Times New Roman"/>
        </w:rPr>
      </w:pPr>
      <w:r>
        <w:rPr>
          <w:rFonts w:ascii="Times New Roman" w:hAnsi="Times New Roman"/>
        </w:rPr>
        <w:t xml:space="preserve">Definuje sa, kto je poplatníkom podľa tohto návrhu zákona. Pôjde o fyzickú osobu alebo právnickú osobu, ktorej bolo, ako stavebníkovi, vydané právoplatné stavebné povolenie na stavbu, súčasťou ktorej sú odstavné a parkovacie stojiská v počte minimálne </w:t>
      </w:r>
      <w:r w:rsidR="00EE42E7">
        <w:rPr>
          <w:rFonts w:ascii="Times New Roman" w:hAnsi="Times New Roman"/>
        </w:rPr>
        <w:t>1</w:t>
      </w:r>
      <w:r>
        <w:rPr>
          <w:rFonts w:ascii="Times New Roman" w:hAnsi="Times New Roman"/>
        </w:rPr>
        <w:t>0. Definuje sa tak stavba, ktorá podlieha poplatkovej povinnosti – teda nejde o každú stavbu, ale len takú</w:t>
      </w:r>
      <w:r w:rsidR="00EE42E7">
        <w:rPr>
          <w:rFonts w:ascii="Times New Roman" w:hAnsi="Times New Roman"/>
        </w:rPr>
        <w:t>,</w:t>
      </w:r>
      <w:r>
        <w:rPr>
          <w:rFonts w:ascii="Times New Roman" w:hAnsi="Times New Roman"/>
        </w:rPr>
        <w:t xml:space="preserve"> ktorá splní uvedené podmienky; zároveň sa jasne oddeľuje stavebné konanie a poplatkové konanie, aby nedochádzalo k ich zmiešavaniu. </w:t>
      </w:r>
    </w:p>
    <w:p w:rsidR="00DB0B3B" w:rsidP="000C391B">
      <w:pPr>
        <w:bidi w:val="0"/>
        <w:jc w:val="both"/>
        <w:rPr>
          <w:rFonts w:ascii="Times New Roman" w:hAnsi="Times New Roman"/>
        </w:rPr>
      </w:pPr>
      <w:r>
        <w:rPr>
          <w:rFonts w:ascii="Times New Roman" w:hAnsi="Times New Roman"/>
        </w:rPr>
        <w:t xml:space="preserve">Stanovuje sa tiež mechanizmus platenia poplatku, pokiaľ je pri jednej stavbe poplatníkov viac. </w:t>
      </w:r>
    </w:p>
    <w:p w:rsidR="00DB0B3B" w:rsidP="000C391B">
      <w:pPr>
        <w:bidi w:val="0"/>
        <w:jc w:val="both"/>
        <w:rPr>
          <w:rFonts w:ascii="Times New Roman" w:hAnsi="Times New Roman"/>
        </w:rPr>
      </w:pPr>
      <w:r>
        <w:rPr>
          <w:rFonts w:ascii="Times New Roman" w:hAnsi="Times New Roman"/>
        </w:rPr>
        <w:t xml:space="preserve">Tiež sa stanovuje deň, kedy vzniká poplatková povinnosť. </w:t>
      </w:r>
    </w:p>
    <w:p w:rsidR="00DB0B3B" w:rsidP="000C391B">
      <w:pPr>
        <w:bidi w:val="0"/>
        <w:jc w:val="both"/>
        <w:rPr>
          <w:rFonts w:ascii="Times New Roman" w:hAnsi="Times New Roman"/>
        </w:rPr>
      </w:pPr>
    </w:p>
    <w:p w:rsidR="00DB0B3B" w:rsidRPr="0000523A" w:rsidP="000C391B">
      <w:pPr>
        <w:bidi w:val="0"/>
        <w:jc w:val="both"/>
        <w:rPr>
          <w:rFonts w:ascii="Times New Roman" w:hAnsi="Times New Roman"/>
          <w:b/>
        </w:rPr>
      </w:pPr>
      <w:r w:rsidRPr="0000523A">
        <w:rPr>
          <w:rFonts w:ascii="Times New Roman" w:hAnsi="Times New Roman"/>
          <w:b/>
        </w:rPr>
        <w:t>K § 4</w:t>
      </w:r>
    </w:p>
    <w:p w:rsidR="0000523A" w:rsidP="000C391B">
      <w:pPr>
        <w:bidi w:val="0"/>
        <w:jc w:val="both"/>
        <w:rPr>
          <w:rFonts w:ascii="Times New Roman" w:hAnsi="Times New Roman"/>
        </w:rPr>
      </w:pPr>
    </w:p>
    <w:p w:rsidR="00DB0B3B" w:rsidP="000C391B">
      <w:pPr>
        <w:bidi w:val="0"/>
        <w:jc w:val="both"/>
        <w:rPr>
          <w:rFonts w:ascii="Times New Roman" w:hAnsi="Times New Roman"/>
        </w:rPr>
      </w:pPr>
      <w:r w:rsidR="001941B5">
        <w:rPr>
          <w:rFonts w:ascii="Times New Roman" w:hAnsi="Times New Roman"/>
        </w:rPr>
        <w:t>Ustanovuje sa sadzba poplatku</w:t>
      </w:r>
      <w:r w:rsidR="00F500CB">
        <w:rPr>
          <w:rFonts w:ascii="Times New Roman" w:hAnsi="Times New Roman"/>
        </w:rPr>
        <w:t xml:space="preserve"> vo výške </w:t>
      </w:r>
      <w:r w:rsidR="00A24C2F">
        <w:rPr>
          <w:rFonts w:ascii="Times New Roman" w:hAnsi="Times New Roman"/>
        </w:rPr>
        <w:t>5</w:t>
      </w:r>
      <w:r w:rsidR="00F500CB">
        <w:rPr>
          <w:rFonts w:ascii="Times New Roman" w:hAnsi="Times New Roman"/>
        </w:rPr>
        <w:t xml:space="preserve">00,- </w:t>
      </w:r>
      <w:r w:rsidR="00A24C2F">
        <w:rPr>
          <w:rFonts w:ascii="Times New Roman" w:hAnsi="Times New Roman"/>
        </w:rPr>
        <w:t>Euro</w:t>
      </w:r>
      <w:r w:rsidR="00F500CB">
        <w:rPr>
          <w:rFonts w:ascii="Times New Roman" w:hAnsi="Times New Roman"/>
        </w:rPr>
        <w:t xml:space="preserve"> za jedno odstavné a parkovacie stojisko</w:t>
      </w:r>
      <w:r w:rsidR="001941B5">
        <w:rPr>
          <w:rFonts w:ascii="Times New Roman" w:hAnsi="Times New Roman"/>
        </w:rPr>
        <w:t xml:space="preserve">, ako aj možnosť obcí stanoviť si sadzbu vlastným všeobecne záväzným nariadením. </w:t>
      </w:r>
      <w:r w:rsidR="00F500CB">
        <w:rPr>
          <w:rFonts w:ascii="Times New Roman" w:hAnsi="Times New Roman"/>
        </w:rPr>
        <w:t xml:space="preserve">Podľa miestnych podmienok môže byť výška sadzieb poplatku v obci alebo v jej jednotlivých častiach a katastrálnych územiach rôzna. </w:t>
      </w:r>
      <w:r w:rsidR="001941B5">
        <w:rPr>
          <w:rFonts w:ascii="Times New Roman" w:hAnsi="Times New Roman"/>
        </w:rPr>
        <w:t xml:space="preserve">Výšku sadzby (sadzieb) </w:t>
      </w:r>
      <w:r w:rsidR="00F500CB">
        <w:rPr>
          <w:rFonts w:ascii="Times New Roman" w:hAnsi="Times New Roman"/>
        </w:rPr>
        <w:t xml:space="preserve">pri už zavedenom poplatku </w:t>
      </w:r>
      <w:r w:rsidR="001941B5">
        <w:rPr>
          <w:rFonts w:ascii="Times New Roman" w:hAnsi="Times New Roman"/>
        </w:rPr>
        <w:t xml:space="preserve">možno z dôvodu právnej istoty meniť len k 1. januáru kalendárneho roka. </w:t>
      </w:r>
    </w:p>
    <w:p w:rsidR="00231FC9" w:rsidP="00231FC9">
      <w:pPr>
        <w:tabs>
          <w:tab w:val="num" w:pos="540"/>
        </w:tabs>
        <w:bidi w:val="0"/>
        <w:jc w:val="both"/>
        <w:rPr>
          <w:rFonts w:ascii="Times New Roman" w:hAnsi="Times New Roman"/>
        </w:rPr>
      </w:pPr>
      <w:r w:rsidR="001941B5">
        <w:rPr>
          <w:rFonts w:ascii="Times New Roman" w:hAnsi="Times New Roman"/>
        </w:rPr>
        <w:t xml:space="preserve">Ustanovuje sa tiež postup určovania výšky poplatku ako </w:t>
      </w:r>
      <w:r>
        <w:rPr>
          <w:rFonts w:ascii="Times New Roman" w:hAnsi="Times New Roman"/>
        </w:rPr>
        <w:t>súčin počtu odstavných a parkovacích stojísk a sadzby poplatku.</w:t>
      </w:r>
    </w:p>
    <w:p w:rsidR="00231FC9" w:rsidP="00231FC9">
      <w:pPr>
        <w:tabs>
          <w:tab w:val="num" w:pos="540"/>
        </w:tabs>
        <w:bidi w:val="0"/>
        <w:jc w:val="both"/>
        <w:rPr>
          <w:rFonts w:ascii="Times New Roman" w:hAnsi="Times New Roman"/>
        </w:rPr>
      </w:pPr>
    </w:p>
    <w:p w:rsidR="00231FC9" w:rsidRPr="0000523A" w:rsidP="00231FC9">
      <w:pPr>
        <w:tabs>
          <w:tab w:val="num" w:pos="540"/>
        </w:tabs>
        <w:bidi w:val="0"/>
        <w:jc w:val="both"/>
        <w:rPr>
          <w:rFonts w:ascii="Times New Roman" w:hAnsi="Times New Roman"/>
          <w:b/>
        </w:rPr>
      </w:pPr>
      <w:r w:rsidRPr="0000523A">
        <w:rPr>
          <w:rFonts w:ascii="Times New Roman" w:hAnsi="Times New Roman"/>
          <w:b/>
        </w:rPr>
        <w:t>K § 5</w:t>
      </w:r>
    </w:p>
    <w:p w:rsidR="0000523A" w:rsidP="00231FC9">
      <w:pPr>
        <w:tabs>
          <w:tab w:val="num" w:pos="540"/>
        </w:tabs>
        <w:bidi w:val="0"/>
        <w:jc w:val="both"/>
        <w:rPr>
          <w:rFonts w:ascii="Times New Roman" w:hAnsi="Times New Roman"/>
        </w:rPr>
      </w:pPr>
    </w:p>
    <w:p w:rsidR="00231FC9" w:rsidP="00231FC9">
      <w:pPr>
        <w:tabs>
          <w:tab w:val="num" w:pos="540"/>
        </w:tabs>
        <w:bidi w:val="0"/>
        <w:jc w:val="both"/>
        <w:rPr>
          <w:rFonts w:ascii="Times New Roman" w:hAnsi="Times New Roman"/>
        </w:rPr>
      </w:pPr>
      <w:r>
        <w:rPr>
          <w:rFonts w:ascii="Times New Roman" w:hAnsi="Times New Roman"/>
        </w:rPr>
        <w:t>Ustanovuje sa oznamovacia povinnosť pre poplatníka a ďalší postup správcu poplatku v súvislosti s platením poplatku, ako aj v prípade, keď  dôjde k zmenám rozhodujúcich skutočností týkajúcich sa platenia poplatku a</w:t>
      </w:r>
      <w:r w:rsidR="00EE42E7">
        <w:rPr>
          <w:rFonts w:ascii="Times New Roman" w:hAnsi="Times New Roman"/>
        </w:rPr>
        <w:t xml:space="preserve"> </w:t>
      </w:r>
      <w:r>
        <w:rPr>
          <w:rFonts w:ascii="Times New Roman" w:hAnsi="Times New Roman"/>
        </w:rPr>
        <w:t>/</w:t>
      </w:r>
      <w:r w:rsidR="00EE42E7">
        <w:rPr>
          <w:rFonts w:ascii="Times New Roman" w:hAnsi="Times New Roman"/>
        </w:rPr>
        <w:t xml:space="preserve"> </w:t>
      </w:r>
      <w:r>
        <w:rPr>
          <w:rFonts w:ascii="Times New Roman" w:hAnsi="Times New Roman"/>
        </w:rPr>
        <w:t xml:space="preserve">alebo jeho výšky. </w:t>
      </w:r>
    </w:p>
    <w:p w:rsidR="00231FC9" w:rsidP="00231FC9">
      <w:pPr>
        <w:tabs>
          <w:tab w:val="num" w:pos="540"/>
        </w:tabs>
        <w:bidi w:val="0"/>
        <w:jc w:val="both"/>
        <w:rPr>
          <w:rFonts w:ascii="Times New Roman" w:hAnsi="Times New Roman"/>
        </w:rPr>
      </w:pPr>
    </w:p>
    <w:p w:rsidR="00231FC9" w:rsidRPr="0000523A" w:rsidP="00231FC9">
      <w:pPr>
        <w:tabs>
          <w:tab w:val="num" w:pos="540"/>
        </w:tabs>
        <w:bidi w:val="0"/>
        <w:jc w:val="both"/>
        <w:rPr>
          <w:rFonts w:ascii="Times New Roman" w:hAnsi="Times New Roman"/>
          <w:b/>
        </w:rPr>
      </w:pPr>
      <w:r w:rsidRPr="0000523A">
        <w:rPr>
          <w:rFonts w:ascii="Times New Roman" w:hAnsi="Times New Roman"/>
          <w:b/>
        </w:rPr>
        <w:t>K § 6</w:t>
      </w:r>
    </w:p>
    <w:p w:rsidR="0000523A" w:rsidP="00231FC9">
      <w:pPr>
        <w:tabs>
          <w:tab w:val="num" w:pos="540"/>
        </w:tabs>
        <w:bidi w:val="0"/>
        <w:jc w:val="both"/>
        <w:rPr>
          <w:rFonts w:ascii="Times New Roman" w:hAnsi="Times New Roman"/>
        </w:rPr>
      </w:pPr>
    </w:p>
    <w:p w:rsidR="00231FC9" w:rsidP="00231FC9">
      <w:pPr>
        <w:tabs>
          <w:tab w:val="num" w:pos="540"/>
        </w:tabs>
        <w:bidi w:val="0"/>
        <w:jc w:val="both"/>
        <w:rPr>
          <w:rFonts w:ascii="Times New Roman" w:hAnsi="Times New Roman"/>
        </w:rPr>
      </w:pPr>
      <w:r>
        <w:rPr>
          <w:rFonts w:ascii="Times New Roman" w:hAnsi="Times New Roman"/>
        </w:rPr>
        <w:t xml:space="preserve">V súvislosti s ustanoveniami v § 5 sa osobitne upravuje postup pri vrátení poplatku obcou poplatníkovi. Vrátenie poplatku je viazané na splnenie si oznamovacej povinnosti zo strany poplatníka. </w:t>
      </w:r>
    </w:p>
    <w:p w:rsidR="00231FC9" w:rsidP="00231FC9">
      <w:pPr>
        <w:tabs>
          <w:tab w:val="num" w:pos="540"/>
        </w:tabs>
        <w:bidi w:val="0"/>
        <w:jc w:val="both"/>
        <w:rPr>
          <w:rFonts w:ascii="Times New Roman" w:hAnsi="Times New Roman"/>
        </w:rPr>
      </w:pPr>
    </w:p>
    <w:p w:rsidR="0000523A" w:rsidP="00231FC9">
      <w:pPr>
        <w:tabs>
          <w:tab w:val="num" w:pos="540"/>
        </w:tabs>
        <w:bidi w:val="0"/>
        <w:jc w:val="both"/>
        <w:rPr>
          <w:rFonts w:ascii="Times New Roman" w:hAnsi="Times New Roman"/>
        </w:rPr>
      </w:pPr>
    </w:p>
    <w:p w:rsidR="0000523A" w:rsidP="00231FC9">
      <w:pPr>
        <w:tabs>
          <w:tab w:val="num" w:pos="540"/>
        </w:tabs>
        <w:bidi w:val="0"/>
        <w:jc w:val="both"/>
        <w:rPr>
          <w:rFonts w:ascii="Times New Roman" w:hAnsi="Times New Roman"/>
        </w:rPr>
      </w:pPr>
    </w:p>
    <w:p w:rsidR="00A44C55" w:rsidP="00231FC9">
      <w:pPr>
        <w:tabs>
          <w:tab w:val="num" w:pos="540"/>
        </w:tabs>
        <w:bidi w:val="0"/>
        <w:jc w:val="both"/>
        <w:rPr>
          <w:rFonts w:ascii="Times New Roman" w:hAnsi="Times New Roman"/>
          <w:b/>
        </w:rPr>
      </w:pPr>
      <w:r>
        <w:rPr>
          <w:rFonts w:ascii="Times New Roman" w:hAnsi="Times New Roman"/>
          <w:b/>
        </w:rPr>
        <w:t>K § 7</w:t>
      </w:r>
    </w:p>
    <w:p w:rsidR="00A44C55" w:rsidP="00231FC9">
      <w:pPr>
        <w:tabs>
          <w:tab w:val="num" w:pos="540"/>
        </w:tabs>
        <w:bidi w:val="0"/>
        <w:jc w:val="both"/>
        <w:rPr>
          <w:rFonts w:ascii="Times New Roman" w:hAnsi="Times New Roman"/>
          <w:b/>
        </w:rPr>
      </w:pPr>
    </w:p>
    <w:p w:rsidR="00A44C55" w:rsidRPr="00A44C55" w:rsidP="00231FC9">
      <w:pPr>
        <w:tabs>
          <w:tab w:val="num" w:pos="540"/>
        </w:tabs>
        <w:bidi w:val="0"/>
        <w:jc w:val="both"/>
        <w:rPr>
          <w:rFonts w:ascii="Times New Roman" w:hAnsi="Times New Roman"/>
        </w:rPr>
      </w:pPr>
      <w:r>
        <w:rPr>
          <w:rFonts w:ascii="Times New Roman" w:hAnsi="Times New Roman"/>
        </w:rPr>
        <w:t>Ustanovuje sa účelové viazanie použitia výnosov z poplatku. Keďže ide o poplatok, ktorého platiteľom je relatívne úzko vymedzená skupina osôb, je žiaduce, aby bol výnos z tohto poplatku použitý na jasne stanovený účel. Okrem toho, viazanosť účelu použitia výnosu z poplatku je imanentným znakom miestneho poplatku.</w:t>
      </w:r>
    </w:p>
    <w:p w:rsidR="00A44C55" w:rsidP="00231FC9">
      <w:pPr>
        <w:tabs>
          <w:tab w:val="num" w:pos="540"/>
        </w:tabs>
        <w:bidi w:val="0"/>
        <w:jc w:val="both"/>
        <w:rPr>
          <w:rFonts w:ascii="Times New Roman" w:hAnsi="Times New Roman"/>
          <w:b/>
        </w:rPr>
      </w:pPr>
    </w:p>
    <w:p w:rsidR="00231FC9" w:rsidRPr="0000523A" w:rsidP="00231FC9">
      <w:pPr>
        <w:tabs>
          <w:tab w:val="num" w:pos="540"/>
        </w:tabs>
        <w:bidi w:val="0"/>
        <w:jc w:val="both"/>
        <w:rPr>
          <w:rFonts w:ascii="Times New Roman" w:hAnsi="Times New Roman"/>
          <w:b/>
        </w:rPr>
      </w:pPr>
      <w:r w:rsidRPr="0000523A">
        <w:rPr>
          <w:rFonts w:ascii="Times New Roman" w:hAnsi="Times New Roman"/>
          <w:b/>
        </w:rPr>
        <w:t xml:space="preserve">K § </w:t>
      </w:r>
      <w:r w:rsidR="00A44C55">
        <w:rPr>
          <w:rFonts w:ascii="Times New Roman" w:hAnsi="Times New Roman"/>
          <w:b/>
        </w:rPr>
        <w:t>8</w:t>
      </w:r>
    </w:p>
    <w:p w:rsidR="0000523A" w:rsidP="00231FC9">
      <w:pPr>
        <w:tabs>
          <w:tab w:val="num" w:pos="540"/>
        </w:tabs>
        <w:bidi w:val="0"/>
        <w:jc w:val="both"/>
        <w:rPr>
          <w:rFonts w:ascii="Times New Roman" w:hAnsi="Times New Roman"/>
        </w:rPr>
      </w:pPr>
    </w:p>
    <w:p w:rsidR="00231FC9" w:rsidP="00231FC9">
      <w:pPr>
        <w:tabs>
          <w:tab w:val="num" w:pos="540"/>
        </w:tabs>
        <w:bidi w:val="0"/>
        <w:jc w:val="both"/>
        <w:rPr>
          <w:rFonts w:ascii="Times New Roman" w:hAnsi="Times New Roman"/>
        </w:rPr>
      </w:pPr>
      <w:r>
        <w:rPr>
          <w:rFonts w:ascii="Times New Roman" w:hAnsi="Times New Roman"/>
        </w:rPr>
        <w:t>Napriek tomu, že svojou povahou ide o osobitný druh miestneho poplatku, konanie o ňom so všetkými náležitosťami sa bude spravovať všeobecným predpisom, ktorým je zákon č. 511/1992 Zb. o správe  daní a poplatkov v znení neskorších predpisov, pokiaľ navrhovaný zákon neustanovuje inak. Predkladateľovi ide o čo najmenšie odchýlky od všeobecných predpisov, ktoré upravujú oblasť správy daní a poplatkov, vrátane miestnych.</w:t>
      </w:r>
    </w:p>
    <w:p w:rsidR="00797A12" w:rsidP="00231FC9">
      <w:pPr>
        <w:tabs>
          <w:tab w:val="num" w:pos="540"/>
        </w:tabs>
        <w:bidi w:val="0"/>
        <w:jc w:val="both"/>
        <w:rPr>
          <w:rFonts w:ascii="Times New Roman" w:hAnsi="Times New Roman"/>
        </w:rPr>
      </w:pPr>
    </w:p>
    <w:p w:rsidR="00231FC9" w:rsidRPr="0000523A" w:rsidP="00231FC9">
      <w:pPr>
        <w:tabs>
          <w:tab w:val="num" w:pos="540"/>
        </w:tabs>
        <w:bidi w:val="0"/>
        <w:jc w:val="both"/>
        <w:rPr>
          <w:rFonts w:ascii="Times New Roman" w:hAnsi="Times New Roman"/>
          <w:b/>
        </w:rPr>
      </w:pPr>
      <w:r w:rsidRPr="0000523A">
        <w:rPr>
          <w:rFonts w:ascii="Times New Roman" w:hAnsi="Times New Roman"/>
          <w:b/>
        </w:rPr>
        <w:t xml:space="preserve">K § </w:t>
      </w:r>
      <w:r w:rsidR="00A44C55">
        <w:rPr>
          <w:rFonts w:ascii="Times New Roman" w:hAnsi="Times New Roman"/>
          <w:b/>
        </w:rPr>
        <w:t>9</w:t>
      </w:r>
    </w:p>
    <w:p w:rsidR="0000523A" w:rsidP="00231FC9">
      <w:pPr>
        <w:tabs>
          <w:tab w:val="num" w:pos="540"/>
        </w:tabs>
        <w:bidi w:val="0"/>
        <w:jc w:val="both"/>
        <w:rPr>
          <w:rFonts w:ascii="Times New Roman" w:hAnsi="Times New Roman"/>
        </w:rPr>
      </w:pPr>
    </w:p>
    <w:p w:rsidR="00A44C55" w:rsidP="00231FC9">
      <w:pPr>
        <w:tabs>
          <w:tab w:val="num" w:pos="540"/>
        </w:tabs>
        <w:bidi w:val="0"/>
        <w:jc w:val="both"/>
        <w:rPr>
          <w:rFonts w:ascii="Times New Roman" w:hAnsi="Times New Roman"/>
        </w:rPr>
      </w:pPr>
      <w:r w:rsidR="00231FC9">
        <w:rPr>
          <w:rFonts w:ascii="Times New Roman" w:hAnsi="Times New Roman"/>
        </w:rPr>
        <w:t xml:space="preserve">Obec sa splnomocňuje na vydanie osobitného všeobecne záväzného nariadenia, ktoré stanoví všetky  potrebné náležitosti týkajúce sa tohto osobitného miestneho poplatku, najmä však </w:t>
      </w:r>
      <w:r w:rsidR="00C173A8">
        <w:rPr>
          <w:rFonts w:ascii="Times New Roman" w:hAnsi="Times New Roman"/>
        </w:rPr>
        <w:t xml:space="preserve">sadzbu </w:t>
      </w:r>
      <w:r w:rsidR="00F500CB">
        <w:rPr>
          <w:rFonts w:ascii="Times New Roman" w:hAnsi="Times New Roman"/>
        </w:rPr>
        <w:t xml:space="preserve">(sadzby) </w:t>
      </w:r>
      <w:r w:rsidR="00C173A8">
        <w:rPr>
          <w:rFonts w:ascii="Times New Roman" w:hAnsi="Times New Roman"/>
        </w:rPr>
        <w:t>poplatku, formu a spôsob platenia poplatku, náležitosti riadneho preukázania zmeny alebo zániku poplatkovej povinnosti, ako aj ďalšie nevyhnutné náležitosti vyberania a platenia poplatku.</w:t>
      </w:r>
      <w:r>
        <w:rPr>
          <w:rFonts w:ascii="Times New Roman" w:hAnsi="Times New Roman"/>
        </w:rPr>
        <w:t xml:space="preserve"> Pri forme a spôsobe platenia poplatku sa obciam necháva voľnosť určiť si vlastným VZN tieto záležitosti tak, aby to bolo čo najkonformnejšie, zároveň však čo najprijateľnejšie miestnym podmienkam. Preto je možné vo vlastnom VZN napríklad určiť, že poplatok bude možné platiť po splátkach, ktorých počet či lehoty platenia určí VZN. Poplatok sa tak vyrubí jednorazovo, ak tak určí VZN, bude ho možné splatiť v splátkach.</w:t>
      </w:r>
    </w:p>
    <w:p w:rsidR="00C173A8" w:rsidP="00231FC9">
      <w:pPr>
        <w:tabs>
          <w:tab w:val="num" w:pos="540"/>
        </w:tabs>
        <w:bidi w:val="0"/>
        <w:jc w:val="both"/>
        <w:rPr>
          <w:rFonts w:ascii="Times New Roman" w:hAnsi="Times New Roman"/>
        </w:rPr>
      </w:pPr>
    </w:p>
    <w:p w:rsidR="00C173A8" w:rsidRPr="0000523A" w:rsidP="00231FC9">
      <w:pPr>
        <w:tabs>
          <w:tab w:val="num" w:pos="540"/>
        </w:tabs>
        <w:bidi w:val="0"/>
        <w:jc w:val="both"/>
        <w:rPr>
          <w:rFonts w:ascii="Times New Roman" w:hAnsi="Times New Roman"/>
          <w:b/>
        </w:rPr>
      </w:pPr>
      <w:r w:rsidRPr="0000523A">
        <w:rPr>
          <w:rFonts w:ascii="Times New Roman" w:hAnsi="Times New Roman"/>
          <w:b/>
        </w:rPr>
        <w:t xml:space="preserve">K § </w:t>
      </w:r>
      <w:r w:rsidR="00A44C55">
        <w:rPr>
          <w:rFonts w:ascii="Times New Roman" w:hAnsi="Times New Roman"/>
          <w:b/>
        </w:rPr>
        <w:t>10</w:t>
      </w:r>
    </w:p>
    <w:p w:rsidR="0000523A" w:rsidP="00231FC9">
      <w:pPr>
        <w:tabs>
          <w:tab w:val="num" w:pos="540"/>
        </w:tabs>
        <w:bidi w:val="0"/>
        <w:jc w:val="both"/>
        <w:rPr>
          <w:rFonts w:ascii="Times New Roman" w:hAnsi="Times New Roman"/>
        </w:rPr>
      </w:pPr>
    </w:p>
    <w:p w:rsidR="00C173A8" w:rsidP="00231FC9">
      <w:pPr>
        <w:tabs>
          <w:tab w:val="num" w:pos="540"/>
        </w:tabs>
        <w:bidi w:val="0"/>
        <w:jc w:val="both"/>
        <w:rPr>
          <w:rFonts w:ascii="Times New Roman" w:hAnsi="Times New Roman"/>
        </w:rPr>
      </w:pPr>
      <w:r w:rsidR="00EE42E7">
        <w:rPr>
          <w:rFonts w:ascii="Times New Roman" w:hAnsi="Times New Roman"/>
        </w:rPr>
        <w:t xml:space="preserve">Keďže účinnosť zákona sa stanovuje na </w:t>
      </w:r>
      <w:r w:rsidR="000F4523">
        <w:rPr>
          <w:rFonts w:ascii="Times New Roman" w:hAnsi="Times New Roman"/>
        </w:rPr>
        <w:t>1.9</w:t>
      </w:r>
      <w:r w:rsidR="007125B4">
        <w:rPr>
          <w:rFonts w:ascii="Times New Roman" w:hAnsi="Times New Roman"/>
        </w:rPr>
        <w:t>.2011</w:t>
      </w:r>
      <w:r w:rsidR="00EE42E7">
        <w:rPr>
          <w:rFonts w:ascii="Times New Roman" w:hAnsi="Times New Roman"/>
        </w:rPr>
        <w:t xml:space="preserve">, </w:t>
      </w:r>
      <w:r w:rsidR="00472C2E">
        <w:rPr>
          <w:rFonts w:ascii="Times New Roman" w:hAnsi="Times New Roman"/>
        </w:rPr>
        <w:t xml:space="preserve">zákon stanovuje pre  obce možnosť prvýkrát zaviesť poplatok s účinnosťou od </w:t>
      </w:r>
      <w:r w:rsidR="007125B4">
        <w:rPr>
          <w:rFonts w:ascii="Times New Roman" w:hAnsi="Times New Roman"/>
        </w:rPr>
        <w:t>1.10.2011</w:t>
      </w:r>
      <w:r w:rsidR="00A44C55">
        <w:rPr>
          <w:rFonts w:ascii="Times New Roman" w:hAnsi="Times New Roman"/>
        </w:rPr>
        <w:t xml:space="preserve"> </w:t>
      </w:r>
      <w:r w:rsidR="00472C2E">
        <w:rPr>
          <w:rFonts w:ascii="Times New Roman" w:hAnsi="Times New Roman"/>
        </w:rPr>
        <w:t>. Zohľadňuje sa tu proces a lehoty potrebn</w:t>
      </w:r>
      <w:r w:rsidR="007125B4">
        <w:rPr>
          <w:rFonts w:ascii="Times New Roman" w:hAnsi="Times New Roman"/>
        </w:rPr>
        <w:t>ý</w:t>
      </w:r>
      <w:r w:rsidR="00472C2E">
        <w:rPr>
          <w:rFonts w:ascii="Times New Roman" w:hAnsi="Times New Roman"/>
        </w:rPr>
        <w:t xml:space="preserve"> na prípravu a schválenie, ako aj nadobudnutie účinnosti všeobecne záväzných nariadení obcí. Pokiaľ sa obec, ktorá poplatok takto zaviedla, rozhodne pre zmenu sadzby (sadzieb) poplatku, môže tak svojím všeobecne záväzným nariadením urobiť len s účinnosťou k 1. januáru nasledujúceho kalendárneho roka. </w:t>
      </w:r>
    </w:p>
    <w:p w:rsidR="00F500CB" w:rsidP="00231FC9">
      <w:pPr>
        <w:tabs>
          <w:tab w:val="num" w:pos="540"/>
        </w:tabs>
        <w:bidi w:val="0"/>
        <w:jc w:val="both"/>
        <w:rPr>
          <w:rFonts w:ascii="Times New Roman" w:hAnsi="Times New Roman"/>
        </w:rPr>
      </w:pPr>
      <w:r w:rsidR="00472C2E">
        <w:rPr>
          <w:rFonts w:ascii="Times New Roman" w:hAnsi="Times New Roman"/>
        </w:rPr>
        <w:t>Pokiaľ obec už poplatok zavedený mala, všeobecne záväzným nariadením ho zrušila a opätovne ho zavádza</w:t>
      </w:r>
      <w:r>
        <w:rPr>
          <w:rFonts w:ascii="Times New Roman" w:hAnsi="Times New Roman"/>
        </w:rPr>
        <w:t xml:space="preserve"> v priebehu jedného kalendárneho roka</w:t>
      </w:r>
      <w:r w:rsidR="00472C2E">
        <w:rPr>
          <w:rFonts w:ascii="Times New Roman" w:hAnsi="Times New Roman"/>
        </w:rPr>
        <w:t xml:space="preserve">, pričom jeho zavedenie je s účinnosťou inou ako je 1. január nasledujúceho kalendárneho roku,  sadzba poplatku je  vo výške podľa § 4 ods. 1. </w:t>
      </w:r>
    </w:p>
    <w:p w:rsidR="00472C2E" w:rsidP="00231FC9">
      <w:pPr>
        <w:tabs>
          <w:tab w:val="num" w:pos="540"/>
        </w:tabs>
        <w:bidi w:val="0"/>
        <w:jc w:val="both"/>
        <w:rPr>
          <w:rFonts w:ascii="Times New Roman" w:hAnsi="Times New Roman"/>
        </w:rPr>
      </w:pPr>
      <w:r w:rsidR="00CA3415">
        <w:rPr>
          <w:rFonts w:ascii="Times New Roman" w:hAnsi="Times New Roman"/>
        </w:rPr>
        <w:t>K</w:t>
      </w:r>
      <w:r>
        <w:rPr>
          <w:rFonts w:ascii="Times New Roman" w:hAnsi="Times New Roman"/>
        </w:rPr>
        <w:t xml:space="preserve">aždá ďalšia zmena sadzby je možná len s účinnosťou k 1. januáru kalendárneho roku (§ 4 ods. 3). Týmto sa má zabrániť situácii, kedy by obec mala záujem s príchodom investora zvýšiť existujúcu sadzbu, no počas roka to nie je možné. Všeobecne záväzným nariadením by tak poplatok zrušila, neskoršie schváleným všeobecne záväzným nariadením by poplatok opäť zaviedla, pričom by </w:t>
      </w:r>
      <w:r w:rsidR="00CA3415">
        <w:rPr>
          <w:rFonts w:ascii="Times New Roman" w:hAnsi="Times New Roman"/>
        </w:rPr>
        <w:t>ustanovila inú sadzbu poplatku (spravidla vyššiu), než ustanovovalo predošlé všeobecne záväzné nariadenie. Ak dôjde k takejto situácii, bude možné stanoviť sadzbu len vo výške stanovenej zákonom; ďalšia zmena sadzby bude možná len s účinnosťou k 1. januáru nasledujúceho kalendárneho roka.</w:t>
      </w:r>
    </w:p>
    <w:p w:rsidR="00CA3415" w:rsidP="00231FC9">
      <w:pPr>
        <w:tabs>
          <w:tab w:val="num" w:pos="540"/>
        </w:tabs>
        <w:bidi w:val="0"/>
        <w:jc w:val="both"/>
        <w:rPr>
          <w:rFonts w:ascii="Times New Roman" w:hAnsi="Times New Roman"/>
        </w:rPr>
      </w:pPr>
      <w:r>
        <w:rPr>
          <w:rFonts w:ascii="Times New Roman" w:hAnsi="Times New Roman"/>
        </w:rPr>
        <w:t>Toto sa nevzťahuje na prípad, keď obec zavádza poplatok prvýkrát.</w:t>
      </w:r>
      <w:r w:rsidR="00F500CB">
        <w:rPr>
          <w:rFonts w:ascii="Times New Roman" w:hAnsi="Times New Roman"/>
        </w:rPr>
        <w:t xml:space="preserve"> Vtedy môže obec ustanoviť sadzbu poplatku tak, ako to bude uvedené v schválenom všeobecne záväznom nariadení. </w:t>
      </w:r>
    </w:p>
    <w:p w:rsidR="00C173A8" w:rsidP="00231FC9">
      <w:pPr>
        <w:tabs>
          <w:tab w:val="num" w:pos="540"/>
        </w:tabs>
        <w:bidi w:val="0"/>
        <w:jc w:val="both"/>
        <w:rPr>
          <w:rFonts w:ascii="Times New Roman" w:hAnsi="Times New Roman"/>
        </w:rPr>
      </w:pPr>
    </w:p>
    <w:p w:rsidR="00F500CB" w:rsidP="00231FC9">
      <w:pPr>
        <w:tabs>
          <w:tab w:val="num" w:pos="540"/>
        </w:tabs>
        <w:bidi w:val="0"/>
        <w:jc w:val="both"/>
        <w:rPr>
          <w:rFonts w:ascii="Times New Roman" w:hAnsi="Times New Roman"/>
          <w:b/>
        </w:rPr>
      </w:pPr>
    </w:p>
    <w:p w:rsidR="00F500CB" w:rsidP="00231FC9">
      <w:pPr>
        <w:tabs>
          <w:tab w:val="num" w:pos="540"/>
        </w:tabs>
        <w:bidi w:val="0"/>
        <w:jc w:val="both"/>
        <w:rPr>
          <w:rFonts w:ascii="Times New Roman" w:hAnsi="Times New Roman"/>
          <w:b/>
        </w:rPr>
      </w:pPr>
    </w:p>
    <w:p w:rsidR="00C173A8" w:rsidRPr="0000523A" w:rsidP="00231FC9">
      <w:pPr>
        <w:tabs>
          <w:tab w:val="num" w:pos="540"/>
        </w:tabs>
        <w:bidi w:val="0"/>
        <w:jc w:val="both"/>
        <w:rPr>
          <w:rFonts w:ascii="Times New Roman" w:hAnsi="Times New Roman"/>
          <w:b/>
        </w:rPr>
      </w:pPr>
      <w:r w:rsidRPr="0000523A">
        <w:rPr>
          <w:rFonts w:ascii="Times New Roman" w:hAnsi="Times New Roman"/>
          <w:b/>
        </w:rPr>
        <w:t>K § 1</w:t>
      </w:r>
      <w:r w:rsidR="00A44C55">
        <w:rPr>
          <w:rFonts w:ascii="Times New Roman" w:hAnsi="Times New Roman"/>
          <w:b/>
        </w:rPr>
        <w:t>1</w:t>
      </w:r>
    </w:p>
    <w:p w:rsidR="0000523A" w:rsidP="00231FC9">
      <w:pPr>
        <w:tabs>
          <w:tab w:val="num" w:pos="540"/>
        </w:tabs>
        <w:bidi w:val="0"/>
        <w:jc w:val="both"/>
        <w:rPr>
          <w:rFonts w:ascii="Times New Roman" w:hAnsi="Times New Roman"/>
        </w:rPr>
      </w:pPr>
    </w:p>
    <w:p w:rsidR="00C173A8" w:rsidP="00231FC9">
      <w:pPr>
        <w:tabs>
          <w:tab w:val="num" w:pos="540"/>
        </w:tabs>
        <w:bidi w:val="0"/>
        <w:jc w:val="both"/>
        <w:rPr>
          <w:rFonts w:ascii="Times New Roman" w:hAnsi="Times New Roman"/>
        </w:rPr>
      </w:pPr>
      <w:r>
        <w:rPr>
          <w:rFonts w:ascii="Times New Roman" w:hAnsi="Times New Roman"/>
        </w:rPr>
        <w:t xml:space="preserve">Ustanovuje sa účinnosť zákona na </w:t>
      </w:r>
      <w:r w:rsidR="000F4523">
        <w:rPr>
          <w:rFonts w:ascii="Times New Roman" w:hAnsi="Times New Roman"/>
        </w:rPr>
        <w:t>1.9</w:t>
      </w:r>
      <w:r w:rsidR="007125B4">
        <w:rPr>
          <w:rFonts w:ascii="Times New Roman" w:hAnsi="Times New Roman"/>
        </w:rPr>
        <w:t>.2011</w:t>
      </w:r>
      <w:r w:rsidR="00A44C55">
        <w:rPr>
          <w:rFonts w:ascii="Times New Roman" w:hAnsi="Times New Roman"/>
        </w:rPr>
        <w:t xml:space="preserve"> </w:t>
      </w:r>
      <w:r>
        <w:rPr>
          <w:rFonts w:ascii="Times New Roman" w:hAnsi="Times New Roman"/>
        </w:rPr>
        <w:t xml:space="preserve">. </w:t>
      </w:r>
    </w:p>
    <w:p w:rsidR="001941B5" w:rsidRPr="000C391B" w:rsidP="000C391B">
      <w:pPr>
        <w:bidi w:val="0"/>
        <w:jc w:val="both"/>
        <w:rPr>
          <w:rFonts w:ascii="Times New Roman" w:hAnsi="Times New Roman"/>
        </w:rPr>
      </w:pPr>
    </w:p>
    <w:sectPr>
      <w:pgSz w:w="12240" w:h="15840"/>
      <w:pgMar w:top="1440" w:right="1800" w:bottom="1440" w:left="180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43940"/>
    <w:multiLevelType w:val="hybridMultilevel"/>
    <w:tmpl w:val="E932C9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70EB2C2E"/>
    <w:multiLevelType w:val="hybridMultilevel"/>
    <w:tmpl w:val="83F0EE92"/>
    <w:lvl w:ilvl="0">
      <w:start w:val="1"/>
      <w:numFmt w:val="upperLetter"/>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doNotUseIndentAsNumberingTabStop/>
    <w:allowSpaceOfSameStyleInTable/>
    <w:splitPgBreakAndParaMark/>
    <w:useAnsiKerningPairs/>
  </w:compat>
  <w:rsids>
    <w:rsidRoot w:val="00831213"/>
    <w:rsid w:val="0000523A"/>
    <w:rsid w:val="00012DDE"/>
    <w:rsid w:val="000827BA"/>
    <w:rsid w:val="000C391B"/>
    <w:rsid w:val="000F4523"/>
    <w:rsid w:val="001941B5"/>
    <w:rsid w:val="001B224C"/>
    <w:rsid w:val="001C61F4"/>
    <w:rsid w:val="001D42DB"/>
    <w:rsid w:val="00231FC9"/>
    <w:rsid w:val="00284493"/>
    <w:rsid w:val="00291A3F"/>
    <w:rsid w:val="0035537D"/>
    <w:rsid w:val="0035571A"/>
    <w:rsid w:val="003E7006"/>
    <w:rsid w:val="0044396F"/>
    <w:rsid w:val="00472C2E"/>
    <w:rsid w:val="0048242A"/>
    <w:rsid w:val="004C07FF"/>
    <w:rsid w:val="00551471"/>
    <w:rsid w:val="00654E8A"/>
    <w:rsid w:val="00690198"/>
    <w:rsid w:val="006E50F2"/>
    <w:rsid w:val="007125B4"/>
    <w:rsid w:val="007366E6"/>
    <w:rsid w:val="007737AB"/>
    <w:rsid w:val="00797A12"/>
    <w:rsid w:val="007A779F"/>
    <w:rsid w:val="007E7985"/>
    <w:rsid w:val="007F6557"/>
    <w:rsid w:val="00831213"/>
    <w:rsid w:val="0085405A"/>
    <w:rsid w:val="00982A62"/>
    <w:rsid w:val="0099451B"/>
    <w:rsid w:val="009E5FE8"/>
    <w:rsid w:val="009E612E"/>
    <w:rsid w:val="00A24C2F"/>
    <w:rsid w:val="00A44C55"/>
    <w:rsid w:val="00A741FF"/>
    <w:rsid w:val="00AE3829"/>
    <w:rsid w:val="00AE618D"/>
    <w:rsid w:val="00B244FA"/>
    <w:rsid w:val="00B50C9A"/>
    <w:rsid w:val="00B6625E"/>
    <w:rsid w:val="00BC26A9"/>
    <w:rsid w:val="00BF0238"/>
    <w:rsid w:val="00C173A8"/>
    <w:rsid w:val="00C96572"/>
    <w:rsid w:val="00CA3415"/>
    <w:rsid w:val="00CF08B9"/>
    <w:rsid w:val="00DB0B3B"/>
    <w:rsid w:val="00E31DA6"/>
    <w:rsid w:val="00E457D4"/>
    <w:rsid w:val="00EB0095"/>
    <w:rsid w:val="00EB4575"/>
    <w:rsid w:val="00EE42E7"/>
    <w:rsid w:val="00F0089F"/>
    <w:rsid w:val="00F500CB"/>
    <w:rsid w:val="00F55884"/>
    <w:rsid w:val="00F561C0"/>
    <w:rsid w:val="00FF258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semiHidden/>
    <w:rsid w:val="00C96572"/>
    <w:pPr>
      <w:jc w:val="left"/>
    </w:pPr>
    <w:rPr>
      <w:sz w:val="20"/>
      <w:szCs w:val="20"/>
    </w:rPr>
  </w:style>
  <w:style w:type="character" w:styleId="FootnoteReference">
    <w:name w:val="footnote reference"/>
    <w:basedOn w:val="DefaultParagraphFont"/>
    <w:semiHidden/>
    <w:rsid w:val="00C9657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1604</Words>
  <Characters>9145</Characters>
  <Application>Microsoft Office Word</Application>
  <DocSecurity>0</DocSecurity>
  <Lines>0</Lines>
  <Paragraphs>0</Paragraphs>
  <ScaleCrop>false</ScaleCrop>
  <Company>Kancelaria NR SR</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mesa</dc:creator>
  <cp:lastModifiedBy>Gašparíková, Jarmila</cp:lastModifiedBy>
  <cp:revision>2</cp:revision>
  <dcterms:created xsi:type="dcterms:W3CDTF">2011-04-27T15:52:00Z</dcterms:created>
  <dcterms:modified xsi:type="dcterms:W3CDTF">2011-04-27T15:52:00Z</dcterms:modified>
</cp:coreProperties>
</file>