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3778" w:rsidRPr="002527EB" w:rsidP="00793778">
      <w:pPr>
        <w:bidi w:val="0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b/>
          <w:bCs/>
          <w:sz w:val="22"/>
          <w:szCs w:val="22"/>
        </w:rPr>
        <w:t>DOLOŽKA ZLUČITEĽNOSTI</w:t>
      </w:r>
    </w:p>
    <w:p w:rsidR="00793778" w:rsidRPr="002527EB" w:rsidP="00793778">
      <w:pPr>
        <w:bidi w:val="0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b/>
          <w:bCs/>
          <w:sz w:val="22"/>
          <w:szCs w:val="22"/>
        </w:rPr>
        <w:t>právneho predpisu s právom Európskej únie</w:t>
      </w:r>
    </w:p>
    <w:p w:rsidR="00793778" w:rsidP="00793778">
      <w:pPr>
        <w:bidi w:val="0"/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b/>
          <w:bCs/>
          <w:sz w:val="22"/>
          <w:szCs w:val="22"/>
        </w:rPr>
        <w:t xml:space="preserve">1. Predkladateľ právneho predpisu: </w:t>
      </w:r>
      <w:r w:rsidRPr="002527EB">
        <w:rPr>
          <w:rFonts w:ascii="Times New Roman" w:hAnsi="Times New Roman"/>
          <w:sz w:val="22"/>
          <w:szCs w:val="22"/>
        </w:rPr>
        <w:t xml:space="preserve">poslanci Národnej rady Slovenskej republiky </w:t>
      </w: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b/>
          <w:bCs/>
          <w:sz w:val="22"/>
          <w:szCs w:val="22"/>
        </w:rPr>
        <w:t xml:space="preserve">2. Názov návrhu právneho predpisu: </w:t>
      </w:r>
      <w:r w:rsidRPr="002527EB">
        <w:rPr>
          <w:rFonts w:ascii="Times New Roman" w:hAnsi="Times New Roman"/>
          <w:sz w:val="22"/>
          <w:szCs w:val="22"/>
        </w:rPr>
        <w:t xml:space="preserve">Návrh zákona, ktorým sa mení a dopĺňa zákon </w:t>
      </w:r>
      <w:r>
        <w:rPr>
          <w:rFonts w:ascii="Times New Roman" w:hAnsi="Times New Roman"/>
        </w:rPr>
        <w:t>č. 610/2003 Z. z. o elektronických komunikáciách v znení neskorších predpisov</w:t>
      </w: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b/>
          <w:bCs/>
          <w:sz w:val="22"/>
          <w:szCs w:val="22"/>
        </w:rPr>
        <w:t xml:space="preserve">3. Problematika návrhu právneho predpisu: </w:t>
      </w: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sz w:val="22"/>
          <w:szCs w:val="22"/>
        </w:rPr>
        <w:t xml:space="preserve">a) je upravená v práve Európskej únie </w:t>
      </w: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sz w:val="22"/>
          <w:szCs w:val="22"/>
        </w:rPr>
        <w:t xml:space="preserve">- </w:t>
      </w:r>
      <w:r w:rsidRPr="002527EB">
        <w:rPr>
          <w:rFonts w:ascii="Times New Roman" w:hAnsi="Times New Roman"/>
          <w:i/>
          <w:iCs/>
          <w:sz w:val="22"/>
          <w:szCs w:val="22"/>
        </w:rPr>
        <w:t xml:space="preserve">primárnom </w:t>
      </w:r>
    </w:p>
    <w:p w:rsidR="00793778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sz w:val="22"/>
          <w:szCs w:val="22"/>
        </w:rPr>
        <w:t>Zmluva o Európskej únii a Zm</w:t>
      </w:r>
      <w:r>
        <w:rPr>
          <w:rFonts w:ascii="Times New Roman" w:hAnsi="Times New Roman"/>
          <w:sz w:val="22"/>
          <w:szCs w:val="22"/>
        </w:rPr>
        <w:t>luva o fungovaní Európskej únie</w:t>
      </w:r>
    </w:p>
    <w:p w:rsidR="00793778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sz w:val="22"/>
          <w:szCs w:val="22"/>
        </w:rPr>
        <w:t xml:space="preserve">- </w:t>
      </w:r>
      <w:r w:rsidRPr="002527EB">
        <w:rPr>
          <w:rFonts w:ascii="Times New Roman" w:hAnsi="Times New Roman"/>
          <w:i/>
          <w:iCs/>
          <w:sz w:val="22"/>
          <w:szCs w:val="22"/>
        </w:rPr>
        <w:t xml:space="preserve">sekundárnom (prijatom po nadobudnutím platnosti Lisabonskej zmluvy, ktorou sa mení a dopĺňa Zmluva o Európskom spoločenstve a Zmluva o Európskej únii – po 30. novembri 2009) </w:t>
      </w: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sz w:val="22"/>
          <w:szCs w:val="22"/>
        </w:rPr>
        <w:t xml:space="preserve">1. legislatívne akty </w:t>
      </w: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sz w:val="22"/>
          <w:szCs w:val="22"/>
        </w:rPr>
        <w:t xml:space="preserve">2. nelegislatívne akty </w:t>
      </w: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93778" w:rsidRPr="002527EB" w:rsidP="00793778">
      <w:pPr>
        <w:numPr>
          <w:numId w:val="4"/>
        </w:numPr>
        <w:bidi w:val="0"/>
        <w:spacing w:line="360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2527EB">
        <w:rPr>
          <w:rFonts w:ascii="Times New Roman" w:hAnsi="Times New Roman"/>
          <w:i/>
          <w:iCs/>
          <w:sz w:val="22"/>
          <w:szCs w:val="22"/>
        </w:rPr>
        <w:t xml:space="preserve">sekundárnom (prijatom pred nadobudnutím platnosti Lisabonskej zmluvy, ktorou sa mení a dopĺňa Zmluva o Európskom spoločenstve a Zmluva o Európskej únii – do 30. novembra 2009) 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iCs/>
          <w:sz w:val="22"/>
          <w:szCs w:val="22"/>
        </w:rPr>
      </w:pPr>
      <w:r w:rsidRPr="002527EB">
        <w:rPr>
          <w:rFonts w:ascii="Times New Roman" w:hAnsi="Times New Roman"/>
          <w:iCs/>
          <w:sz w:val="22"/>
          <w:szCs w:val="22"/>
        </w:rPr>
        <w:t>1. Smernica Európskeho parlamentu a Rady č. 2002/21/EC zo 7.3.2002 o spoločnom regulačnom rámci elektronických komunikačných sietí a služieb (Rámcová smernica), Ú.v. ES č. L 108 z 24.4.2002, s. 33.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iCs/>
          <w:sz w:val="22"/>
          <w:szCs w:val="22"/>
        </w:rPr>
      </w:pPr>
      <w:r w:rsidRPr="002527EB">
        <w:rPr>
          <w:rFonts w:ascii="Times New Roman" w:hAnsi="Times New Roman"/>
          <w:iCs/>
          <w:sz w:val="22"/>
          <w:szCs w:val="22"/>
        </w:rPr>
        <w:t xml:space="preserve"> 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iCs/>
          <w:sz w:val="22"/>
          <w:szCs w:val="22"/>
        </w:rPr>
      </w:pPr>
      <w:r w:rsidRPr="002527EB">
        <w:rPr>
          <w:rFonts w:ascii="Times New Roman" w:hAnsi="Times New Roman"/>
          <w:iCs/>
          <w:sz w:val="22"/>
          <w:szCs w:val="22"/>
        </w:rPr>
        <w:t>2. Smernica Európskeho parlamentu a Rady č. 2002/20/EC zo 7.3.2002 o oprávnení na elektronické komunikačné siete a služby (Smernica o oprávnení), Ú.v. ES č. L 108 z 24.4.2002, s. 21.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iCs/>
          <w:sz w:val="22"/>
          <w:szCs w:val="22"/>
        </w:rPr>
      </w:pPr>
      <w:r w:rsidRPr="002527EB">
        <w:rPr>
          <w:rFonts w:ascii="Times New Roman" w:hAnsi="Times New Roman"/>
          <w:iCs/>
          <w:sz w:val="22"/>
          <w:szCs w:val="22"/>
        </w:rPr>
        <w:t xml:space="preserve"> 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iCs/>
          <w:sz w:val="22"/>
          <w:szCs w:val="22"/>
        </w:rPr>
      </w:pPr>
      <w:r w:rsidRPr="002527EB">
        <w:rPr>
          <w:rFonts w:ascii="Times New Roman" w:hAnsi="Times New Roman"/>
          <w:iCs/>
          <w:sz w:val="22"/>
          <w:szCs w:val="22"/>
        </w:rPr>
        <w:t>3. Smernica Európskeho parlamentu a Rady č. 2002/19/EC zo 7.3.2002 o prístupe k elektronickým komunikačným sieťam a pridruženým prostriedkom a o ich prepojení (Prístupová smernica), Ú.v. ES č. L 108 z 24.4.2002, s. 7.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iCs/>
          <w:sz w:val="22"/>
          <w:szCs w:val="22"/>
        </w:rPr>
      </w:pPr>
      <w:r w:rsidRPr="002527EB">
        <w:rPr>
          <w:rFonts w:ascii="Times New Roman" w:hAnsi="Times New Roman"/>
          <w:iCs/>
          <w:sz w:val="22"/>
          <w:szCs w:val="22"/>
        </w:rPr>
        <w:t xml:space="preserve"> 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iCs/>
          <w:sz w:val="22"/>
          <w:szCs w:val="22"/>
        </w:rPr>
      </w:pPr>
      <w:r w:rsidRPr="002527EB">
        <w:rPr>
          <w:rFonts w:ascii="Times New Roman" w:hAnsi="Times New Roman"/>
          <w:iCs/>
          <w:sz w:val="22"/>
          <w:szCs w:val="22"/>
        </w:rPr>
        <w:t>4. Smernica Európskeho parlamentu a Rady č. 2002/22/EC zo 7.3.2002 o univerzálnej službe a právach užívateľov súvisiacich s elektronickými komunikačnými sieťami a službami (Smernica o univerzálnej službe), Ú.v. ES č. L 108 z 24.4.2002, s. 51.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iCs/>
          <w:sz w:val="22"/>
          <w:szCs w:val="22"/>
        </w:rPr>
      </w:pPr>
      <w:r w:rsidRPr="002527EB">
        <w:rPr>
          <w:rFonts w:ascii="Times New Roman" w:hAnsi="Times New Roman"/>
          <w:iCs/>
          <w:sz w:val="22"/>
          <w:szCs w:val="22"/>
        </w:rPr>
        <w:t xml:space="preserve"> 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iCs/>
          <w:sz w:val="22"/>
          <w:szCs w:val="22"/>
        </w:rPr>
      </w:pPr>
      <w:r w:rsidRPr="002527EB">
        <w:rPr>
          <w:rFonts w:ascii="Times New Roman" w:hAnsi="Times New Roman"/>
          <w:iCs/>
          <w:sz w:val="22"/>
          <w:szCs w:val="22"/>
        </w:rPr>
        <w:t>5. Smernica Európskeho parlamentu a Rady č. 2002/58/EC z 12.7.2002 o spracovaní osobných údajov a ochrane súkromia v sektore elektronických komunikácií (Smernica o súkromí a elektronických komunikáciách), Ú.v. ES č. L 201 z 31.7.2002, s. 37.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iCs/>
          <w:sz w:val="22"/>
          <w:szCs w:val="22"/>
        </w:rPr>
      </w:pPr>
      <w:r w:rsidRPr="002527EB">
        <w:rPr>
          <w:rFonts w:ascii="Times New Roman" w:hAnsi="Times New Roman"/>
          <w:iCs/>
          <w:sz w:val="22"/>
          <w:szCs w:val="22"/>
        </w:rPr>
        <w:t xml:space="preserve"> 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iCs/>
          <w:sz w:val="22"/>
          <w:szCs w:val="22"/>
        </w:rPr>
      </w:pPr>
      <w:r w:rsidRPr="002527EB">
        <w:rPr>
          <w:rFonts w:ascii="Times New Roman" w:hAnsi="Times New Roman"/>
          <w:iCs/>
          <w:sz w:val="22"/>
          <w:szCs w:val="22"/>
        </w:rPr>
        <w:t>6. Smernica Európskeho parlamentu a Rady 2006/24/ES z 15. marca 2006 o uchovávaní údajov vytvorených alebo spracovaných v súvislosti s poskytovaním verejne dostupných elektronických komunikačných služieb alebo verejných komunikačných sietí a o zmene a doplnení smernice 2002/58/ES, Ú.v. ES č. L 105 z 13.4.2006</w:t>
      </w:r>
    </w:p>
    <w:p w:rsidR="00793778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793778" w:rsidRPr="002527EB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2527EB">
        <w:rPr>
          <w:rFonts w:ascii="Times New Roman" w:hAnsi="Times New Roman"/>
          <w:sz w:val="22"/>
          <w:szCs w:val="22"/>
          <w:lang w:val="sk-SK"/>
        </w:rPr>
        <w:t xml:space="preserve">b) je obsiahnutá v judikatúre Súdneho dvora Európskej únie. </w:t>
      </w:r>
    </w:p>
    <w:p w:rsidR="00793778" w:rsidRPr="002527EB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793778" w:rsidRPr="002527EB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2527EB">
        <w:rPr>
          <w:rFonts w:ascii="Times New Roman" w:hAnsi="Times New Roman"/>
          <w:b/>
          <w:bCs/>
          <w:sz w:val="22"/>
          <w:szCs w:val="22"/>
          <w:lang w:val="sk-SK"/>
        </w:rPr>
        <w:t xml:space="preserve">4. Záväzky Slovenskej republiky vo vzťahu k Európskej únii: </w:t>
      </w:r>
    </w:p>
    <w:p w:rsidR="00793778" w:rsidRPr="002527EB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2527EB">
        <w:rPr>
          <w:rFonts w:ascii="Times New Roman" w:hAnsi="Times New Roman"/>
          <w:sz w:val="22"/>
          <w:szCs w:val="22"/>
          <w:lang w:val="sk-SK"/>
        </w:rPr>
        <w:t xml:space="preserve">a) lehota na prebratie smernice alebo lehota na implementáciu nariadenia alebo rozhodnutia </w:t>
      </w:r>
    </w:p>
    <w:p w:rsidR="00793778" w:rsidRPr="002527EB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2527EB">
        <w:rPr>
          <w:rFonts w:ascii="Times New Roman" w:hAnsi="Times New Roman"/>
          <w:sz w:val="22"/>
          <w:szCs w:val="22"/>
          <w:lang w:val="sk-SK"/>
        </w:rPr>
        <w:t xml:space="preserve">bezpredmetné </w:t>
      </w:r>
    </w:p>
    <w:p w:rsidR="00793778" w:rsidRPr="002527EB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2527EB">
        <w:rPr>
          <w:rFonts w:ascii="Times New Roman" w:hAnsi="Times New Roman"/>
          <w:sz w:val="22"/>
          <w:szCs w:val="22"/>
          <w:lang w:val="sk-SK"/>
        </w:rPr>
        <w:t xml:space="preserve">b) informácia o konaní začatom proti Slovenskej republike o porušení Zmluvy o fungovaní Európskej únie podľa čl. 258 až 260 tejto zmluvy </w:t>
      </w:r>
    </w:p>
    <w:p w:rsidR="00793778" w:rsidRPr="002527EB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bezpredmetné </w:t>
      </w:r>
    </w:p>
    <w:p w:rsidR="00793778" w:rsidRPr="002527EB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2527EB">
        <w:rPr>
          <w:rFonts w:ascii="Times New Roman" w:hAnsi="Times New Roman"/>
          <w:sz w:val="22"/>
          <w:szCs w:val="22"/>
          <w:lang w:val="sk-SK"/>
        </w:rPr>
        <w:t xml:space="preserve">c) informácia o právnych predpisoch, v ktorých sú preberané smernice už prebraté spolu s uvedením rozsahu tohto prebratia </w:t>
      </w:r>
    </w:p>
    <w:p w:rsidR="00793778" w:rsidRPr="002527EB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2527EB">
        <w:rPr>
          <w:rFonts w:ascii="Times New Roman" w:hAnsi="Times New Roman"/>
          <w:sz w:val="22"/>
          <w:szCs w:val="22"/>
          <w:lang w:val="sk-SK"/>
        </w:rPr>
        <w:t xml:space="preserve">bezpredmetné </w:t>
      </w:r>
    </w:p>
    <w:p w:rsidR="00793778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793778" w:rsidRPr="002527EB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2527EB">
        <w:rPr>
          <w:rFonts w:ascii="Times New Roman" w:hAnsi="Times New Roman"/>
          <w:b/>
          <w:bCs/>
          <w:sz w:val="22"/>
          <w:szCs w:val="22"/>
          <w:lang w:val="sk-SK"/>
        </w:rPr>
        <w:t xml:space="preserve">5. Stupeň zlučiteľnosti návrhu právneho predpisu s právom Európskej únie: </w:t>
      </w:r>
    </w:p>
    <w:p w:rsidR="00793778" w:rsidRPr="002527EB" w:rsidP="00793778">
      <w:pPr>
        <w:bidi w:val="0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sz w:val="22"/>
          <w:szCs w:val="22"/>
        </w:rPr>
        <w:t>Stupeň zlučiteľnosti – úplný</w:t>
      </w:r>
    </w:p>
    <w:p w:rsidR="00793778" w:rsidP="00793778">
      <w:pPr>
        <w:bidi w:val="0"/>
        <w:jc w:val="both"/>
        <w:rPr>
          <w:rFonts w:ascii="Times New Roman" w:hAnsi="Times New Roman"/>
          <w:sz w:val="23"/>
          <w:szCs w:val="23"/>
        </w:rPr>
      </w:pPr>
    </w:p>
    <w:p w:rsidR="00793778" w:rsidP="00793778">
      <w:pPr>
        <w:bidi w:val="0"/>
        <w:jc w:val="both"/>
        <w:rPr>
          <w:rFonts w:ascii="Times New Roman" w:hAnsi="Times New Roman"/>
          <w:sz w:val="23"/>
          <w:szCs w:val="23"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3778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sectPr w:rsidSect="0079377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923CC"/>
    <w:multiLevelType w:val="hybridMultilevel"/>
    <w:tmpl w:val="7716F48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stylePaneSortMethod w:val="0000"/>
  <w:doNotTrackMoves/>
  <w:defaultTabStop w:val="720"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4501A2"/>
    <w:rsid w:val="00174047"/>
    <w:rsid w:val="002527EB"/>
    <w:rsid w:val="00793778"/>
  </w:rsids>
  <m:mathPr>
    <m:mathFont m:val="Cambria Math"/>
    <m:dispDef m:val="0"/>
    <m:naryLim m:val="subSup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locked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 w:bidi="ar-SA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paragraph" w:styleId="BodyTextIndent">
    <w:name w:val="Body Text Indent"/>
    <w:basedOn w:val="Normal"/>
    <w:pPr>
      <w:jc w:val="center"/>
    </w:pPr>
    <w:rPr>
      <w:lang w:eastAsia="cs-CZ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pPr>
      <w:ind w:left="720"/>
      <w:jc w:val="left"/>
    </w:pPr>
  </w:style>
  <w:style w:type="paragraph" w:customStyle="1" w:styleId="Default">
    <w:name w:val="Defaul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434</Words>
  <Characters>2475</Characters>
  <Application>Microsoft Office Word</Application>
  <DocSecurity>0</DocSecurity>
  <Lines>0</Lines>
  <Paragraphs>0</Paragraphs>
  <ScaleCrop>false</ScaleCrop>
  <Company>Kancelaria NR SR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Brano</dc:creator>
  <cp:lastModifiedBy>Gašparíková, Jarmila</cp:lastModifiedBy>
  <cp:revision>2</cp:revision>
  <dcterms:created xsi:type="dcterms:W3CDTF">2011-03-04T17:33:00Z</dcterms:created>
  <dcterms:modified xsi:type="dcterms:W3CDTF">2011-03-04T17:33:00Z</dcterms:modified>
</cp:coreProperties>
</file>