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E5267" w:rsidP="009E5267">
      <w:pPr>
        <w:bidi w:val="0"/>
        <w:jc w:val="center"/>
        <w:rPr>
          <w:rFonts w:ascii="Times New Roman" w:hAnsi="Times New Roman"/>
        </w:rPr>
      </w:pPr>
      <w:r>
        <w:rPr>
          <w:rFonts w:ascii="Times New Roman" w:hAnsi="Times New Roman"/>
          <w:b/>
          <w:bCs/>
          <w:sz w:val="28"/>
          <w:szCs w:val="28"/>
        </w:rPr>
        <w:t>Vplyvy na rozpočet verejnej správy,</w:t>
      </w:r>
    </w:p>
    <w:p w:rsidR="009E5267" w:rsidP="009E5267">
      <w:pPr>
        <w:bidi w:val="0"/>
        <w:jc w:val="center"/>
        <w:rPr>
          <w:rFonts w:ascii="Times New Roman" w:hAnsi="Times New Roman"/>
        </w:rPr>
      </w:pPr>
      <w:r>
        <w:rPr>
          <w:rFonts w:ascii="Times New Roman" w:hAnsi="Times New Roman"/>
          <w:b/>
          <w:bCs/>
          <w:sz w:val="28"/>
          <w:szCs w:val="28"/>
        </w:rPr>
        <w:t>na zamestnanosť vo verejnej správe a financovanie návrhu</w:t>
      </w: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2.1. Zhrnutie vplyvov na rozpočet verejnej správy v návrhu</w:t>
      </w:r>
    </w:p>
    <w:p w:rsidR="009E5267" w:rsidP="009E5267">
      <w:pPr>
        <w:bidi w:val="0"/>
        <w:jc w:val="right"/>
        <w:rPr>
          <w:rFonts w:ascii="Times New Roman" w:hAnsi="Times New Roman"/>
        </w:rPr>
      </w:pPr>
      <w:r>
        <w:rPr>
          <w:rFonts w:ascii="Times New Roman" w:hAnsi="Times New Roman"/>
          <w:sz w:val="20"/>
          <w:szCs w:val="20"/>
        </w:rPr>
        <w:t xml:space="preserve">Tabuľka č. 1 </w:t>
      </w:r>
    </w:p>
    <w:tbl>
      <w:tblPr>
        <w:tblStyle w:val="TableNormal"/>
        <w:tblW w:w="9729" w:type="dxa"/>
        <w:tblCellMar>
          <w:left w:w="0" w:type="dxa"/>
          <w:right w:w="0" w:type="dxa"/>
        </w:tblCellMar>
        <w:tblLook w:val="04A0"/>
      </w:tblPr>
      <w:tblGrid>
        <w:gridCol w:w="4661"/>
        <w:gridCol w:w="1267"/>
        <w:gridCol w:w="1267"/>
        <w:gridCol w:w="1267"/>
        <w:gridCol w:w="1267"/>
      </w:tblGrid>
      <w:tr>
        <w:tblPrEx>
          <w:tblW w:w="9729" w:type="dxa"/>
          <w:tblCellMar>
            <w:left w:w="0" w:type="dxa"/>
            <w:right w:w="0" w:type="dxa"/>
          </w:tblCellMar>
          <w:tblLook w:val="04A0"/>
        </w:tblPrEx>
        <w:trPr>
          <w:trHeight w:val="194"/>
        </w:trPr>
        <w:tc>
          <w:tcPr>
            <w:tcW w:w="4661"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194" w:lineRule="atLeast"/>
              <w:jc w:val="center"/>
              <w:rPr>
                <w:rFonts w:ascii="Times New Roman" w:hAnsi="Times New Roman"/>
              </w:rPr>
            </w:pPr>
            <w:bookmarkStart w:id="0" w:name="OLE_LINK1"/>
            <w:bookmarkEnd w:id="0"/>
            <w:r>
              <w:rPr>
                <w:rFonts w:ascii="Times New Roman" w:hAnsi="Times New Roman"/>
                <w:b/>
                <w:bCs/>
                <w:color w:val="FFFFFF"/>
              </w:rPr>
              <w:t xml:space="preserve">Vplyvy na </w:t>
            </w:r>
            <w:r>
              <w:rPr>
                <w:rFonts w:ascii="Times New Roman" w:hAnsi="Times New Roman"/>
                <w:b/>
                <w:bCs/>
              </w:rPr>
              <w:t>rozpočet verejnej správy</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194"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729"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+ 1</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+ 2</w:t>
            </w:r>
          </w:p>
        </w:tc>
        <w:tc>
          <w:tcPr>
            <w:tcW w:w="1267"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+ 3</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rPr>
              <w:t>Príjmy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r>
      <w:tr>
        <w:tblPrEx>
          <w:tblW w:w="9729" w:type="dxa"/>
          <w:tblCellMar>
            <w:left w:w="0" w:type="dxa"/>
            <w:right w:w="0" w:type="dxa"/>
          </w:tblCellMar>
          <w:tblLook w:val="04A0"/>
        </w:tblPrEx>
        <w:trPr>
          <w:trHeight w:val="132"/>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2" w:lineRule="atLeast"/>
              <w:rPr>
                <w:rFonts w:ascii="Times New Roman" w:hAnsi="Times New Roman"/>
              </w:rPr>
            </w:pPr>
            <w:r>
              <w:rPr>
                <w:rFonts w:ascii="Times New Roman" w:hAnsi="Times New Roman"/>
              </w:rPr>
              <w:t>v tom: za každý subjekt verejnej správy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32"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32"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25" w:lineRule="atLeast"/>
              <w:rPr>
                <w:rFonts w:ascii="Times New Roman" w:hAnsi="Times New Roman"/>
              </w:rPr>
            </w:pPr>
            <w:r>
              <w:rPr>
                <w:rFonts w:ascii="Times New Roman" w:hAnsi="Times New Roman"/>
                <w:b/>
                <w:bCs/>
                <w:i/>
                <w:iCs/>
              </w:rPr>
              <w:t>- vplyv na ŠR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200 000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450 000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500 000</w:t>
            </w: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pPr>
              <w:bidi w:val="0"/>
              <w:spacing w:after="0" w:line="125" w:lineRule="atLeast"/>
              <w:rPr>
                <w:rFonts w:ascii="Times New Roman" w:hAnsi="Times New Roman"/>
              </w:rPr>
            </w:pPr>
            <w:r>
              <w:rPr>
                <w:rFonts w:ascii="Times New Roman" w:hAnsi="Times New Roman"/>
                <w:b/>
                <w:bCs/>
              </w:rPr>
              <w:t>Výdavky verejnej správy celkom</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rPr>
              <w:t xml:space="preserve">  0 </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rPr>
              <w:t>v tom: za každý subjekt verejnej správy / program zvlášť</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i/>
                <w:iCs/>
              </w:rPr>
              <w:t xml:space="preserve">z toho: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
                <w:iCs/>
              </w:rPr>
              <w:t> </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i/>
                <w:iCs/>
              </w:rPr>
              <w:t>- vplyv na ŠR- kapitola MS SR</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Cs/>
              </w:rPr>
              <w:t>320 000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RPr="009E5267" w:rsidP="009E5267">
            <w:pPr>
              <w:pStyle w:val="NoSpacing"/>
              <w:bidi w:val="0"/>
              <w:spacing w:after="0" w:line="240" w:lineRule="auto"/>
              <w:jc w:val="right"/>
              <w:rPr>
                <w:rFonts w:ascii="Times New Roman" w:hAnsi="Times New Roman"/>
                <w:b/>
              </w:rPr>
            </w:pPr>
            <w:r w:rsidRPr="009E5267">
              <w:rPr>
                <w:rFonts w:ascii="Times New Roman" w:hAnsi="Times New Roman"/>
                <w:b/>
              </w:rPr>
              <w:t>-251 600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Cs/>
              </w:rPr>
              <w:t>- 251 600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iCs/>
              </w:rPr>
              <w:t>-251 600</w:t>
            </w:r>
          </w:p>
        </w:tc>
      </w:tr>
      <w:tr>
        <w:tblPrEx>
          <w:tblW w:w="9729" w:type="dxa"/>
          <w:tblCellMar>
            <w:left w:w="0" w:type="dxa"/>
            <w:right w:w="0" w:type="dxa"/>
          </w:tblCellMar>
          <w:tblLook w:val="04A0"/>
        </w:tblPrEx>
        <w:trPr>
          <w:trHeight w:val="125"/>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25" w:lineRule="atLeast"/>
              <w:rPr>
                <w:rFonts w:ascii="Times New Roman" w:hAnsi="Times New Roman"/>
              </w:rPr>
            </w:pPr>
            <w:r>
              <w:rPr>
                <w:rFonts w:ascii="Times New Roman" w:hAnsi="Times New Roman"/>
                <w:b/>
                <w:bCs/>
                <w:i/>
                <w:iCs/>
              </w:rPr>
              <w:t>- vplyv na územnú samosprávu</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125" w:lineRule="atLeast"/>
              <w:jc w:val="right"/>
              <w:rPr>
                <w:rFonts w:ascii="Times New Roman" w:hAnsi="Times New Roman"/>
              </w:rPr>
            </w:pPr>
            <w:r>
              <w:rPr>
                <w:rFonts w:ascii="Times New Roman" w:hAnsi="Times New Roman"/>
                <w:b/>
                <w:bCs/>
                <w:iCs/>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rPr>
              <w:t xml:space="preserve">Celková zamestnanosť </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i/>
                <w:iCs/>
              </w:rPr>
              <w:t>- z toho vplyv na ŠR</w:t>
            </w:r>
            <w:r>
              <w:rPr>
                <w:rFonts w:ascii="Times New Roman" w:hAnsi="Times New Roman"/>
              </w:rPr>
              <w:t xml:space="preserve"> </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rPr>
              <w:t>Financovanie zabezpečené v rozpočte</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320 000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c>
          <w:tcPr>
            <w:tcW w:w="1267"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0</w:t>
            </w:r>
          </w:p>
        </w:tc>
      </w:tr>
      <w:tr>
        <w:tblPrEx>
          <w:tblW w:w="9729" w:type="dxa"/>
          <w:tblCellMar>
            <w:left w:w="0" w:type="dxa"/>
            <w:right w:w="0" w:type="dxa"/>
          </w:tblCellMar>
          <w:tblLook w:val="04A0"/>
        </w:tblPrEx>
        <w:trPr>
          <w:trHeight w:val="70"/>
        </w:trPr>
        <w:tc>
          <w:tcPr>
            <w:tcW w:w="466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rPr>
                <w:rFonts w:ascii="Times New Roman" w:hAnsi="Times New Roman"/>
              </w:rPr>
            </w:pPr>
            <w:r>
              <w:rPr>
                <w:rFonts w:ascii="Times New Roman" w:hAnsi="Times New Roman"/>
              </w:rPr>
              <w:t>v tom: za program 08P Financ.syst.súdnictva</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320 000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c>
          <w:tcPr>
            <w:tcW w:w="126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rPr>
              <w:t>0</w:t>
            </w:r>
          </w:p>
        </w:tc>
      </w:tr>
      <w:tr>
        <w:tblPrEx>
          <w:tblW w:w="9729" w:type="dxa"/>
          <w:tblCellMar>
            <w:left w:w="0" w:type="dxa"/>
            <w:right w:w="0" w:type="dxa"/>
          </w:tblCellMar>
          <w:tblLook w:val="04A0"/>
        </w:tblPrEx>
        <w:tc>
          <w:tcPr>
            <w:tcW w:w="4661"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7"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2.2. Financovanie návrhu</w:t>
      </w:r>
    </w:p>
    <w:p w:rsidR="009E5267" w:rsidP="009E5267">
      <w:pPr>
        <w:bidi w:val="0"/>
        <w:jc w:val="right"/>
        <w:rPr>
          <w:rFonts w:ascii="Times New Roman" w:hAnsi="Times New Roman"/>
        </w:rPr>
      </w:pPr>
      <w:r>
        <w:rPr>
          <w:rFonts w:ascii="Times New Roman" w:hAnsi="Times New Roman"/>
          <w:sz w:val="20"/>
          <w:szCs w:val="20"/>
        </w:rPr>
        <w:t>Tabuľka č. 2</w:t>
      </w:r>
    </w:p>
    <w:tbl>
      <w:tblPr>
        <w:tblStyle w:val="TableNormal"/>
        <w:tblW w:w="9360" w:type="dxa"/>
        <w:tblCellMar>
          <w:left w:w="0" w:type="dxa"/>
          <w:right w:w="0" w:type="dxa"/>
        </w:tblCellMar>
        <w:tblLook w:val="04A0"/>
      </w:tblPr>
      <w:tblGrid>
        <w:gridCol w:w="4304"/>
        <w:gridCol w:w="1264"/>
        <w:gridCol w:w="1264"/>
        <w:gridCol w:w="1264"/>
        <w:gridCol w:w="1264"/>
      </w:tblGrid>
      <w:tr>
        <w:tblPrEx>
          <w:tblW w:w="9360" w:type="dxa"/>
          <w:tblCellMar>
            <w:left w:w="0" w:type="dxa"/>
            <w:right w:w="0" w:type="dxa"/>
          </w:tblCellMar>
          <w:tblLook w:val="04A0"/>
        </w:tblPrEx>
        <w:trPr>
          <w:trHeight w:val="70"/>
        </w:trPr>
        <w:tc>
          <w:tcPr>
            <w:tcW w:w="4304"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Financovanie</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 xml:space="preserve">Vplyv na rozpočet verejnej správy </w:t>
            </w:r>
            <w:r>
              <w:rPr>
                <w:rFonts w:ascii="Times New Roman" w:hAnsi="Times New Roman"/>
                <w:b/>
                <w:bCs/>
              </w:rPr>
              <w:t>(v eurách)</w:t>
            </w:r>
          </w:p>
        </w:tc>
      </w:tr>
      <w:tr>
        <w:tblPrEx>
          <w:tblW w:w="9360" w:type="dxa"/>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+ 1</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+ 2</w:t>
            </w:r>
          </w:p>
        </w:tc>
        <w:tc>
          <w:tcPr>
            <w:tcW w:w="1264" w:type="dxa"/>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+ 3</w:t>
            </w: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rPr>
              <w:t>Celkový vplyv na rozpočet verejnej správy ( - príjmy, + výdavky)</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b/>
                <w:bCs/>
              </w:rPr>
              <w:t>+ 320 000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b/>
                <w:bCs/>
              </w:rPr>
              <w:t>- 451 600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b/>
                <w:bCs/>
              </w:rPr>
              <w:t>- 701 600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b/>
                <w:bCs/>
              </w:rPr>
              <w:t>- 751 600</w:t>
            </w: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rPr>
              <w:t>  z toho vplyv na ŠR – kapitola MS SR</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rPr>
              <w:t>320 000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rPr>
              <w:t>- 451 600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rPr>
              <w:t>- 701 600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rPr>
              <w:t>- 751 600</w:t>
            </w:r>
          </w:p>
        </w:tc>
      </w:tr>
      <w:tr>
        <w:tblPrEx>
          <w:tblW w:w="9360" w:type="dxa"/>
          <w:tblCellMar>
            <w:left w:w="0" w:type="dxa"/>
            <w:right w:w="0" w:type="dxa"/>
          </w:tblCellMar>
          <w:tblLook w:val="04A0"/>
        </w:tblPrEx>
        <w:trPr>
          <w:trHeight w:val="151"/>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51" w:lineRule="atLeast"/>
              <w:rPr>
                <w:rFonts w:ascii="Times New Roman" w:hAnsi="Times New Roman"/>
              </w:rPr>
            </w:pPr>
            <w:r>
              <w:rPr>
                <w:rFonts w:ascii="Times New Roman" w:hAnsi="Times New Roman"/>
              </w:rPr>
              <w:t>  financovanie zabezpečené v rozpočte</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51" w:lineRule="atLeast"/>
              <w:jc w:val="right"/>
              <w:rPr>
                <w:rFonts w:ascii="Times New Roman" w:hAnsi="Times New Roman"/>
              </w:rPr>
            </w:pPr>
            <w:r>
              <w:rPr>
                <w:rFonts w:ascii="Times New Roman" w:hAnsi="Times New Roman"/>
              </w:rPr>
              <w:t>320 000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51"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51"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51"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Look w:val="04A0"/>
        </w:tblPrEx>
        <w:trPr>
          <w:trHeight w:val="135"/>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5" w:lineRule="atLeast"/>
              <w:rPr>
                <w:rFonts w:ascii="Times New Roman" w:hAnsi="Times New Roman"/>
              </w:rPr>
            </w:pPr>
            <w:r>
              <w:rPr>
                <w:rFonts w:ascii="Times New Roman" w:hAnsi="Times New Roman"/>
              </w:rPr>
              <w:t>  ostatné zdroje financovania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5" w:lineRule="atLeast"/>
              <w:jc w:val="right"/>
              <w:rPr>
                <w:rFonts w:ascii="Times New Roman" w:hAnsi="Times New Roman"/>
              </w:rPr>
            </w:pPr>
            <w:r>
              <w:rPr>
                <w:rFonts w:ascii="Times New Roman" w:hAnsi="Times New Roman"/>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135" w:lineRule="atLeast"/>
              <w:jc w:val="right"/>
              <w:rPr>
                <w:rFonts w:ascii="Times New Roman" w:hAnsi="Times New Roman"/>
              </w:rPr>
            </w:pPr>
            <w:r>
              <w:rPr>
                <w:rFonts w:ascii="Times New Roman" w:hAnsi="Times New Roman"/>
              </w:rPr>
              <w:t>0</w:t>
            </w:r>
          </w:p>
        </w:tc>
      </w:tr>
      <w:tr>
        <w:tblPrEx>
          <w:tblW w:w="9360" w:type="dxa"/>
          <w:tblCellMar>
            <w:left w:w="0" w:type="dxa"/>
            <w:right w:w="0" w:type="dxa"/>
          </w:tblCellMar>
          <w:tblLook w:val="04A0"/>
        </w:tblPrEx>
        <w:trPr>
          <w:trHeight w:val="70"/>
        </w:trPr>
        <w:tc>
          <w:tcPr>
            <w:tcW w:w="43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rPr>
                <w:rFonts w:ascii="Times New Roman" w:hAnsi="Times New Roman"/>
              </w:rPr>
            </w:pPr>
            <w:r>
              <w:rPr>
                <w:rFonts w:ascii="Times New Roman" w:hAnsi="Times New Roman"/>
                <w:b/>
                <w:bCs/>
              </w:rPr>
              <w:t>Rozpočtovo nekrytý vplyv / úspora</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bidi w:val="0"/>
              <w:spacing w:after="0" w:line="70" w:lineRule="atLeast"/>
              <w:jc w:val="right"/>
              <w:rPr>
                <w:rFonts w:ascii="Times New Roman" w:hAnsi="Times New Roman"/>
              </w:rPr>
            </w:pPr>
            <w:r>
              <w:rPr>
                <w:rFonts w:ascii="Times New Roman" w:hAnsi="Times New Roman"/>
                <w:b/>
                <w:bCs/>
              </w:rPr>
              <w:t>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- 251 600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- 251 600</w:t>
            </w:r>
          </w:p>
        </w:tc>
        <w:tc>
          <w:tcPr>
            <w:tcW w:w="126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rsidP="009E5267">
            <w:pPr>
              <w:bidi w:val="0"/>
              <w:spacing w:after="0" w:line="70" w:lineRule="atLeast"/>
              <w:jc w:val="right"/>
              <w:rPr>
                <w:rFonts w:ascii="Times New Roman" w:hAnsi="Times New Roman"/>
              </w:rPr>
            </w:pPr>
            <w:r>
              <w:rPr>
                <w:rFonts w:ascii="Times New Roman" w:hAnsi="Times New Roman"/>
                <w:b/>
                <w:bCs/>
              </w:rPr>
              <w:t>-251 600</w:t>
            </w:r>
          </w:p>
        </w:tc>
      </w:tr>
      <w:tr>
        <w:tblPrEx>
          <w:tblW w:w="9360" w:type="dxa"/>
          <w:tblCellMar>
            <w:left w:w="0" w:type="dxa"/>
            <w:right w:w="0" w:type="dxa"/>
          </w:tblCellMar>
          <w:tblLook w:val="04A0"/>
        </w:tblPrEx>
        <w:tc>
          <w:tcPr>
            <w:tcW w:w="430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26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 </w:t>
      </w:r>
    </w:p>
    <w:p w:rsidR="009E5267" w:rsidP="009E5267">
      <w:pPr>
        <w:bidi w:val="0"/>
        <w:rPr>
          <w:rFonts w:ascii="Times New Roman" w:hAnsi="Times New Roman"/>
        </w:rPr>
      </w:pPr>
      <w:r>
        <w:rPr>
          <w:rFonts w:ascii="Times New Roman" w:hAnsi="Times New Roman"/>
          <w:b/>
          <w:bCs/>
        </w:rPr>
        <w:t>Návrh na riešenie úbytku príjmov alebo zvýšených výdavkov podľa § 33 ods. 1 zákona č. 523/2004 Z. z. o rozpočtových pravidlách verejnej správy:</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r>
        <w:rPr>
          <w:rFonts w:ascii="Times New Roman" w:hAnsi="Times New Roman"/>
          <w:b/>
          <w:bCs/>
        </w:rPr>
        <w:t> </w:t>
      </w:r>
    </w:p>
    <w:p w:rsidR="009E5267" w:rsidP="009E5267">
      <w:pPr>
        <w:pBdr>
          <w:top w:val="single" w:sz="4" w:space="1" w:color="000000"/>
          <w:left w:val="single" w:sz="4" w:space="4" w:color="000000"/>
          <w:bottom w:val="single" w:sz="4" w:space="1" w:color="000000"/>
          <w:right w:val="single" w:sz="4" w:space="4" w:color="000000"/>
        </w:pBdr>
        <w:bidi w:val="0"/>
        <w:rPr>
          <w:rFonts w:ascii="Times New Roman" w:hAnsi="Times New Roman"/>
        </w:rPr>
      </w:pPr>
    </w:p>
    <w:p w:rsidR="009E5267" w:rsidP="009E5267">
      <w:pPr>
        <w:bidi w:val="0"/>
        <w:rPr>
          <w:rFonts w:ascii="Times New Roman" w:hAnsi="Times New Roman"/>
          <w:b/>
          <w:bCs/>
        </w:rPr>
      </w:pPr>
    </w:p>
    <w:p w:rsidR="009E5267" w:rsidP="009E5267">
      <w:pPr>
        <w:bidi w:val="0"/>
        <w:rPr>
          <w:rFonts w:ascii="Times New Roman" w:hAnsi="Times New Roman"/>
        </w:rPr>
      </w:pPr>
      <w:r>
        <w:rPr>
          <w:rFonts w:ascii="Times New Roman" w:hAnsi="Times New Roman"/>
          <w:b/>
          <w:bCs/>
        </w:rPr>
        <w:t>2.3. Popis a charakteristika návrhu</w:t>
      </w:r>
    </w:p>
    <w:p w:rsidR="009E5267" w:rsidP="009E5267">
      <w:pPr>
        <w:bidi w:val="0"/>
        <w:rPr>
          <w:rFonts w:ascii="Times New Roman" w:hAnsi="Times New Roman"/>
        </w:rPr>
      </w:pPr>
      <w:r>
        <w:rPr>
          <w:rFonts w:ascii="Times New Roman" w:hAnsi="Times New Roman"/>
        </w:rPr>
        <w:t> </w:t>
      </w:r>
    </w:p>
    <w:p w:rsidR="009E5267" w:rsidP="009E5267">
      <w:pPr>
        <w:bidi w:val="0"/>
        <w:jc w:val="both"/>
        <w:rPr>
          <w:rFonts w:ascii="Times New Roman" w:hAnsi="Times New Roman"/>
        </w:rPr>
      </w:pPr>
      <w:r>
        <w:rPr>
          <w:rFonts w:ascii="Times New Roman" w:hAnsi="Times New Roman"/>
          <w:b/>
          <w:bCs/>
        </w:rPr>
        <w:t>2.3.1. Popis návrhu:</w:t>
      </w:r>
    </w:p>
    <w:p w:rsidR="009E5267" w:rsidP="009E5267">
      <w:pPr>
        <w:bidi w:val="0"/>
        <w:jc w:val="both"/>
        <w:rPr>
          <w:rFonts w:ascii="Times New Roman" w:hAnsi="Times New Roman"/>
        </w:rPr>
      </w:pPr>
      <w:r>
        <w:rPr>
          <w:rFonts w:ascii="Times New Roman" w:hAnsi="Times New Roman"/>
          <w:b/>
          <w:bCs/>
        </w:rPr>
        <w:t> </w:t>
      </w:r>
    </w:p>
    <w:p w:rsidR="009E5267" w:rsidP="009E5267">
      <w:pPr>
        <w:bidi w:val="0"/>
        <w:ind w:firstLine="708"/>
        <w:jc w:val="both"/>
        <w:rPr>
          <w:rFonts w:ascii="Times New Roman" w:hAnsi="Times New Roman"/>
        </w:rPr>
      </w:pPr>
      <w:r>
        <w:rPr>
          <w:rFonts w:ascii="Times New Roman" w:hAnsi="Times New Roman"/>
        </w:rPr>
        <w:t>Akú problematiku návrhu rieši? Kto bude návrh implementovať? Kde sa budú služby poskytovať?</w:t>
      </w:r>
    </w:p>
    <w:p w:rsidR="009E5267" w:rsidP="009E5267">
      <w:pPr>
        <w:bidi w:val="0"/>
        <w:ind w:firstLine="708"/>
        <w:jc w:val="both"/>
        <w:rPr>
          <w:rFonts w:ascii="Times New Roman" w:hAnsi="Times New Roman"/>
        </w:rPr>
      </w:pPr>
      <w:r>
        <w:rPr>
          <w:rFonts w:ascii="Times New Roman" w:hAnsi="Times New Roman"/>
        </w:rPr>
        <w:t xml:space="preserve">Projekt elektronizácie Obchodného vestníka ( ďalej len „ OV“) má jasný legislatívny rámec a plánované spustenie je v súlade s pripravovaným návrhom zákona o OV, ktorý Ministerstvo spravodlivosti Slovenskej republiky( ďalej len “ministerstvo“) plánuje predložiť v júli 2011. Ministerstvo považuje projekt z hľadiska vložených investícií za ekonomicky prínosný a predpokladá už v treťom roku používania pozitívny dopad na štátny rozpočet. Ministerstvo vzhľadom na potrebu krátenia rozpočtu na rok 2011 nemá dostatočné zdroje na krytie predmetného projektu a preto trvá na svojej požiadavke na pridelenie 320 000 Eur nad rámec rozpočtu 2011. Návratnosť projektu elektronizácie OV je 2 roky. Vo výdavkovej časti bude šetrenie na strane zdrojov v rozpočtovej kapitole ministerstva z dôvodu predpokladaného zníženia počtu zamestnancov v redakcii OV o 50%, čo predstavuje úsporu 180 000 Eur ročne, (mzdové náklady, odvody do poistných fondov, energie, kancelárske zariadenie, výpočtová technika), úspora z dôvodu ukončenia vydávania tlačenej verzie vo výške 55 000 Eur ročne a poplatky spoločnosti SCB za manuálne zadávanie účtovných závierok do systému vo výške 16 600 Eur ročne. Elektronizácia vydávania OV  bude mať pozitívny dopad aj pre obchodné spoločnosti, ktoré úsporou vlastných zdrojov dokážu vytvárať nové pracovné miesta. Podnikatelia získajú bezplatný a nepretržitý prístup k elektronickej verzii OV a vyšší komfort práce s jeho obsahom. Projekt výrazne prispieva k skvalitneniu podnikateľského prostredia a má priamy dopad na elektronizáciu verejnej správy a informatizáciu spoločnosti, čo je v súlade s Programovým vyhlásením vlády SR –2. Prosperujúci štát/ 2.2 Podnikateľské prostredie, malé a stredné podniky, 4. Bezpečný a efektívny štát/ 4.1 Spravodlivosť/ verejná správa. </w:t>
      </w:r>
    </w:p>
    <w:p w:rsidR="009E5267" w:rsidP="009E5267">
      <w:pPr>
        <w:bidi w:val="0"/>
        <w:rPr>
          <w:rFonts w:ascii="Times New Roman" w:hAnsi="Times New Roman"/>
        </w:rPr>
      </w:pPr>
    </w:p>
    <w:p w:rsidR="009E5267" w:rsidP="009E5267">
      <w:pPr>
        <w:bidi w:val="0"/>
        <w:jc w:val="both"/>
        <w:rPr>
          <w:rFonts w:ascii="Times New Roman" w:hAnsi="Times New Roman"/>
        </w:rPr>
      </w:pPr>
      <w:r>
        <w:rPr>
          <w:rFonts w:ascii="Times New Roman" w:hAnsi="Times New Roman"/>
          <w:b/>
          <w:bCs/>
        </w:rPr>
        <w:t>2.3.4. Výpočty vplyvov na verejné financie</w:t>
      </w:r>
    </w:p>
    <w:p w:rsidR="009E5267" w:rsidP="009E5267">
      <w:pPr>
        <w:bidi w:val="0"/>
        <w:jc w:val="both"/>
        <w:rPr>
          <w:rFonts w:ascii="Times New Roman" w:hAnsi="Times New Roman"/>
        </w:rPr>
      </w:pPr>
      <w:r>
        <w:rPr>
          <w:rFonts w:ascii="Times New Roman" w:hAnsi="Times New Roman"/>
        </w:rPr>
        <w:t> </w:t>
      </w:r>
    </w:p>
    <w:p w:rsidR="009E5267" w:rsidP="009E5267">
      <w:pPr>
        <w:bidi w:val="0"/>
        <w:ind w:firstLine="708"/>
        <w:jc w:val="both"/>
        <w:rPr>
          <w:rFonts w:ascii="Times New Roman" w:hAnsi="Times New Roman"/>
        </w:rPr>
      </w:pPr>
      <w:r>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E5267" w:rsidP="009E5267">
      <w:pPr>
        <w:bidi w:val="0"/>
        <w:ind w:firstLine="708"/>
        <w:jc w:val="both"/>
        <w:rPr>
          <w:rFonts w:ascii="Times New Roman" w:hAnsi="Times New Roman"/>
        </w:rPr>
      </w:pPr>
    </w:p>
    <w:p w:rsidR="009E5267" w:rsidP="009E5267">
      <w:pPr>
        <w:bidi w:val="0"/>
        <w:ind w:firstLine="708"/>
        <w:jc w:val="both"/>
        <w:rPr>
          <w:rFonts w:ascii="Times New Roman" w:hAnsi="Times New Roman"/>
        </w:rPr>
      </w:pPr>
      <w:r>
        <w:rPr>
          <w:rFonts w:ascii="Times New Roman" w:hAnsi="Times New Roman"/>
        </w:rPr>
        <w:t xml:space="preserve">Predpokladané náklady na potrebné softvérové vybavenie v prvom roku (2011) sú 320 000 Eur. Po zavedení elektronizácie OV sa predpokladá každý rok úspora 251 600 Eur na strane zdrojov štátneho rozpočtu. Analýza, ktorú vykonalo ministerstvo potvrdila vysokú efektivitu a návratnosť vložených investícií už v druhom roku užívania. V roku 2010 boli príjmy kapitoly ministerstva za zverejňovanie údajov v OV vo výške 650 000 Eur. Podľa odhadov je to cca 45 % spoločností povinných uverejňovať údaje v OV.  V ďalších rokoch by odhadovaný príjem štátneho rozpočtu z dôvodu elektronizácie OV a tým zvýšením podielu výberu platieb z titulu plnenia zákonných povinností právnických a fyzických osôb stúpol o 30 % t. j. cca 200 000 Eur v roku </w:t>
      </w:r>
      <w:smartTag w:uri="urn:schemas-microsoft-com:office:smarttags" w:element="metricconverter">
        <w:smartTagPr>
          <w:attr w:name="ProductID" w:val="2012 a"/>
        </w:smartTagPr>
        <w:r>
          <w:rPr>
            <w:rFonts w:ascii="Times New Roman" w:hAnsi="Times New Roman"/>
          </w:rPr>
          <w:t>2012 a</w:t>
        </w:r>
      </w:smartTag>
      <w:r>
        <w:rPr>
          <w:rFonts w:ascii="Times New Roman" w:hAnsi="Times New Roman"/>
        </w:rPr>
        <w:t xml:space="preserve"> v roku 2013 o 450 000 t. j. 70% príjmov z roku 2010 a v roku 2014 o 77 % t. j. 500 000 Eur oproti roku 2010. Elektronická verzia by priniesla výrazne nižšiu prácnosť, vyššiu prehľadnosť získaných a zverejňovaných údajov ako aj výrazné zníženie možnej chybovosti pri zadávaní údajov.</w:t>
      </w:r>
    </w:p>
    <w:p w:rsidR="009E5267" w:rsidP="009E5267">
      <w:pPr>
        <w:bidi w:val="0"/>
        <w:ind w:firstLine="708"/>
        <w:jc w:val="both"/>
        <w:rPr>
          <w:rFonts w:ascii="Times New Roman" w:hAnsi="Times New Roman"/>
        </w:rPr>
      </w:pPr>
    </w:p>
    <w:p w:rsidR="009E5267" w:rsidP="009E5267">
      <w:pPr>
        <w:bidi w:val="0"/>
        <w:ind w:firstLine="708"/>
        <w:jc w:val="both"/>
        <w:rPr>
          <w:rFonts w:ascii="Times New Roman" w:hAnsi="Times New Roman"/>
        </w:rPr>
      </w:pPr>
      <w:r>
        <w:rPr>
          <w:rFonts w:ascii="Times New Roman" w:hAnsi="Times New Roman"/>
        </w:rPr>
        <w:t>Benefity projektu:</w:t>
      </w:r>
    </w:p>
    <w:p w:rsidR="009E5267" w:rsidP="009E5267">
      <w:pPr>
        <w:numPr>
          <w:numId w:val="2"/>
        </w:numPr>
        <w:bidi w:val="0"/>
        <w:jc w:val="both"/>
        <w:rPr>
          <w:rFonts w:ascii="Times New Roman" w:hAnsi="Times New Roman"/>
        </w:rPr>
      </w:pPr>
      <w:r>
        <w:rPr>
          <w:rFonts w:ascii="Times New Roman" w:hAnsi="Times New Roman"/>
        </w:rPr>
        <w:t>výrazné zníženie administratívy,</w:t>
      </w:r>
    </w:p>
    <w:p w:rsidR="009E5267" w:rsidP="009E5267">
      <w:pPr>
        <w:numPr>
          <w:numId w:val="2"/>
        </w:numPr>
        <w:bidi w:val="0"/>
        <w:jc w:val="both"/>
        <w:rPr>
          <w:rFonts w:ascii="Times New Roman" w:hAnsi="Times New Roman"/>
        </w:rPr>
      </w:pPr>
      <w:r>
        <w:rPr>
          <w:rFonts w:ascii="Times New Roman" w:hAnsi="Times New Roman"/>
        </w:rPr>
        <w:t>každý účastník bude mať všetky potrebné funkcie a informačné zdroje s garantovaným  obsahom k dispozícii na jednom mieste a on-line prostredníctvom POV(Portál obchodného vestníka) a nebude musieť tak, ako doposiaľ získavať potrebné podklady komplikovaným spôsobom z externých ( prevažne papierových ) zdrojov,</w:t>
      </w:r>
    </w:p>
    <w:p w:rsidR="009E5267" w:rsidP="009E5267">
      <w:pPr>
        <w:numPr>
          <w:numId w:val="2"/>
        </w:numPr>
        <w:bidi w:val="0"/>
        <w:jc w:val="both"/>
        <w:rPr>
          <w:rFonts w:ascii="Times New Roman" w:hAnsi="Times New Roman"/>
        </w:rPr>
      </w:pPr>
      <w:r>
        <w:rPr>
          <w:rFonts w:ascii="Times New Roman" w:hAnsi="Times New Roman"/>
        </w:rPr>
        <w:t>nové funkcie POV pre vyhľadávania umožnia komfortný a rýchly prístup k požadovaným informáciám i súvisiacim z historického pohľadu,</w:t>
      </w:r>
    </w:p>
    <w:p w:rsidR="009E5267" w:rsidP="009E5267">
      <w:pPr>
        <w:numPr>
          <w:numId w:val="2"/>
        </w:numPr>
        <w:bidi w:val="0"/>
        <w:jc w:val="both"/>
        <w:rPr>
          <w:rFonts w:ascii="Times New Roman" w:hAnsi="Times New Roman"/>
        </w:rPr>
      </w:pPr>
      <w:r>
        <w:rPr>
          <w:rFonts w:ascii="Times New Roman" w:hAnsi="Times New Roman"/>
        </w:rPr>
        <w:t>elektronizáciou OV sa zvýši transparentnosť a kvalita podnikateľského prostredia i jeho dôveryhodnosť,</w:t>
      </w:r>
    </w:p>
    <w:p w:rsidR="009E5267" w:rsidP="009E5267">
      <w:pPr>
        <w:numPr>
          <w:numId w:val="2"/>
        </w:numPr>
        <w:bidi w:val="0"/>
        <w:jc w:val="both"/>
        <w:rPr>
          <w:rFonts w:ascii="Times New Roman" w:hAnsi="Times New Roman"/>
        </w:rPr>
      </w:pPr>
      <w:r>
        <w:rPr>
          <w:rFonts w:ascii="Times New Roman" w:hAnsi="Times New Roman"/>
        </w:rPr>
        <w:t>zníženie mzdových prostriedkov,</w:t>
      </w:r>
    </w:p>
    <w:p w:rsidR="009E5267" w:rsidP="009E5267">
      <w:pPr>
        <w:numPr>
          <w:numId w:val="2"/>
        </w:numPr>
        <w:bidi w:val="0"/>
        <w:jc w:val="both"/>
        <w:rPr>
          <w:rFonts w:ascii="Times New Roman" w:hAnsi="Times New Roman"/>
        </w:rPr>
      </w:pPr>
      <w:r>
        <w:rPr>
          <w:rFonts w:ascii="Times New Roman" w:hAnsi="Times New Roman"/>
        </w:rPr>
        <w:t>zníženie nárokov na kancelárske priestory ministerstva,</w:t>
      </w:r>
    </w:p>
    <w:p w:rsidR="009E5267" w:rsidP="009E5267">
      <w:pPr>
        <w:numPr>
          <w:numId w:val="2"/>
        </w:numPr>
        <w:bidi w:val="0"/>
        <w:jc w:val="both"/>
        <w:rPr>
          <w:rFonts w:ascii="Times New Roman" w:hAnsi="Times New Roman"/>
        </w:rPr>
      </w:pPr>
      <w:r>
        <w:rPr>
          <w:rFonts w:ascii="Times New Roman" w:hAnsi="Times New Roman"/>
        </w:rPr>
        <w:t>zrýchlenie spracovania údajov a ich štruktúrovanosť,</w:t>
      </w:r>
    </w:p>
    <w:p w:rsidR="009E5267" w:rsidP="009E5267">
      <w:pPr>
        <w:numPr>
          <w:numId w:val="2"/>
        </w:numPr>
        <w:bidi w:val="0"/>
        <w:jc w:val="both"/>
        <w:rPr>
          <w:rFonts w:ascii="Times New Roman" w:hAnsi="Times New Roman"/>
        </w:rPr>
      </w:pPr>
      <w:r>
        <w:rPr>
          <w:rFonts w:ascii="Times New Roman" w:hAnsi="Times New Roman"/>
        </w:rPr>
        <w:t>sprehľadnenie toku dát a ich transparentnosť,</w:t>
      </w:r>
    </w:p>
    <w:p w:rsidR="009E5267" w:rsidP="009E5267">
      <w:pPr>
        <w:numPr>
          <w:numId w:val="2"/>
        </w:numPr>
        <w:bidi w:val="0"/>
        <w:jc w:val="both"/>
        <w:rPr>
          <w:rFonts w:ascii="Times New Roman" w:hAnsi="Times New Roman"/>
        </w:rPr>
      </w:pPr>
      <w:r>
        <w:rPr>
          <w:rFonts w:ascii="Times New Roman" w:hAnsi="Times New Roman"/>
        </w:rPr>
        <w:t>výrazné zníženie/odbúranie nákladov na výrobu, tlač a distribúciu,</w:t>
      </w:r>
    </w:p>
    <w:p w:rsidR="009E5267" w:rsidP="009E5267">
      <w:pPr>
        <w:numPr>
          <w:numId w:val="2"/>
        </w:numPr>
        <w:bidi w:val="0"/>
        <w:jc w:val="both"/>
        <w:rPr>
          <w:rFonts w:ascii="Times New Roman" w:hAnsi="Times New Roman"/>
        </w:rPr>
      </w:pPr>
      <w:r>
        <w:rPr>
          <w:rFonts w:ascii="Times New Roman" w:hAnsi="Times New Roman"/>
        </w:rPr>
        <w:t>výrazne vyššia kvalita elektronickej verzie OV, ktorá prispeje k budovaniu kvalitnejšieho podnikateľského prostredia,</w:t>
      </w:r>
    </w:p>
    <w:p w:rsidR="009E5267" w:rsidP="009E5267">
      <w:pPr>
        <w:numPr>
          <w:numId w:val="2"/>
        </w:numPr>
        <w:bidi w:val="0"/>
        <w:jc w:val="both"/>
        <w:rPr>
          <w:rFonts w:ascii="Times New Roman" w:hAnsi="Times New Roman"/>
        </w:rPr>
      </w:pPr>
      <w:r>
        <w:rPr>
          <w:rFonts w:ascii="Times New Roman" w:hAnsi="Times New Roman"/>
        </w:rPr>
        <w:t>neporovnateľne vyšší komfort vyhľadávacích funkcionalít, archivácie</w:t>
      </w:r>
    </w:p>
    <w:p w:rsidR="009E5267" w:rsidP="009E5267">
      <w:pPr>
        <w:bidi w:val="0"/>
        <w:rPr>
          <w:rFonts w:ascii="Times New Roman" w:hAnsi="Times New Roman"/>
        </w:rPr>
      </w:pPr>
    </w:p>
    <w:p w:rsidR="009E5267" w:rsidP="009E5267">
      <w:pPr>
        <w:bidi w:val="0"/>
        <w:rPr>
          <w:rFonts w:ascii="Times New Roman" w:hAnsi="Times New Roman"/>
        </w:rPr>
      </w:pPr>
      <w:r>
        <w:rPr>
          <w:rFonts w:ascii="Times New Roman" w:hAnsi="Times New Roman"/>
        </w:rPr>
        <w:t>.....................................................................................................................................................</w:t>
      </w: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2.3.2. Charakteristika návrhu podľa bodu  2.3.2. Metodiky :</w:t>
      </w: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bdr w:val="single" w:sz="4" w:space="0" w:color="000000" w:frame="1"/>
        </w:rPr>
        <w:t xml:space="preserve">     </w:t>
      </w:r>
      <w:r>
        <w:rPr>
          <w:rFonts w:ascii="Times New Roman" w:hAnsi="Times New Roman"/>
          <w:b/>
          <w:bCs/>
        </w:rPr>
        <w:t xml:space="preserve">  </w:t>
      </w:r>
      <w:r>
        <w:rPr>
          <w:rFonts w:ascii="Times New Roman" w:hAnsi="Times New Roman"/>
        </w:rPr>
        <w:t>zmena sadzby</w:t>
      </w:r>
    </w:p>
    <w:p w:rsidR="009E5267" w:rsidP="009E5267">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zmena v nároku</w:t>
      </w:r>
    </w:p>
    <w:p w:rsidR="009E5267" w:rsidP="009E5267">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nová služba alebo nariadenie (alebo ich zrušenie)</w:t>
      </w:r>
    </w:p>
    <w:p w:rsidR="009E5267" w:rsidP="009E5267">
      <w:pPr>
        <w:bidi w:val="0"/>
        <w:rPr>
          <w:rFonts w:ascii="Times New Roman" w:hAnsi="Times New Roman"/>
        </w:rPr>
      </w:pPr>
      <w:r>
        <w:rPr>
          <w:rFonts w:ascii="Times New Roman" w:hAnsi="Times New Roman"/>
          <w:bdr w:val="single" w:sz="4" w:space="0" w:color="000000" w:frame="1"/>
        </w:rPr>
        <w:t xml:space="preserve">     </w:t>
      </w:r>
      <w:r>
        <w:rPr>
          <w:rFonts w:ascii="Times New Roman" w:hAnsi="Times New Roman"/>
        </w:rPr>
        <w:t>  kombinovaný návrh</w:t>
      </w:r>
    </w:p>
    <w:p w:rsidR="009E5267" w:rsidP="009E5267">
      <w:pPr>
        <w:bidi w:val="0"/>
        <w:rPr>
          <w:rFonts w:ascii="Times New Roman" w:hAnsi="Times New Roman"/>
        </w:rPr>
      </w:pPr>
      <w:r>
        <w:rPr>
          <w:rFonts w:ascii="Times New Roman" w:hAnsi="Times New Roman"/>
          <w:bdr w:val="single" w:sz="4" w:space="0" w:color="000000" w:frame="1"/>
        </w:rPr>
        <w:t xml:space="preserve">  X  </w:t>
      </w:r>
      <w:r>
        <w:rPr>
          <w:rFonts w:ascii="Times New Roman" w:hAnsi="Times New Roman"/>
        </w:rPr>
        <w:t xml:space="preserve">  iné </w:t>
      </w: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2.3.3. Predpoklady vývoja objemu aktivít:</w:t>
      </w:r>
    </w:p>
    <w:p w:rsidR="009E5267" w:rsidP="009E5267">
      <w:pPr>
        <w:bidi w:val="0"/>
        <w:rPr>
          <w:rFonts w:ascii="Times New Roman" w:hAnsi="Times New Roman"/>
        </w:rPr>
      </w:pPr>
      <w:r>
        <w:rPr>
          <w:rFonts w:ascii="Times New Roman" w:hAnsi="Times New Roman"/>
        </w:rPr>
        <w:t> </w:t>
      </w:r>
    </w:p>
    <w:p w:rsidR="009E5267" w:rsidP="009E5267">
      <w:pPr>
        <w:bidi w:val="0"/>
        <w:ind w:firstLine="708"/>
        <w:jc w:val="both"/>
        <w:rPr>
          <w:rFonts w:ascii="Times New Roman" w:hAnsi="Times New Roman"/>
        </w:rPr>
      </w:pPr>
      <w:r>
        <w:rPr>
          <w:rFonts w:ascii="Times New Roman" w:hAnsi="Times New Roman"/>
        </w:rPr>
        <w:t>Jasne popíšte, v prípade potreby použite nižšie uvedenú tabuľku. Uveďte aj odhady základov daní a/alebo poplatkov, ak sa ich táto zmena týka.</w:t>
      </w:r>
    </w:p>
    <w:p w:rsidR="009E5267" w:rsidP="009E5267">
      <w:pPr>
        <w:bidi w:val="0"/>
        <w:jc w:val="right"/>
        <w:rPr>
          <w:rFonts w:ascii="Times New Roman" w:hAnsi="Times New Roman"/>
        </w:rPr>
      </w:pPr>
      <w:r>
        <w:rPr>
          <w:rFonts w:ascii="Times New Roman" w:hAnsi="Times New Roman"/>
          <w:sz w:val="20"/>
          <w:szCs w:val="20"/>
        </w:rPr>
        <w:t xml:space="preserve">Tabuľka č. 3 </w:t>
      </w:r>
    </w:p>
    <w:tbl>
      <w:tblPr>
        <w:tblStyle w:val="TableNormal"/>
        <w:tblW w:w="0" w:type="auto"/>
        <w:tblCellMar>
          <w:left w:w="0" w:type="dxa"/>
          <w:right w:w="0" w:type="dxa"/>
        </w:tblCellMar>
        <w:tblLook w:val="04A0"/>
      </w:tblPr>
      <w:tblGrid>
        <w:gridCol w:w="4530"/>
        <w:gridCol w:w="1134"/>
        <w:gridCol w:w="1134"/>
        <w:gridCol w:w="1134"/>
        <w:gridCol w:w="1134"/>
      </w:tblGrid>
      <w:tr>
        <w:tblPrEx>
          <w:tblW w:w="0" w:type="auto"/>
          <w:tblCellMar>
            <w:left w:w="0" w:type="dxa"/>
            <w:right w:w="0" w:type="dxa"/>
          </w:tblCellMar>
          <w:tblLook w:val="04A0"/>
        </w:tblPrEx>
        <w:trPr>
          <w:trHeight w:val="70"/>
        </w:trPr>
        <w:tc>
          <w:tcPr>
            <w:tcW w:w="453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Objem aktivít</w:t>
            </w:r>
          </w:p>
        </w:tc>
        <w:tc>
          <w:tcPr>
            <w:tcW w:w="0" w:type="auto"/>
            <w:gridSpan w:val="4"/>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Odhadované objemy</w:t>
            </w:r>
          </w:p>
        </w:tc>
      </w:tr>
      <w:tr>
        <w:tblPrEx>
          <w:tblW w:w="0" w:type="auto"/>
          <w:tblCellMar>
            <w:left w:w="0" w:type="dxa"/>
            <w:right w:w="0" w:type="dxa"/>
          </w:tblCellMar>
          <w:tblLook w:val="04A0"/>
        </w:tblPrEx>
        <w:trPr>
          <w:trHeight w:val="70"/>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+ 1</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+ 2</w:t>
            </w:r>
          </w:p>
        </w:tc>
        <w:tc>
          <w:tcPr>
            <w:tcW w:w="1134" w:type="dxa"/>
            <w:tcBorders>
              <w:top w:val="single" w:sz="4" w:space="0" w:color="000000"/>
              <w:left w:val="single" w:sz="4" w:space="0" w:color="000000"/>
              <w:bottom w:val="single" w:sz="4" w:space="0" w:color="000000"/>
              <w:right w:val="single" w:sz="4" w:space="0" w:color="000000"/>
            </w:tcBorders>
            <w:shd w:val="clear" w:color="auto" w:fill="000000"/>
            <w:tcMar>
              <w:top w:w="0" w:type="dxa"/>
              <w:left w:w="108" w:type="dxa"/>
              <w:bottom w:w="0" w:type="dxa"/>
              <w:right w:w="108" w:type="dxa"/>
            </w:tcMar>
            <w:textDirection w:val="lrTb"/>
            <w:vAlign w:val="center"/>
            <w:hideMark/>
          </w:tcPr>
          <w:p w:rsidR="009E5267">
            <w:pPr>
              <w:bidi w:val="0"/>
              <w:spacing w:after="0" w:line="70" w:lineRule="atLeast"/>
              <w:jc w:val="center"/>
              <w:rPr>
                <w:rFonts w:ascii="Times New Roman" w:hAnsi="Times New Roman"/>
              </w:rPr>
            </w:pPr>
            <w:r>
              <w:rPr>
                <w:rFonts w:ascii="Times New Roman" w:hAnsi="Times New Roman"/>
                <w:b/>
                <w:bCs/>
                <w:color w:val="FFFFFF"/>
              </w:rPr>
              <w:t>r + 3</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rPr>
                <w:rFonts w:ascii="Times New Roman" w:hAnsi="Times New Roman"/>
              </w:rPr>
            </w:pPr>
            <w:r>
              <w:rPr>
                <w:rFonts w:ascii="Times New Roman" w:hAnsi="Times New Roman"/>
                <w:color w:val="000000"/>
              </w:rPr>
              <w:t>Indikátor ABC</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rPr>
                <w:rFonts w:ascii="Times New Roman" w:hAnsi="Times New Roman"/>
              </w:rPr>
            </w:pPr>
            <w:r>
              <w:rPr>
                <w:rFonts w:ascii="Times New Roman" w:hAnsi="Times New Roman"/>
                <w:color w:val="000000"/>
              </w:rPr>
              <w:t>Indikátor KLM</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r>
      <w:tr>
        <w:tblPrEx>
          <w:tblW w:w="0" w:type="auto"/>
          <w:tblCellMar>
            <w:left w:w="0" w:type="dxa"/>
            <w:right w:w="0" w:type="dxa"/>
          </w:tblCellMar>
          <w:tblLook w:val="04A0"/>
        </w:tblPrEx>
        <w:trPr>
          <w:trHeight w:val="70"/>
        </w:trPr>
        <w:tc>
          <w:tcPr>
            <w:tcW w:w="45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rPr>
                <w:rFonts w:ascii="Times New Roman" w:hAnsi="Times New Roman"/>
              </w:rPr>
            </w:pPr>
            <w:r>
              <w:rPr>
                <w:rFonts w:ascii="Times New Roman" w:hAnsi="Times New Roman"/>
                <w:color w:val="000000"/>
              </w:rPr>
              <w:t>Indikátor XYZ</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lrTb"/>
            <w:vAlign w:val="top"/>
            <w:hideMark/>
          </w:tcPr>
          <w:p w:rsidR="009E5267">
            <w:pPr>
              <w:bidi w:val="0"/>
              <w:spacing w:after="0" w:line="70" w:lineRule="atLeast"/>
              <w:jc w:val="right"/>
              <w:rPr>
                <w:rFonts w:ascii="Times New Roman" w:hAnsi="Times New Roman"/>
              </w:rPr>
            </w:pPr>
            <w:r>
              <w:rPr>
                <w:rFonts w:ascii="Times New Roman" w:hAnsi="Times New Roman"/>
                <w:color w:val="000000"/>
              </w:rPr>
              <w:t> </w:t>
            </w:r>
          </w:p>
        </w:tc>
      </w:tr>
      <w:tr>
        <w:tblPrEx>
          <w:tblW w:w="0" w:type="auto"/>
          <w:tblCellMar>
            <w:left w:w="0" w:type="dxa"/>
            <w:right w:w="0" w:type="dxa"/>
          </w:tblCellMar>
          <w:tblLook w:val="04A0"/>
        </w:tblPrEx>
        <w:tc>
          <w:tcPr>
            <w:tcW w:w="453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13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p>
    <w:p w:rsidR="009E5267" w:rsidP="009E5267">
      <w:pPr>
        <w:bidi w:val="0"/>
        <w:rPr>
          <w:rFonts w:ascii="Times New Roman" w:hAnsi="Times New Roman"/>
        </w:rPr>
      </w:pPr>
    </w:p>
    <w:p w:rsidR="009E5267" w:rsidP="009E5267">
      <w:pPr>
        <w:bidi w:val="0"/>
        <w:rPr>
          <w:rFonts w:ascii="Times New Roman" w:hAnsi="Times New Roman"/>
        </w:rPr>
      </w:pPr>
    </w:p>
    <w:p w:rsidR="009E5267" w:rsidP="009E5267">
      <w:pPr>
        <w:bidi w:val="0"/>
        <w:rPr>
          <w:rFonts w:ascii="Times New Roman" w:hAnsi="Times New Roman"/>
        </w:rPr>
      </w:pPr>
    </w:p>
    <w:p w:rsidR="009E5267" w:rsidP="009E5267">
      <w:pPr>
        <w:bidi w:val="0"/>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b/>
          <w:bCs/>
        </w:rPr>
        <w:t>2.3.4. Výpočty vplyvov na verejné financie</w:t>
      </w:r>
    </w:p>
    <w:p w:rsidR="009E5267" w:rsidP="009E5267">
      <w:pPr>
        <w:bidi w:val="0"/>
        <w:rPr>
          <w:rFonts w:ascii="Times New Roman" w:hAnsi="Times New Roman"/>
        </w:rPr>
      </w:pPr>
      <w:r>
        <w:rPr>
          <w:rFonts w:ascii="Times New Roman" w:hAnsi="Times New Roman"/>
        </w:rPr>
        <w:t> </w:t>
      </w:r>
    </w:p>
    <w:p w:rsidR="009E5267" w:rsidP="009E5267">
      <w:pPr>
        <w:bidi w:val="0"/>
        <w:ind w:firstLine="708"/>
        <w:jc w:val="both"/>
        <w:rPr>
          <w:rFonts w:ascii="Times New Roman" w:hAnsi="Times New Roman"/>
        </w:rPr>
      </w:pPr>
      <w:r>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9E5267" w:rsidP="009E5267">
      <w:pPr>
        <w:bidi w:val="0"/>
        <w:ind w:firstLine="708"/>
        <w:jc w:val="both"/>
        <w:rPr>
          <w:rFonts w:ascii="Times New Roman" w:hAnsi="Times New Roman"/>
        </w:rPr>
      </w:pPr>
    </w:p>
    <w:p w:rsidR="009E5267" w:rsidP="009E5267">
      <w:pPr>
        <w:bidi w:val="0"/>
        <w:ind w:firstLine="708"/>
        <w:jc w:val="both"/>
        <w:rPr>
          <w:rFonts w:ascii="Times New Roman" w:hAnsi="Times New Roman"/>
        </w:rPr>
      </w:pPr>
      <w:r>
        <w:rPr>
          <w:rFonts w:ascii="Times New Roman" w:hAnsi="Times New Roman"/>
        </w:rPr>
        <w:t>V roku 2010 boli príjmy zo zverejňovania údajov v Obchodnom vestníku vo výške 650 000 Eur. Predpokladáme, že v súčasnosti zverejňuje údaje cca 45% povinných obchodných spoločností. Po zavedení elektronickej verzie OV predpokladáme zlepšenie výberu poplatkov za zverejňovanie údajov v OV a to v roku 2012 o 30% t .j. o 200 000 Eur, v roku 213 o 70% t. j. o 450 000 Eur a v roku 2014 o 77% t .j. o 500 000 Eur v porovnaní z rokom 2010. Zvýšenie príjmov predpokladáme z dôvodu zlepšenia výberu poplatkov za zverejňovanie údajov v Obchodnom vestníku.</w:t>
      </w:r>
    </w:p>
    <w:p w:rsidR="009E5267" w:rsidP="009E5267">
      <w:pPr>
        <w:bidi w:val="0"/>
        <w:ind w:firstLine="708"/>
        <w:jc w:val="both"/>
        <w:rPr>
          <w:rFonts w:ascii="Times New Roman" w:hAnsi="Times New Roman"/>
        </w:rPr>
      </w:pPr>
    </w:p>
    <w:p w:rsidR="009E5267" w:rsidP="009E5267">
      <w:pPr>
        <w:bidi w:val="0"/>
        <w:ind w:firstLine="708"/>
        <w:jc w:val="both"/>
        <w:rPr>
          <w:rFonts w:ascii="Times New Roman" w:hAnsi="Times New Roman"/>
        </w:rPr>
      </w:pPr>
      <w:r>
        <w:rPr>
          <w:rFonts w:ascii="Times New Roman" w:hAnsi="Times New Roman"/>
        </w:rPr>
        <w:t>Po zavedení vydávania elektronickej verzie OV predpokladáme zníženie počtu zamestnancov potrebných v redakcii OV o 8 zamestnancov t.j. 50% čo predstavuje predpokladanú úsporu na mzdových prostriedkoch, odvodoch do poistných fondov , tovaroch a službách( energie, kancelárske zariadenie, nábytok, výpočtová technika) vo výške 180 000 Eur ročne. Ďalšiu úsporu na strane výdavkov predpokladáme na tlači a distribúcii OV, ktorá predstavuje objem 55 000 Eur ročne a na poplatkoch spoločnosti SCB vo výške 16 600 Eur za rok. Celkove predpokladáme ročnú úsporu na strane výdavkov vo výške 251 600 Eur.</w:t>
      </w:r>
    </w:p>
    <w:p w:rsidR="009E5267" w:rsidP="009E5267">
      <w:pPr>
        <w:bidi w:val="0"/>
        <w:jc w:val="both"/>
        <w:rPr>
          <w:rFonts w:ascii="Times New Roman" w:hAnsi="Times New Roman"/>
        </w:rPr>
      </w:pPr>
      <w:r>
        <w:rPr>
          <w:rFonts w:ascii="Times New Roman" w:hAnsi="Times New Roman"/>
        </w:rPr>
        <w:t> </w:t>
      </w:r>
    </w:p>
    <w:p w:rsidR="009E5267" w:rsidP="009E5267">
      <w:pPr>
        <w:bidi w:val="0"/>
        <w:jc w:val="both"/>
        <w:rPr>
          <w:rFonts w:ascii="Times New Roman" w:hAnsi="Times New Roman"/>
        </w:rPr>
      </w:pPr>
      <w:r>
        <w:rPr>
          <w:rFonts w:ascii="Times New Roman" w:hAnsi="Times New Roman"/>
        </w:rPr>
        <w:t> </w:t>
      </w:r>
    </w:p>
    <w:p w:rsidR="009E5267" w:rsidP="009E5267">
      <w:pPr>
        <w:bidi w:val="0"/>
        <w:rPr>
          <w:rFonts w:ascii="Times New Roman" w:hAnsi="Times New Roman"/>
        </w:rPr>
        <w:sectPr>
          <w:pgSz w:w="12240" w:h="15840"/>
          <w:pgMar w:top="1417" w:right="1417" w:bottom="1417" w:left="1417" w:header="708" w:footer="708" w:gutter="0"/>
          <w:lnNumType w:distance="0"/>
          <w:cols w:space="708"/>
          <w:noEndnote w:val="0"/>
          <w:bidi w:val="0"/>
          <w:rtlGutter/>
        </w:sectPr>
      </w:pPr>
    </w:p>
    <w:p w:rsidR="009E5267" w:rsidP="009E5267">
      <w:pPr>
        <w:pStyle w:val="NormalWeb"/>
        <w:bidi w:val="0"/>
        <w:spacing w:before="0" w:beforeAutospacing="0" w:after="0" w:afterAutospacing="0"/>
        <w:jc w:val="right"/>
        <w:rPr>
          <w:rFonts w:ascii="Times New Roman" w:hAnsi="Times New Roman"/>
        </w:rPr>
      </w:pPr>
      <w:r>
        <w:rPr>
          <w:rFonts w:ascii="Times New Roman" w:hAnsi="Times New Roman"/>
        </w:rPr>
        <w:t xml:space="preserve">Tabuľka č. 4 </w:t>
      </w:r>
    </w:p>
    <w:tbl>
      <w:tblPr>
        <w:tblStyle w:val="TableNormal"/>
        <w:tblW w:w="13950" w:type="dxa"/>
        <w:tblCellMar>
          <w:left w:w="0" w:type="dxa"/>
          <w:right w:w="0" w:type="dxa"/>
        </w:tblCellMar>
        <w:tblLook w:val="04A0"/>
      </w:tblPr>
      <w:tblGrid>
        <w:gridCol w:w="4950"/>
        <w:gridCol w:w="1500"/>
        <w:gridCol w:w="1500"/>
        <w:gridCol w:w="1500"/>
        <w:gridCol w:w="1500"/>
        <w:gridCol w:w="3000"/>
      </w:tblGrid>
      <w:tr>
        <w:tblPrEx>
          <w:tblW w:w="13950" w:type="dxa"/>
          <w:tblCellMar>
            <w:left w:w="0" w:type="dxa"/>
            <w:right w:w="0" w:type="dxa"/>
          </w:tblCellMar>
          <w:tblLook w:val="04A0"/>
        </w:tblPrEx>
        <w:trPr>
          <w:trHeight w:val="255"/>
        </w:trPr>
        <w:tc>
          <w:tcPr>
            <w:tcW w:w="495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rPr>
              <w:t> </w:t>
            </w:r>
            <w:r>
              <w:rPr>
                <w:rFonts w:ascii="Times New Roman" w:hAnsi="Times New Roman"/>
                <w:b/>
                <w:bCs/>
                <w:color w:val="FFFFFF"/>
              </w:rPr>
              <w:t>Príjmy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Vplyv na rozpočet verejnej správy</w:t>
            </w:r>
          </w:p>
        </w:tc>
        <w:tc>
          <w:tcPr>
            <w:tcW w:w="300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poznámka</w:t>
            </w:r>
          </w:p>
        </w:tc>
      </w:tr>
      <w:tr>
        <w:tblPrEx>
          <w:tblW w:w="13950"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+ 1</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+ 2</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Daňové príjmy (100)</w:t>
            </w:r>
            <w:r>
              <w:rPr>
                <w:rFonts w:ascii="Times New Roman" w:hAnsi="Times New Roman"/>
                <w:b/>
                <w:bCs/>
                <w:sz w:val="16"/>
                <w:szCs w:val="16"/>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Nedaňové príjmy (200)</w:t>
            </w:r>
            <w:r>
              <w:rPr>
                <w:rFonts w:ascii="Times New Roman" w:hAnsi="Times New Roman"/>
                <w:b/>
                <w:bCs/>
                <w:sz w:val="16"/>
                <w:szCs w:val="16"/>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200 000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450 000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500 000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Granty a transfery (300)</w:t>
            </w:r>
            <w:r>
              <w:rPr>
                <w:rFonts w:ascii="Times New Roman" w:hAnsi="Times New Roman"/>
                <w:b/>
                <w:bCs/>
                <w:sz w:val="16"/>
                <w:szCs w:val="16"/>
                <w:vertAlign w:val="superscript"/>
              </w:rPr>
              <w:t>1</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Príjmy z transakcií s finančnými aktívami a finančnými pasívami (400)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Prijaté úvery, pôžičky a návratné finančné výpomoci (500)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150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0</w:t>
            </w:r>
          </w:p>
        </w:tc>
        <w:tc>
          <w:tcPr>
            <w:tcW w:w="300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3950" w:type="dxa"/>
          <w:tblCellMar>
            <w:left w:w="0" w:type="dxa"/>
            <w:right w:w="0" w:type="dxa"/>
          </w:tblCellMar>
          <w:tblLook w:val="04A0"/>
        </w:tblPrEx>
        <w:trPr>
          <w:trHeight w:val="255"/>
        </w:trPr>
        <w:tc>
          <w:tcPr>
            <w:tcW w:w="4950" w:type="dxa"/>
            <w:tcBorders>
              <w:top w:val="nil"/>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color w:val="FFFFFF"/>
              </w:rPr>
              <w:t>Dopad na príjmy verejnej správy celkom</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 </w:t>
            </w: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 </w:t>
            </w:r>
          </w:p>
        </w:tc>
        <w:tc>
          <w:tcPr>
            <w:tcW w:w="30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color w:val="FFFFFF"/>
              </w:rPr>
              <w:t> </w:t>
            </w:r>
          </w:p>
        </w:tc>
      </w:tr>
      <w:tr>
        <w:tblPrEx>
          <w:tblW w:w="13950" w:type="dxa"/>
          <w:tblCellMar>
            <w:left w:w="0" w:type="dxa"/>
            <w:right w:w="0" w:type="dxa"/>
          </w:tblCellMar>
          <w:tblLook w:val="04A0"/>
        </w:tblPrEx>
        <w:tc>
          <w:tcPr>
            <w:tcW w:w="495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30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 xml:space="preserve">1 –  príjmy rozpísať až do položiek platnej ekonomickej klasifikácie    </w:t>
      </w:r>
    </w:p>
    <w:p w:rsidR="009E5267" w:rsidP="009E5267">
      <w:pPr>
        <w:pStyle w:val="NormalWeb"/>
        <w:bidi w:val="0"/>
        <w:spacing w:before="0" w:beforeAutospacing="0" w:after="0" w:afterAutospacing="0"/>
        <w:jc w:val="both"/>
        <w:rPr>
          <w:rFonts w:ascii="Times New Roman" w:hAnsi="Times New Roman"/>
          <w:sz w:val="20"/>
          <w:szCs w:val="20"/>
        </w:rPr>
      </w:pPr>
      <w:r>
        <w:rPr>
          <w:rFonts w:ascii="Times New Roman" w:hAnsi="Times New Roman"/>
          <w:sz w:val="20"/>
          <w:szCs w:val="20"/>
        </w:rPr>
        <w:t>Zvýšenie príjmov v rozpočtovej kapitole Ministerstva spravodlivosti SR v roku 2012 o 200 000 Eur a v roku 2013 o 450 000 Eur v položke 223 001 Poplatky a platby za zverejňovanie údajov v Obchodnom vestníku z dôvodu zlepšeného výberu platieb z titulu plnenie zákonných povinností obchodných spoločností.</w:t>
      </w:r>
    </w:p>
    <w:p w:rsidR="009E5267" w:rsidP="009E5267">
      <w:pPr>
        <w:pStyle w:val="NormalWeb"/>
        <w:bidi w:val="0"/>
        <w:spacing w:before="0" w:beforeAutospacing="0" w:after="0" w:afterAutospacing="0"/>
        <w:jc w:val="both"/>
        <w:rPr>
          <w:rFonts w:ascii="Times New Roman" w:hAnsi="Times New Roman"/>
        </w:rPr>
      </w:pPr>
      <w:r>
        <w:rPr>
          <w:rFonts w:ascii="Times New Roman" w:hAnsi="Times New Roman"/>
          <w:sz w:val="20"/>
          <w:szCs w:val="20"/>
        </w:rPr>
        <w:t xml:space="preserve">                                                                                                                                                                                                                                           </w:t>
      </w:r>
      <w:r>
        <w:rPr>
          <w:rFonts w:ascii="Times New Roman" w:hAnsi="Times New Roman"/>
        </w:rPr>
        <w:t xml:space="preserve">Tabuľka č. 5 </w:t>
      </w:r>
    </w:p>
    <w:tbl>
      <w:tblPr>
        <w:tblStyle w:val="TableNormal"/>
        <w:tblW w:w="15450" w:type="dxa"/>
        <w:tblInd w:w="-1223" w:type="dxa"/>
        <w:tblCellMar>
          <w:left w:w="0" w:type="dxa"/>
          <w:right w:w="0" w:type="dxa"/>
        </w:tblCellMar>
        <w:tblLook w:val="04A0"/>
      </w:tblPr>
      <w:tblGrid>
        <w:gridCol w:w="7070"/>
        <w:gridCol w:w="1540"/>
        <w:gridCol w:w="1540"/>
        <w:gridCol w:w="1540"/>
        <w:gridCol w:w="1540"/>
        <w:gridCol w:w="2220"/>
      </w:tblGrid>
      <w:tr>
        <w:tblPrEx>
          <w:tblW w:w="15450" w:type="dxa"/>
          <w:tblInd w:w="-1223" w:type="dxa"/>
          <w:tblCellMar>
            <w:left w:w="0" w:type="dxa"/>
            <w:right w:w="0" w:type="dxa"/>
          </w:tblCellMar>
          <w:tblLook w:val="04A0"/>
        </w:tblPrEx>
        <w:trPr>
          <w:trHeight w:val="255"/>
        </w:trPr>
        <w:tc>
          <w:tcPr>
            <w:tcW w:w="707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sz w:val="20"/>
                <w:szCs w:val="20"/>
              </w:rPr>
              <w:t>Výdavky (v eurách)</w:t>
            </w:r>
          </w:p>
        </w:tc>
        <w:tc>
          <w:tcPr>
            <w:tcW w:w="0" w:type="auto"/>
            <w:gridSpan w:val="4"/>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sz w:val="20"/>
                <w:szCs w:val="20"/>
              </w:rPr>
              <w:t>Vplyv na rozpočet verejnej správy</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poznámka</w:t>
            </w:r>
          </w:p>
        </w:tc>
      </w:tr>
      <w:tr>
        <w:tblPrEx>
          <w:tblW w:w="15450" w:type="dxa"/>
          <w:tblInd w:w="-1223" w:type="dxa"/>
          <w:tblCellMar>
            <w:left w:w="0" w:type="dxa"/>
            <w:right w:w="0" w:type="dxa"/>
          </w:tblCellMar>
          <w:tblLook w:val="04A0"/>
        </w:tblPrEx>
        <w:trPr>
          <w:trHeight w:val="197"/>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sz w:val="20"/>
                <w:szCs w:val="20"/>
              </w:rPr>
              <w:t>r</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sz w:val="20"/>
                <w:szCs w:val="20"/>
              </w:rPr>
              <w:t>r + 1</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sz w:val="20"/>
                <w:szCs w:val="20"/>
              </w:rPr>
              <w:t>r + 2</w:t>
            </w:r>
          </w:p>
        </w:tc>
        <w:tc>
          <w:tcPr>
            <w:tcW w:w="154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+ 3</w:t>
            </w:r>
          </w:p>
        </w:tc>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sz w:val="20"/>
                <w:szCs w:val="20"/>
              </w:rPr>
              <w:t>Bežné výdavky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rsidP="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-251 60 0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- 251 600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- 251 600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Mzdy, platy, služobné príjmy a ostatné osobné vyrovnania (610)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Poistné a príspevok do poisťovní (620)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Tovary a služby (630)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Bežné transfery (640)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Splácanie úrokov a ostatné platby súvisiace s úvermi, pôžičkami a NFV (650)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sz w:val="20"/>
                <w:szCs w:val="20"/>
              </w:rPr>
              <w:t>Kapitálové výdavky (700)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320 000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Obstarávanie kapitálových aktív (710)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320 000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sz w:val="20"/>
                <w:szCs w:val="20"/>
              </w:rPr>
            </w:pPr>
            <w:r>
              <w:rPr>
                <w:rFonts w:ascii="Times New Roman" w:hAnsi="Times New Roman"/>
                <w:sz w:val="20"/>
                <w:szCs w:val="20"/>
              </w:rPr>
              <w:t>711 003 obstaranie softvéru</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sz w:val="20"/>
                <w:szCs w:val="20"/>
              </w:rPr>
            </w:pPr>
            <w:r>
              <w:rPr>
                <w:rFonts w:ascii="Times New Roman" w:hAnsi="Times New Roman"/>
                <w:sz w:val="20"/>
                <w:szCs w:val="20"/>
              </w:rPr>
              <w:t>320 000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sz w:val="20"/>
                <w:szCs w:val="20"/>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sz w:val="20"/>
                <w:szCs w:val="20"/>
              </w:rPr>
            </w:pPr>
            <w:r>
              <w:rPr>
                <w:rFonts w:ascii="Times New Roman" w:hAnsi="Times New Roman"/>
                <w:sz w:val="20"/>
                <w:szCs w:val="20"/>
              </w:rPr>
              <w:t>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tcPr>
          <w:p w:rsidR="009E5267">
            <w:pPr>
              <w:pStyle w:val="NormalWeb"/>
              <w:bidi w:val="0"/>
              <w:spacing w:before="0" w:beforeAutospacing="0" w:after="0" w:afterAutospacing="0" w:line="276" w:lineRule="auto"/>
              <w:rPr>
                <w:rFonts w:ascii="Times New Roman" w:hAnsi="Times New Roman"/>
              </w:rPr>
            </w:pP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Kapitálové transfery (720)</w:t>
            </w:r>
            <w:r>
              <w:rPr>
                <w:rFonts w:ascii="Times New Roman" w:hAnsi="Times New Roman"/>
                <w:sz w:val="13"/>
                <w:szCs w:val="13"/>
                <w:vertAlign w:val="superscript"/>
              </w:rPr>
              <w:t>2</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nil"/>
              <w:left w:val="nil"/>
              <w:bottom w:val="single" w:sz="4" w:space="0" w:color="000000"/>
              <w:right w:val="single" w:sz="4" w:space="0" w:color="000000"/>
            </w:tcBorders>
            <w:shd w:val="clear" w:color="auto" w:fill="FFFF99"/>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nil"/>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color w:val="FFFFFF"/>
                <w:sz w:val="20"/>
                <w:szCs w:val="20"/>
              </w:rPr>
              <w:t>Dopad na výdavky verejnej správy celkom</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sz w:val="20"/>
                <w:szCs w:val="20"/>
              </w:rPr>
              <w:t> </w:t>
            </w:r>
          </w:p>
        </w:tc>
        <w:tc>
          <w:tcPr>
            <w:tcW w:w="154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rPr>
              <w:t> </w:t>
            </w:r>
          </w:p>
        </w:tc>
        <w:tc>
          <w:tcPr>
            <w:tcW w:w="2220" w:type="dxa"/>
            <w:tcBorders>
              <w:top w:val="nil"/>
              <w:left w:val="nil"/>
              <w:bottom w:val="nil"/>
              <w:right w:val="single" w:sz="4" w:space="0" w:color="000000"/>
            </w:tcBorders>
            <w:shd w:val="clear" w:color="auto" w:fill="000000"/>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color w:val="FFFFFF"/>
              </w:rPr>
              <w:t> </w:t>
            </w:r>
          </w:p>
        </w:tc>
      </w:tr>
      <w:tr>
        <w:tblPrEx>
          <w:tblW w:w="15450" w:type="dxa"/>
          <w:tblInd w:w="-1223" w:type="dxa"/>
          <w:tblCellMar>
            <w:left w:w="0" w:type="dxa"/>
            <w:right w:w="0" w:type="dxa"/>
          </w:tblCellMar>
          <w:tblLook w:val="04A0"/>
        </w:tblPrEx>
        <w:trPr>
          <w:trHeight w:val="255"/>
        </w:trPr>
        <w:tc>
          <w:tcPr>
            <w:tcW w:w="7070" w:type="dxa"/>
            <w:tcBorders>
              <w:top w:val="nil"/>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sz w:val="20"/>
                <w:szCs w:val="20"/>
              </w:rPr>
              <w:t>  z toho výdavky na ŠR</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320 000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2220" w:type="dxa"/>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Bežné výdavky</w:t>
            </w:r>
            <w:r>
              <w:rPr>
                <w:rFonts w:ascii="Times New Roman" w:hAnsi="Times New Roman"/>
                <w:b/>
                <w:bCs/>
                <w:sz w:val="20"/>
                <w:szCs w:val="20"/>
              </w:rPr>
              <w:t xml:space="preserve"> </w:t>
            </w:r>
            <w:r>
              <w:rPr>
                <w:rFonts w:ascii="Times New Roman" w:hAnsi="Times New Roman"/>
                <w:sz w:val="20"/>
                <w:szCs w:val="20"/>
              </w:rPr>
              <w:t>(600)</w:t>
            </w:r>
            <w:r>
              <w:rPr>
                <w:rFonts w:ascii="Times New Roman" w:hAnsi="Times New Roman"/>
                <w:b/>
                <w:bCs/>
                <w:sz w:val="20"/>
                <w:szCs w:val="20"/>
              </w:rPr>
              <w:t xml:space="preserve">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sz w:val="20"/>
                <w:szCs w:val="20"/>
              </w:rPr>
              <w:t>    </w:t>
            </w:r>
            <w:r>
              <w:rPr>
                <w:rFonts w:ascii="Times New Roman" w:hAnsi="Times New Roman"/>
                <w:sz w:val="20"/>
                <w:szCs w:val="20"/>
              </w:rPr>
              <w:t>Mzdy, platy, služobné príjmy a ostatné osobné vyrovnania (610)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 </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Kapitálové výdavky (700)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320 000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rPr>
          <w:trHeight w:val="255"/>
        </w:trPr>
        <w:tc>
          <w:tcPr>
            <w:tcW w:w="707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sz w:val="20"/>
                <w:szCs w:val="20"/>
              </w:rPr>
              <w:t>    Výdavky z transakcií s finančnými aktívami a finančnými pasívami (800)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xml:space="preserve">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sz w:val="20"/>
                <w:szCs w:val="20"/>
              </w:rPr>
              <w:t> 0</w:t>
            </w:r>
          </w:p>
        </w:tc>
        <w:tc>
          <w:tcPr>
            <w:tcW w:w="154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222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450" w:type="dxa"/>
          <w:tblInd w:w="-1223" w:type="dxa"/>
          <w:tblCellMar>
            <w:left w:w="0" w:type="dxa"/>
            <w:right w:w="0" w:type="dxa"/>
          </w:tblCellMar>
          <w:tblLook w:val="04A0"/>
        </w:tblPrEx>
        <w:tc>
          <w:tcPr>
            <w:tcW w:w="707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4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222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pStyle w:val="NormalWeb"/>
        <w:bidi w:val="0"/>
        <w:spacing w:before="0" w:beforeAutospacing="0" w:after="0" w:afterAutospacing="0"/>
        <w:jc w:val="both"/>
        <w:rPr>
          <w:rFonts w:ascii="Times New Roman" w:hAnsi="Times New Roman"/>
        </w:rPr>
      </w:pPr>
      <w:r>
        <w:rPr>
          <w:rFonts w:ascii="Times New Roman" w:hAnsi="Times New Roman"/>
          <w:sz w:val="20"/>
          <w:szCs w:val="20"/>
        </w:rPr>
        <w:t>2 –  výdavky rozpísať až do položiek platnej ekonomickej klasifikácie</w:t>
      </w:r>
    </w:p>
    <w:p w:rsidR="009E5267" w:rsidP="009E5267">
      <w:pPr>
        <w:pStyle w:val="NormalWeb"/>
        <w:bidi w:val="0"/>
        <w:spacing w:before="0" w:beforeAutospacing="0" w:after="0" w:afterAutospacing="0"/>
        <w:rPr>
          <w:rFonts w:ascii="Times New Roman" w:hAnsi="Times New Roman"/>
        </w:rPr>
      </w:pPr>
      <w:r>
        <w:rPr>
          <w:rFonts w:ascii="Times New Roman" w:hAnsi="Times New Roman"/>
          <w:sz w:val="20"/>
          <w:szCs w:val="20"/>
        </w:rPr>
        <w:t xml:space="preserve">Potreba kapitálových výdavkov v položke 711 003 obstaranie softvéru   vo výške 320 000 Eur v roku 2011 bude riešená v rozpočte kapitoly Ministerstva spravodlivosti SR.                                                                                                                                                                                                                     </w:t>
      </w:r>
      <w:r>
        <w:rPr>
          <w:rFonts w:ascii="Times New Roman" w:hAnsi="Times New Roman"/>
        </w:rPr>
        <w:t xml:space="preserve">                 Tabuľka č. 6 </w:t>
      </w:r>
    </w:p>
    <w:tbl>
      <w:tblPr>
        <w:tblStyle w:val="TableNormal"/>
        <w:tblpPr w:leftFromText="141" w:rightFromText="141" w:bottomFromText="200" w:vertAnchor="text" w:horzAnchor="margin" w:tblpXSpec="center" w:tblpY="170"/>
        <w:tblW w:w="15114" w:type="dxa"/>
        <w:tblCellMar>
          <w:left w:w="0" w:type="dxa"/>
          <w:right w:w="0" w:type="dxa"/>
        </w:tblCellMar>
        <w:tblLook w:val="04A0"/>
      </w:tblPr>
      <w:tblGrid>
        <w:gridCol w:w="5932"/>
        <w:gridCol w:w="1500"/>
        <w:gridCol w:w="1598"/>
        <w:gridCol w:w="564"/>
        <w:gridCol w:w="1491"/>
        <w:gridCol w:w="1550"/>
        <w:gridCol w:w="933"/>
        <w:gridCol w:w="1546"/>
      </w:tblGrid>
      <w:tr>
        <w:tblPrEx>
          <w:tblW w:w="15114" w:type="dxa"/>
          <w:tblCellMar>
            <w:left w:w="0" w:type="dxa"/>
            <w:right w:w="0" w:type="dxa"/>
          </w:tblCellMar>
          <w:tblLook w:val="04A0"/>
        </w:tblPrEx>
        <w:trPr>
          <w:trHeight w:val="255"/>
        </w:trPr>
        <w:tc>
          <w:tcPr>
            <w:tcW w:w="5932" w:type="dxa"/>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Zamestnanosť</w:t>
            </w:r>
          </w:p>
        </w:tc>
        <w:tc>
          <w:tcPr>
            <w:tcW w:w="0" w:type="auto"/>
            <w:gridSpan w:val="5"/>
            <w:tcBorders>
              <w:top w:val="single" w:sz="4" w:space="0" w:color="000000"/>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Vplyv na rozpočet verejnej správy</w:t>
            </w:r>
          </w:p>
        </w:tc>
        <w:tc>
          <w:tcPr>
            <w:tcW w:w="0" w:type="auto"/>
            <w:gridSpan w:val="2"/>
            <w:vMerge w:val="restart"/>
            <w:tcBorders>
              <w:top w:val="single" w:sz="4" w:space="0" w:color="000000"/>
              <w:left w:val="single" w:sz="4" w:space="0" w:color="000000"/>
              <w:bottom w:val="single" w:sz="4" w:space="0" w:color="000000"/>
              <w:right w:val="single" w:sz="4" w:space="0" w:color="000000"/>
            </w:tcBorders>
            <w:shd w:val="clear" w:color="auto" w:fill="000000"/>
            <w:tcMar>
              <w:top w:w="0" w:type="dxa"/>
              <w:left w:w="70" w:type="dxa"/>
              <w:bottom w:w="0" w:type="dxa"/>
              <w:right w:w="70" w:type="dxa"/>
            </w:tcMar>
            <w:textDirection w:val="lrTb"/>
            <w:vAlign w:val="center"/>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poznámka</w:t>
            </w:r>
          </w:p>
        </w:tc>
      </w:tr>
      <w:tr>
        <w:tblPrEx>
          <w:tblW w:w="15114" w:type="dxa"/>
          <w:tblCellMar>
            <w:left w:w="0" w:type="dxa"/>
            <w:right w:w="0" w:type="dxa"/>
          </w:tblCellMar>
          <w:tblLook w:val="04A0"/>
        </w:tblPrEx>
        <w:trPr>
          <w:trHeight w:val="255"/>
        </w:trPr>
        <w:tc>
          <w:tcPr>
            <w:tcW w:w="0" w:type="auto"/>
            <w:vMerge/>
            <w:tcBorders>
              <w:top w:val="single" w:sz="4" w:space="0" w:color="000000"/>
              <w:left w:val="single" w:sz="4" w:space="0" w:color="000000"/>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c>
          <w:tcPr>
            <w:tcW w:w="150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w:t>
            </w:r>
          </w:p>
        </w:tc>
        <w:tc>
          <w:tcPr>
            <w:tcW w:w="1598"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+ 1</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+ 2</w:t>
            </w:r>
          </w:p>
        </w:tc>
        <w:tc>
          <w:tcPr>
            <w:tcW w:w="155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center"/>
              <w:rPr>
                <w:rFonts w:ascii="Times New Roman" w:hAnsi="Times New Roman"/>
              </w:rPr>
            </w:pPr>
            <w:r>
              <w:rPr>
                <w:rFonts w:ascii="Times New Roman" w:hAnsi="Times New Roman"/>
                <w:b/>
                <w:bCs/>
                <w:color w:val="FFFFFF"/>
              </w:rPr>
              <w:t>r + 3</w:t>
            </w:r>
          </w:p>
        </w:tc>
        <w:tc>
          <w:tcPr>
            <w:tcW w:w="0" w:type="auto"/>
            <w:gridSpan w:val="2"/>
            <w:vMerge/>
            <w:tcBorders>
              <w:top w:val="nil"/>
              <w:left w:val="nil"/>
              <w:bottom w:val="single" w:sz="4" w:space="0" w:color="000000"/>
              <w:right w:val="single" w:sz="4" w:space="0" w:color="000000"/>
            </w:tcBorders>
            <w:textDirection w:val="lrTb"/>
            <w:vAlign w:val="center"/>
            <w:hideMark/>
          </w:tcPr>
          <w:p w:rsidR="009E5267">
            <w:pPr>
              <w:bidi w:val="0"/>
              <w:spacing w:after="0" w:line="240" w:lineRule="auto"/>
              <w:rPr>
                <w:rFonts w:ascii="Times New Roman" w:hAnsi="Times New Roman"/>
              </w:rPr>
            </w:pP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Počet zamestnancov celkom*</w:t>
            </w:r>
          </w:p>
        </w:tc>
        <w:tc>
          <w:tcPr>
            <w:tcW w:w="1500"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98"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1598"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Priemerný mzdový výdavok (v eurách)*</w:t>
            </w:r>
          </w:p>
        </w:tc>
        <w:tc>
          <w:tcPr>
            <w:tcW w:w="1500"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98"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z toho vplyv na ŠR</w:t>
            </w:r>
          </w:p>
        </w:tc>
        <w:tc>
          <w:tcPr>
            <w:tcW w:w="1500"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1598" w:type="dxa"/>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0" w:type="auto"/>
            <w:gridSpan w:val="2"/>
            <w:tcBorders>
              <w:top w:val="single" w:sz="4" w:space="0" w:color="000000"/>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1550" w:type="dxa"/>
            <w:tcBorders>
              <w:top w:val="single" w:sz="4" w:space="0" w:color="000000"/>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shd w:val="clear" w:color="auto" w:fill="000000"/>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color w:val="FFFFFF"/>
              </w:rPr>
              <w:t>Osobné výdavky celkom (v eurách)</w:t>
            </w:r>
          </w:p>
        </w:tc>
        <w:tc>
          <w:tcPr>
            <w:tcW w:w="1500" w:type="dxa"/>
            <w:tcBorders>
              <w:top w:val="nil"/>
              <w:left w:val="nil"/>
              <w:bottom w:val="single" w:sz="4" w:space="0" w:color="000000"/>
              <w:right w:val="single" w:sz="4" w:space="0" w:color="000000"/>
            </w:tcBorders>
            <w:shd w:val="clear" w:color="auto" w:fill="000000"/>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rPr>
              <w:t> </w:t>
            </w:r>
          </w:p>
        </w:tc>
        <w:tc>
          <w:tcPr>
            <w:tcW w:w="1598" w:type="dxa"/>
            <w:tcBorders>
              <w:top w:val="nil"/>
              <w:left w:val="nil"/>
              <w:bottom w:val="single" w:sz="4" w:space="0" w:color="000000"/>
              <w:right w:val="single" w:sz="4" w:space="0" w:color="000000"/>
            </w:tcBorders>
            <w:shd w:val="clear" w:color="auto" w:fill="000000"/>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rPr>
              <w:t> </w:t>
            </w:r>
          </w:p>
        </w:tc>
        <w:tc>
          <w:tcPr>
            <w:tcW w:w="0" w:type="auto"/>
            <w:gridSpan w:val="2"/>
            <w:tcBorders>
              <w:top w:val="nil"/>
              <w:left w:val="nil"/>
              <w:bottom w:val="single" w:sz="4" w:space="0" w:color="000000"/>
              <w:right w:val="single" w:sz="4" w:space="0" w:color="000000"/>
            </w:tcBorders>
            <w:shd w:val="clear" w:color="auto" w:fill="000000"/>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rPr>
              <w:t> </w:t>
            </w:r>
          </w:p>
        </w:tc>
        <w:tc>
          <w:tcPr>
            <w:tcW w:w="1550" w:type="dxa"/>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color w:val="FFFFFF"/>
              </w:rPr>
              <w:t> </w:t>
            </w:r>
          </w:p>
        </w:tc>
        <w:tc>
          <w:tcPr>
            <w:tcW w:w="0" w:type="auto"/>
            <w:gridSpan w:val="2"/>
            <w:tcBorders>
              <w:top w:val="nil"/>
              <w:left w:val="nil"/>
              <w:bottom w:val="single" w:sz="4" w:space="0" w:color="000000"/>
              <w:right w:val="single" w:sz="4" w:space="0" w:color="000000"/>
            </w:tcBorders>
            <w:shd w:val="clear" w:color="auto" w:fill="000000"/>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color w:val="FFFFFF"/>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xml:space="preserve">Mzdy, platy, služobné príjmy a ostatné osobné vyrovnania (610)* </w:t>
            </w:r>
          </w:p>
        </w:tc>
        <w:tc>
          <w:tcPr>
            <w:tcW w:w="1500"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98"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15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z toho vplyv na ŠR</w:t>
            </w:r>
          </w:p>
        </w:tc>
        <w:tc>
          <w:tcPr>
            <w:tcW w:w="1500"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1598"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0" w:type="auto"/>
            <w:gridSpan w:val="2"/>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15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Poistné a príspevok do poisťovní (620)*</w:t>
            </w:r>
          </w:p>
        </w:tc>
        <w:tc>
          <w:tcPr>
            <w:tcW w:w="1500"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1598"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0</w:t>
            </w:r>
          </w:p>
        </w:tc>
        <w:tc>
          <w:tcPr>
            <w:tcW w:w="0" w:type="auto"/>
            <w:gridSpan w:val="2"/>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15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b/>
                <w:bCs/>
              </w:rPr>
              <w:t xml:space="preserve">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w:t>
            </w:r>
          </w:p>
        </w:tc>
      </w:tr>
      <w:tr>
        <w:tblPrEx>
          <w:tblW w:w="15114" w:type="dxa"/>
          <w:tblCellMar>
            <w:left w:w="0" w:type="dxa"/>
            <w:right w:w="0" w:type="dxa"/>
          </w:tblCellMar>
          <w:tblLook w:val="04A0"/>
        </w:tblPrEx>
        <w:trPr>
          <w:trHeight w:val="255"/>
        </w:trPr>
        <w:tc>
          <w:tcPr>
            <w:tcW w:w="5932" w:type="dxa"/>
            <w:tcBorders>
              <w:top w:val="nil"/>
              <w:left w:val="single" w:sz="4" w:space="0" w:color="000000"/>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   z toho vplyv na ŠR</w:t>
            </w:r>
          </w:p>
        </w:tc>
        <w:tc>
          <w:tcPr>
            <w:tcW w:w="1500"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1598" w:type="dxa"/>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0</w:t>
            </w:r>
          </w:p>
        </w:tc>
        <w:tc>
          <w:tcPr>
            <w:tcW w:w="0" w:type="auto"/>
            <w:gridSpan w:val="2"/>
            <w:tcBorders>
              <w:top w:val="nil"/>
              <w:left w:val="nil"/>
              <w:bottom w:val="single" w:sz="4" w:space="0" w:color="000000"/>
              <w:right w:val="single" w:sz="4" w:space="0" w:color="000000"/>
            </w:tcBorders>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1550" w:type="dxa"/>
            <w:tcBorders>
              <w:top w:val="nil"/>
              <w:left w:val="nil"/>
              <w:bottom w:val="single" w:sz="4" w:space="0" w:color="000000"/>
              <w:right w:val="single" w:sz="4" w:space="0" w:color="000000"/>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jc w:val="right"/>
              <w:rPr>
                <w:rFonts w:ascii="Times New Roman" w:hAnsi="Times New Roman"/>
              </w:rPr>
            </w:pPr>
            <w:r>
              <w:rPr>
                <w:rFonts w:ascii="Times New Roman" w:hAnsi="Times New Roman"/>
              </w:rPr>
              <w:t xml:space="preserve">  0</w:t>
            </w:r>
          </w:p>
        </w:tc>
        <w:tc>
          <w:tcPr>
            <w:tcW w:w="0" w:type="auto"/>
            <w:gridSpan w:val="2"/>
            <w:tcBorders>
              <w:top w:val="nil"/>
              <w:left w:val="nil"/>
              <w:bottom w:val="single" w:sz="4" w:space="0" w:color="000000"/>
              <w:right w:val="single" w:sz="4" w:space="0" w:color="000000"/>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00" w:type="dxa"/>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5932" w:type="dxa"/>
            <w:tcBorders>
              <w:top w:val="none" w:sz="0" w:space="0" w:color="auto"/>
              <w:left w:val="none" w:sz="0" w:space="0" w:color="auto"/>
              <w:bottom w:val="none" w:sz="0" w:space="0" w:color="auto"/>
              <w:right w:val="none" w:sz="0" w:space="0" w:color="auto"/>
            </w:tcBorders>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b/>
                <w:bCs/>
              </w:rPr>
              <w:t>Poznámky:</w:t>
            </w:r>
          </w:p>
        </w:tc>
        <w:tc>
          <w:tcPr>
            <w:tcW w:w="1500" w:type="dxa"/>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98" w:type="dxa"/>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50"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12635" w:type="dxa"/>
            <w:gridSpan w:val="6"/>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top"/>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Priemerný mzdový výdavok je tvorený podielom mzdových výdavkov na jedného zamestnanca na jeden kalendárny mesiac bežného roka</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rPr>
          <w:trHeight w:val="255"/>
        </w:trPr>
        <w:tc>
          <w:tcPr>
            <w:tcW w:w="15114" w:type="dxa"/>
            <w:gridSpan w:val="8"/>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Poistné tvorí podiel mzdových výdavkov, pričom za organizácie v pôsobnosti kapitol štátneho rozpočtu, s výnimkou prenesených kompetencií výkonu štátnej správy, pre zamestnancov štátnej služby a zamestnancov pri výkone práce vo verejnom záujme predstavuje  34,95 %,  pre policajtov, profesionálnych vojakov, colníkov, hasičov vrátane horskej záchrannej služby predstavuje 33,2 %. Pre ostatné subjekty verejnej správy vrátane prenesených kompetencií výkonu štátnej správy poistné tvorí podiel zodpovedajúci  35,2 %.</w:t>
            </w:r>
          </w:p>
        </w:tc>
      </w:tr>
      <w:tr>
        <w:tblPrEx>
          <w:tblW w:w="15114" w:type="dxa"/>
          <w:tblCellMar>
            <w:left w:w="0" w:type="dxa"/>
            <w:right w:w="0" w:type="dxa"/>
          </w:tblCellMar>
          <w:tblLook w:val="04A0"/>
        </w:tblPrEx>
        <w:trPr>
          <w:trHeight w:val="255"/>
        </w:trPr>
        <w:tc>
          <w:tcPr>
            <w:tcW w:w="9594" w:type="dxa"/>
            <w:gridSpan w:val="4"/>
            <w:tcBorders>
              <w:top w:val="none" w:sz="0" w:space="0" w:color="auto"/>
              <w:left w:val="none" w:sz="0" w:space="0" w:color="auto"/>
              <w:bottom w:val="none" w:sz="0" w:space="0" w:color="auto"/>
              <w:right w:val="none" w:sz="0" w:space="0" w:color="auto"/>
            </w:tcBorders>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Kategórie 610 a 620 sú z tejto prílohy automaticky prenášané do príslušných kategórií prílohy „výdavky“</w:t>
            </w:r>
          </w:p>
        </w:tc>
        <w:tc>
          <w:tcPr>
            <w:tcW w:w="1491"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0" w:type="auto"/>
            <w:gridSpan w:val="2"/>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c>
          <w:tcPr>
            <w:tcW w:w="1546" w:type="dxa"/>
            <w:tcBorders>
              <w:top w:val="none" w:sz="0" w:space="0" w:color="auto"/>
              <w:left w:val="none" w:sz="0" w:space="0" w:color="auto"/>
              <w:bottom w:val="none" w:sz="0" w:space="0" w:color="auto"/>
              <w:right w:val="none" w:sz="0" w:space="0" w:color="auto"/>
            </w:tcBorders>
            <w:tcMar>
              <w:top w:w="0" w:type="dxa"/>
              <w:left w:w="70" w:type="dxa"/>
              <w:bottom w:w="0" w:type="dxa"/>
              <w:right w:w="70" w:type="dxa"/>
            </w:tcMar>
            <w:textDirection w:val="lrTb"/>
            <w:vAlign w:val="bottom"/>
            <w:hideMark/>
          </w:tcPr>
          <w:p w:rsidR="009E5267">
            <w:pPr>
              <w:pStyle w:val="NormalWeb"/>
              <w:bidi w:val="0"/>
              <w:spacing w:before="0" w:beforeAutospacing="0" w:after="0" w:afterAutospacing="0" w:line="276" w:lineRule="auto"/>
              <w:rPr>
                <w:rFonts w:ascii="Times New Roman" w:hAnsi="Times New Roman"/>
              </w:rPr>
            </w:pPr>
            <w:r>
              <w:rPr>
                <w:rFonts w:ascii="Times New Roman" w:hAnsi="Times New Roman"/>
              </w:rPr>
              <w:t> </w:t>
            </w:r>
          </w:p>
        </w:tc>
      </w:tr>
      <w:tr>
        <w:tblPrEx>
          <w:tblW w:w="15114" w:type="dxa"/>
          <w:tblCellMar>
            <w:left w:w="0" w:type="dxa"/>
            <w:right w:w="0" w:type="dxa"/>
          </w:tblCellMar>
          <w:tblLook w:val="04A0"/>
        </w:tblPrEx>
        <w:tc>
          <w:tcPr>
            <w:tcW w:w="5932"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0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98"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564"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491"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50"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933"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c>
          <w:tcPr>
            <w:tcW w:w="1546" w:type="dxa"/>
            <w:tcBorders>
              <w:top w:val="none" w:sz="0" w:space="0" w:color="auto"/>
              <w:left w:val="none" w:sz="0" w:space="0" w:color="auto"/>
              <w:bottom w:val="none" w:sz="0" w:space="0" w:color="auto"/>
              <w:right w:val="none" w:sz="0" w:space="0" w:color="auto"/>
            </w:tcBorders>
            <w:textDirection w:val="lrTb"/>
            <w:vAlign w:val="center"/>
          </w:tcPr>
          <w:p w:rsidR="009E5267">
            <w:pPr>
              <w:bidi w:val="0"/>
              <w:spacing w:after="0" w:line="276" w:lineRule="auto"/>
              <w:rPr>
                <w:rFonts w:ascii="Times New Roman" w:hAnsi="Times New Roman"/>
                <w:sz w:val="2"/>
              </w:rPr>
            </w:pPr>
          </w:p>
        </w:tc>
      </w:tr>
    </w:tbl>
    <w:p w:rsidR="009E5267" w:rsidP="009E5267">
      <w:pPr>
        <w:pStyle w:val="NormalWeb"/>
        <w:bidi w:val="0"/>
        <w:spacing w:before="0" w:beforeAutospacing="0" w:after="0" w:afterAutospacing="0"/>
        <w:jc w:val="both"/>
        <w:rPr>
          <w:rFonts w:ascii="Times New Roman" w:hAnsi="Times New Roman"/>
        </w:rPr>
      </w:pPr>
      <w:r>
        <w:rPr>
          <w:rFonts w:ascii="Times New Roman" w:hAnsi="Times New Roman"/>
        </w:rPr>
        <w:t> </w:t>
      </w:r>
    </w:p>
    <w:p w:rsidR="009E5267" w:rsidP="009E5267">
      <w:pPr>
        <w:bidi w:val="0"/>
        <w:rPr>
          <w:rFonts w:ascii="Times New Roman" w:hAnsi="Times New Roman"/>
        </w:rPr>
      </w:pPr>
      <w:r>
        <w:rPr>
          <w:rFonts w:ascii="Times New Roman" w:hAnsi="Times New Roman"/>
        </w:rPr>
        <w:t>* počet zamestnancov,  mzdy a poistné rozpísať podľa spôsobu odmeňovania (napr. policajti, colníci ...)</w:t>
      </w:r>
    </w:p>
    <w:p w:rsidR="005B3EC1" w:rsidP="00BF783C">
      <w:pPr>
        <w:bidi w:val="0"/>
        <w:rPr>
          <w:rFonts w:ascii="Times New Roman" w:hAnsi="Times New Roman"/>
        </w:rPr>
      </w:pPr>
      <w:r w:rsidRPr="00546916" w:rsidR="00BF783C">
        <w:rPr>
          <w:rFonts w:ascii="Arial" w:hAnsi="Arial" w:cs="Arial"/>
          <w:lang w:val="sk-SK"/>
        </w:rPr>
        <w:t xml:space="preserve">                                                       </w:t>
      </w:r>
    </w:p>
    <w:sectPr w:rsidSect="009E5267">
      <w:pgSz w:w="16838" w:h="11906" w:orient="landscape"/>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0000000000000000000"/>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01B9F"/>
    <w:multiLevelType w:val="hybridMultilevel"/>
    <w:tmpl w:val="F4BEA6DA"/>
    <w:lvl w:ilvl="0">
      <w:start w:val="2"/>
      <w:numFmt w:val="bullet"/>
      <w:lvlText w:val="-"/>
      <w:lvlJc w:val="left"/>
      <w:pPr>
        <w:tabs>
          <w:tab w:val="num" w:pos="1068"/>
        </w:tabs>
        <w:ind w:left="1068" w:hanging="360"/>
      </w:pPr>
      <w:rPr>
        <w:rFonts w:ascii="Times New Roman" w:eastAsia="Times New Roman" w:hAnsi="Times New Roman" w:hint="default"/>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1">
    <w:nsid w:val="3622650D"/>
    <w:multiLevelType w:val="hybridMultilevel"/>
    <w:tmpl w:val="4DE827DC"/>
    <w:lvl w:ilvl="0">
      <w:start w:val="320"/>
      <w:numFmt w:val="bullet"/>
      <w:lvlText w:val="-"/>
      <w:lvlJc w:val="left"/>
      <w:pPr>
        <w:ind w:left="644" w:hanging="360"/>
      </w:pPr>
      <w:rPr>
        <w:rFonts w:ascii="Times New Roman" w:eastAsia="Times New Roman" w:hAnsi="Times New Roman" w:hint="default"/>
        <w:b/>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2">
    <w:nsid w:val="69761317"/>
    <w:multiLevelType w:val="hybridMultilevel"/>
    <w:tmpl w:val="10864304"/>
    <w:lvl w:ilvl="0">
      <w:start w:val="1"/>
      <w:numFmt w:val="decimal"/>
      <w:lvlText w:val="%1)"/>
      <w:lvlJc w:val="left"/>
      <w:pPr>
        <w:tabs>
          <w:tab w:val="num" w:pos="1068"/>
        </w:tabs>
        <w:ind w:left="1068" w:hanging="360"/>
      </w:pPr>
      <w:rPr>
        <w:rFonts w:cs="Times New Roman" w:hint="default"/>
        <w:rtl w:val="0"/>
        <w:cs w:val="0"/>
      </w:rPr>
    </w:lvl>
    <w:lvl w:ilvl="1">
      <w:start w:val="2"/>
      <w:numFmt w:val="decimal"/>
      <w:lvlText w:val="%2)"/>
      <w:lvlJc w:val="left"/>
      <w:pPr>
        <w:tabs>
          <w:tab w:val="num" w:pos="1788"/>
        </w:tabs>
        <w:ind w:left="1788" w:hanging="360"/>
      </w:pPr>
      <w:rPr>
        <w:rFonts w:cs="Times New Roman" w:hint="default"/>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num w:numId="1">
    <w:abstractNumId w:val="2"/>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oNotTrackMoves/>
  <w:defaultTabStop w:val="708"/>
  <w:hyphenationZone w:val="425"/>
  <w:drawingGridHorizontalSpacing w:val="120"/>
  <w:displayHorizontalDrawingGridEvery w:val="2"/>
  <w:characterSpacingControl w:val="doNotCompress"/>
  <w:compat>
    <w:doNotUseIndentAsNumberingTabStop/>
    <w:allowSpaceOfSameStyleInTable/>
    <w:splitPgBreakAndParaMark/>
    <w:useAnsiKerningPairs/>
  </w:compat>
  <w:rsids>
    <w:rsidRoot w:val="00BF783C"/>
    <w:rsid w:val="001B1E23"/>
    <w:rsid w:val="002803AC"/>
    <w:rsid w:val="00483A08"/>
    <w:rsid w:val="00546916"/>
    <w:rsid w:val="005B3EC1"/>
    <w:rsid w:val="006A1A5A"/>
    <w:rsid w:val="009E5267"/>
    <w:rsid w:val="00A86C79"/>
    <w:rsid w:val="00AC5943"/>
    <w:rsid w:val="00BF783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783C"/>
    <w:pPr>
      <w:framePr w:wrap="auto"/>
      <w:widowControl/>
      <w:autoSpaceDE/>
      <w:autoSpaceDN/>
      <w:adjustRightInd/>
      <w:ind w:left="0" w:right="0"/>
      <w:jc w:val="left"/>
      <w:textAlignment w:val="auto"/>
    </w:pPr>
    <w:rPr>
      <w:rFonts w:cs="Times New Roman"/>
      <w:sz w:val="24"/>
      <w:szCs w:val="24"/>
      <w:rtl w:val="0"/>
      <w:cs w:val="0"/>
      <w:lang w:val="cs-CZ" w:eastAsia="cs-CZ" w:bidi="ar-SA"/>
    </w:rPr>
  </w:style>
  <w:style w:type="paragraph" w:styleId="Heading1">
    <w:name w:val="heading 1"/>
    <w:basedOn w:val="Normal"/>
    <w:next w:val="Normal"/>
    <w:link w:val="Nadpis1Char"/>
    <w:uiPriority w:val="99"/>
    <w:qFormat/>
    <w:rsid w:val="00BF783C"/>
    <w:pPr>
      <w:keepNext/>
      <w:jc w:val="right"/>
      <w:outlineLvl w:val="0"/>
    </w:pPr>
    <w:rPr>
      <w:rFonts w:ascii="Arial" w:hAnsi="Arial"/>
      <w:b/>
      <w:sz w:val="20"/>
      <w:szCs w:val="20"/>
      <w:lang w:val="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kern w:val="32"/>
      <w:sz w:val="32"/>
      <w:szCs w:val="32"/>
      <w:rtl w:val="0"/>
      <w:cs w:val="0"/>
      <w:lang w:val="cs-CZ" w:eastAsia="cs-CZ"/>
    </w:rPr>
  </w:style>
  <w:style w:type="paragraph" w:styleId="Title">
    <w:name w:val="Title"/>
    <w:basedOn w:val="Normal"/>
    <w:link w:val="NzovChar"/>
    <w:uiPriority w:val="99"/>
    <w:qFormat/>
    <w:rsid w:val="00BF783C"/>
    <w:pPr>
      <w:jc w:val="center"/>
    </w:pPr>
    <w:rPr>
      <w:rFonts w:ascii="Arial" w:hAnsi="Arial"/>
      <w:b/>
      <w:sz w:val="22"/>
      <w:szCs w:val="20"/>
      <w:lang w:val="sk-SK"/>
    </w:rPr>
  </w:style>
  <w:style w:type="character" w:customStyle="1" w:styleId="NzovChar">
    <w:name w:val="Názov Char"/>
    <w:basedOn w:val="DefaultParagraphFont"/>
    <w:link w:val="Title"/>
    <w:uiPriority w:val="10"/>
    <w:locked/>
    <w:rPr>
      <w:rFonts w:asciiTheme="majorHAnsi" w:eastAsiaTheme="majorEastAsia" w:hAnsiTheme="majorHAnsi" w:cstheme="majorBidi"/>
      <w:b/>
      <w:bCs/>
      <w:kern w:val="28"/>
      <w:sz w:val="32"/>
      <w:szCs w:val="32"/>
      <w:rtl w:val="0"/>
      <w:cs w:val="0"/>
      <w:lang w:val="cs-CZ" w:eastAsia="cs-CZ"/>
    </w:rPr>
  </w:style>
  <w:style w:type="paragraph" w:styleId="BodyText">
    <w:name w:val="Body Text"/>
    <w:basedOn w:val="Normal"/>
    <w:link w:val="ZkladntextChar"/>
    <w:uiPriority w:val="99"/>
    <w:rsid w:val="00BF783C"/>
    <w:pPr>
      <w:jc w:val="left"/>
    </w:pPr>
    <w:rPr>
      <w:rFonts w:ascii="Arial" w:hAnsi="Arial"/>
      <w:b/>
      <w:sz w:val="20"/>
      <w:szCs w:val="20"/>
      <w:lang w:val="sk-SK"/>
    </w:rPr>
  </w:style>
  <w:style w:type="character" w:customStyle="1" w:styleId="ZkladntextChar">
    <w:name w:val="Základný text Char"/>
    <w:basedOn w:val="DefaultParagraphFont"/>
    <w:link w:val="BodyText"/>
    <w:uiPriority w:val="99"/>
    <w:semiHidden/>
    <w:locked/>
    <w:rPr>
      <w:rFonts w:cs="Times New Roman"/>
      <w:sz w:val="24"/>
      <w:szCs w:val="24"/>
      <w:rtl w:val="0"/>
      <w:cs w:val="0"/>
      <w:lang w:val="cs-CZ" w:eastAsia="cs-CZ"/>
    </w:rPr>
  </w:style>
  <w:style w:type="paragraph" w:styleId="NormalWeb">
    <w:name w:val="Normal (Web)"/>
    <w:basedOn w:val="Normal"/>
    <w:uiPriority w:val="99"/>
    <w:unhideWhenUsed/>
    <w:rsid w:val="009E5267"/>
    <w:pPr>
      <w:spacing w:before="100" w:beforeAutospacing="1" w:after="100" w:afterAutospacing="1"/>
      <w:jc w:val="left"/>
    </w:pPr>
    <w:rPr>
      <w:lang w:val="sk-SK" w:eastAsia="sk-SK"/>
    </w:rPr>
  </w:style>
  <w:style w:type="paragraph" w:styleId="NoSpacing">
    <w:name w:val="No Spacing"/>
    <w:uiPriority w:val="1"/>
    <w:qFormat/>
    <w:rsid w:val="009E5267"/>
    <w:pPr>
      <w:framePr w:wrap="auto"/>
      <w:widowControl/>
      <w:autoSpaceDE/>
      <w:autoSpaceDN/>
      <w:adjustRightInd/>
      <w:ind w:left="0" w:right="0"/>
      <w:jc w:val="left"/>
      <w:textAlignment w:val="auto"/>
    </w:pPr>
    <w:rPr>
      <w:rFonts w:cs="Times New Roman"/>
      <w:sz w:val="24"/>
      <w:szCs w:val="24"/>
      <w:rtl w:val="0"/>
      <w:cs w:val="0"/>
      <w:lang w:val="cs-CZ" w:eastAsia="cs-CZ"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TotalTime>
  <Pages>7</Pages>
  <Words>1793</Words>
  <Characters>10271</Characters>
  <Application>Microsoft Office Word</Application>
  <DocSecurity>0</DocSecurity>
  <Lines>0</Lines>
  <Paragraphs>0</Paragraphs>
  <ScaleCrop>false</ScaleCrop>
  <Company>Ministerstvo spravodlivosti SR</Company>
  <LinksUpToDate>false</LinksUpToDate>
  <CharactersWithSpaces>12040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SPRAVODLIVOSTI SLOVENSKEJ REPUBLIKY</dc:title>
  <dc:creator>peter.kolenic</dc:creator>
  <cp:lastModifiedBy>peter.kolenic</cp:lastModifiedBy>
  <cp:revision>3</cp:revision>
  <dcterms:created xsi:type="dcterms:W3CDTF">2011-03-02T15:35:00Z</dcterms:created>
  <dcterms:modified xsi:type="dcterms:W3CDTF">2011-03-02T15:45:00Z</dcterms:modified>
</cp:coreProperties>
</file>