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0F8A" w:rsidRPr="00D76C72" w:rsidP="00390F8A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  <w:b/>
          <w:bCs/>
        </w:rPr>
        <w:t>Dôvodová správa</w:t>
      </w:r>
    </w:p>
    <w:p w:rsidR="00390F8A" w:rsidRPr="00D76C72" w:rsidP="00390F8A">
      <w:pPr>
        <w:pStyle w:val="NormalWeb"/>
        <w:bidi w:val="0"/>
        <w:spacing w:before="0" w:after="0"/>
        <w:jc w:val="center"/>
        <w:rPr>
          <w:rFonts w:ascii="Times New Roman" w:hAnsi="Times New Roman"/>
          <w:b/>
          <w:bCs/>
        </w:rPr>
      </w:pPr>
    </w:p>
    <w:p w:rsidR="00390F8A" w:rsidRPr="00D76C72" w:rsidP="00390F8A">
      <w:pPr>
        <w:pStyle w:val="NormalWeb"/>
        <w:bidi w:val="0"/>
        <w:spacing w:before="0" w:after="0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  <w:b/>
          <w:bCs/>
        </w:rPr>
        <w:t> </w:t>
      </w:r>
    </w:p>
    <w:p w:rsidR="00390F8A" w:rsidRPr="00D76C72" w:rsidP="00390F8A">
      <w:pPr>
        <w:pStyle w:val="NormalWeb"/>
        <w:numPr>
          <w:numId w:val="2"/>
        </w:numPr>
        <w:bidi w:val="0"/>
        <w:spacing w:before="0" w:after="0"/>
        <w:jc w:val="both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  <w:b/>
          <w:bCs/>
        </w:rPr>
        <w:t>Všeobecná časť</w:t>
      </w:r>
    </w:p>
    <w:p w:rsidR="00390F8A" w:rsidRPr="00D76C72" w:rsidP="00390F8A">
      <w:pPr>
        <w:pStyle w:val="NormalWeb"/>
        <w:bidi w:val="0"/>
        <w:spacing w:before="0" w:after="0"/>
        <w:jc w:val="both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  <w:b/>
          <w:bCs/>
        </w:rPr>
        <w:t>        </w:t>
      </w:r>
    </w:p>
    <w:p w:rsidR="00390F8A" w:rsidP="00390F8A">
      <w:pPr>
        <w:pStyle w:val="NormalWeb"/>
        <w:bidi w:val="0"/>
        <w:spacing w:before="120" w:after="0"/>
        <w:ind w:firstLine="709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>Smernica Európskeho Parlamentu a Rady 2007/46/ES,</w:t>
      </w:r>
      <w:r w:rsidRPr="00EE77E6">
        <w:rPr>
          <w:rFonts w:ascii="Times New Roman" w:hAnsi="Times New Roman"/>
        </w:rPr>
        <w:t xml:space="preserve"> ktorou sa zriaďuje rámec pre typové schválenie motorových vozidiel a ich prípojných vozidiel, systémov, komponentov a</w:t>
      </w:r>
      <w:r>
        <w:rPr>
          <w:rFonts w:ascii="Times New Roman" w:hAnsi="Times New Roman"/>
        </w:rPr>
        <w:t> </w:t>
      </w:r>
      <w:r w:rsidRPr="00EE77E6">
        <w:rPr>
          <w:rFonts w:ascii="Times New Roman" w:hAnsi="Times New Roman"/>
        </w:rPr>
        <w:t>samostatných</w:t>
      </w:r>
      <w:r>
        <w:rPr>
          <w:rFonts w:ascii="Times New Roman" w:hAnsi="Times New Roman"/>
        </w:rPr>
        <w:t xml:space="preserve"> </w:t>
      </w:r>
      <w:r w:rsidRPr="00EE77E6">
        <w:rPr>
          <w:rFonts w:ascii="Times New Roman" w:hAnsi="Times New Roman"/>
        </w:rPr>
        <w:t>technických jednotiek určených pre tieto vozidlá (Rámcová smernica)</w:t>
      </w:r>
      <w:r>
        <w:rPr>
          <w:rFonts w:ascii="Times New Roman" w:hAnsi="Times New Roman"/>
        </w:rPr>
        <w:t>, ktorá nadobudla účinnosť 29. apríla 2009 umožnila udeľovať typové schválenie ES pre vozidlá kategórie N</w:t>
      </w:r>
      <w:r w:rsidRPr="00EE77E6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(nákladné vozidlo) b</w:t>
      </w:r>
      <w:r w:rsidRPr="00EE77E6">
        <w:rPr>
          <w:rFonts w:ascii="Times New Roman" w:hAnsi="Times New Roman"/>
        </w:rPr>
        <w:t xml:space="preserve">ez </w:t>
      </w:r>
      <w:r w:rsidRPr="00EE77E6">
        <w:rPr>
          <w:rFonts w:ascii="Times New Roman" w:hAnsi="Times New Roman"/>
          <w:lang w:eastAsia="sk-SK"/>
        </w:rPr>
        <w:t>priečkového systému na ochranu osôb pred nebezpečenstvom vyplývajúcim z posunu batožiny do priestoru pre vodiča a</w:t>
      </w:r>
      <w:r>
        <w:rPr>
          <w:rFonts w:ascii="Times New Roman" w:hAnsi="Times New Roman"/>
          <w:lang w:eastAsia="sk-SK"/>
        </w:rPr>
        <w:t> </w:t>
      </w:r>
      <w:r w:rsidRPr="00EE77E6">
        <w:rPr>
          <w:rFonts w:ascii="Times New Roman" w:hAnsi="Times New Roman"/>
          <w:lang w:eastAsia="sk-SK"/>
        </w:rPr>
        <w:t>cestujúcich</w:t>
      </w:r>
      <w:r>
        <w:rPr>
          <w:rFonts w:ascii="Times New Roman" w:hAnsi="Times New Roman"/>
          <w:lang w:eastAsia="sk-SK"/>
        </w:rPr>
        <w:t xml:space="preserve"> (tzv. deliaca priečka) bez toho, aby si členské štáty mohli uplatňovať vlastné národné technické požiadavky – v tomto prípade na deliacu priečku. V praxi nastal prípad, že to isté vozidlo mohlo byť schválené aj v kategórii M</w:t>
      </w:r>
      <w:r w:rsidRPr="00EE77E6">
        <w:rPr>
          <w:rFonts w:ascii="Times New Roman" w:hAnsi="Times New Roman"/>
          <w:vertAlign w:val="subscript"/>
          <w:lang w:eastAsia="sk-SK"/>
        </w:rPr>
        <w:t>1</w:t>
      </w:r>
      <w:r>
        <w:rPr>
          <w:rFonts w:ascii="Times New Roman" w:hAnsi="Times New Roman"/>
          <w:lang w:eastAsia="sk-SK"/>
        </w:rPr>
        <w:t xml:space="preserve"> (osobné vozidlo), ale aj v kategórii N</w:t>
      </w:r>
      <w:r w:rsidRPr="00EE77E6">
        <w:rPr>
          <w:rFonts w:ascii="Times New Roman" w:hAnsi="Times New Roman"/>
          <w:vertAlign w:val="subscript"/>
          <w:lang w:eastAsia="sk-SK"/>
        </w:rPr>
        <w:t>1</w:t>
      </w:r>
      <w:r>
        <w:rPr>
          <w:rFonts w:ascii="Times New Roman" w:hAnsi="Times New Roman"/>
          <w:lang w:eastAsia="sk-SK"/>
        </w:rPr>
        <w:t xml:space="preserve"> (nákladné vozidlo).</w:t>
      </w:r>
    </w:p>
    <w:p w:rsidR="00390F8A" w:rsidP="00390F8A">
      <w:pPr>
        <w:pStyle w:val="NormalWeb"/>
        <w:bidi w:val="0"/>
        <w:spacing w:before="120" w:after="0"/>
        <w:ind w:firstLine="709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Zákon č. 563/2009 Z. z. znovelizoval zákon č. 222/2004 Z. z. o dani z pridanej hodnoty v znení neskorších predpisov, ktorý umožnil odpočet dane z pridanej hodnoty pre všetky kategórie vozidiel, čo znamená, že tie isté vozidlá s deliacou priečkou a bez deliacej priečky stratili význam.</w:t>
      </w:r>
    </w:p>
    <w:p w:rsidR="00390F8A" w:rsidRPr="00D76C72" w:rsidP="00390F8A">
      <w:pPr>
        <w:pStyle w:val="NormalWeb"/>
        <w:bidi w:val="0"/>
        <w:spacing w:before="12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Vozidlá, ktoré neplnili ešte v tom čase smernicu 2007/46/ES, boli bez typového schválenia ES a plnili iba národné technické požiadavky, boli vybavené deliacou priečkou a musia ju mať naďalej vo vozidle, pretože ju majú uvedenú v dokladoch vozidla (v osvedčení o evidencii alebo v technickom preukaze vozidla). Navrhovanou zmenou zákona sa prevádzkovateľom týchto vozidiel umožní, aby si deliacu priečku mohli z vozidla demontovať bez toho, aby ich vozidlo bolo nespôsobilé na cestnú premávku. Návrh zákona bol inšpirovaný situáciou v Českej republike, kde sa rovnaká zmena stretla s pozitívnou odozvou u prevádzkovateľov takýchto vozidiel.</w:t>
      </w:r>
    </w:p>
    <w:p w:rsidR="00390F8A" w:rsidRPr="00D76C72" w:rsidP="00390F8A">
      <w:pPr>
        <w:pStyle w:val="NormalWeb"/>
        <w:bidi w:val="0"/>
        <w:spacing w:before="0" w:after="0"/>
        <w:jc w:val="both"/>
        <w:rPr>
          <w:rStyle w:val="bbtext"/>
          <w:rFonts w:ascii="Times New Roman" w:hAnsi="Times New Roman"/>
          <w:sz w:val="20"/>
          <w:szCs w:val="20"/>
        </w:rPr>
      </w:pPr>
    </w:p>
    <w:p w:rsidR="00390F8A" w:rsidRPr="00D76C72" w:rsidP="00390F8A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 xml:space="preserve">Predkladaný návrh zákona je v súlade s Ústavou Slovenskej republiky, zákonmi Slovenskej republiky, medzinárodnými zmluvami a inými medzinárodnými dokumentmi, ktorými je Slovenská  republika viazaná. </w:t>
      </w:r>
    </w:p>
    <w:p w:rsidR="00390F8A" w:rsidRPr="00D76C72" w:rsidP="00390F8A">
      <w:pPr>
        <w:pStyle w:val="NormalWeb"/>
        <w:bidi w:val="0"/>
        <w:spacing w:before="0" w:after="0"/>
        <w:rPr>
          <w:rFonts w:ascii="Times New Roman" w:hAnsi="Times New Roman"/>
          <w:iCs/>
        </w:rPr>
      </w:pPr>
      <w:r w:rsidRPr="00D76C72">
        <w:rPr>
          <w:rFonts w:ascii="Times New Roman" w:hAnsi="Times New Roman"/>
          <w:iCs/>
        </w:rPr>
        <w:t> </w:t>
      </w: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  <w:r w:rsidRPr="00D76C72">
        <w:rPr>
          <w:rFonts w:ascii="Times New Roman" w:hAnsi="Times New Roman"/>
        </w:rPr>
        <w:t> </w:t>
      </w: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bidi w:val="0"/>
        <w:jc w:val="center"/>
        <w:rPr>
          <w:rFonts w:ascii="Times New Roman" w:hAnsi="Times New Roman"/>
          <w:b/>
        </w:rPr>
      </w:pPr>
    </w:p>
    <w:p w:rsidR="00390F8A" w:rsidRPr="00D76C72" w:rsidP="00390F8A">
      <w:pPr>
        <w:bidi w:val="0"/>
        <w:jc w:val="center"/>
        <w:rPr>
          <w:rFonts w:ascii="Times New Roman" w:hAnsi="Times New Roman"/>
          <w:b/>
        </w:rPr>
      </w:pPr>
    </w:p>
    <w:p w:rsidR="00390F8A" w:rsidRPr="00D76C72" w:rsidP="00390F8A">
      <w:pPr>
        <w:bidi w:val="0"/>
        <w:jc w:val="center"/>
        <w:rPr>
          <w:rFonts w:ascii="Times New Roman" w:hAnsi="Times New Roman"/>
          <w:b/>
        </w:rPr>
      </w:pPr>
    </w:p>
    <w:p w:rsidR="00390F8A" w:rsidRPr="00D76C72" w:rsidP="00390F8A">
      <w:pPr>
        <w:bidi w:val="0"/>
        <w:jc w:val="center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Doložka zlučiteľnosti</w:t>
      </w:r>
    </w:p>
    <w:p w:rsidR="00390F8A" w:rsidRPr="00D76C72" w:rsidP="00390F8A">
      <w:pPr>
        <w:bidi w:val="0"/>
        <w:jc w:val="center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návrhu zákona s právom Európskej únie</w:t>
      </w:r>
    </w:p>
    <w:p w:rsidR="00390F8A" w:rsidRPr="00D76C72" w:rsidP="00390F8A">
      <w:pPr>
        <w:bidi w:val="0"/>
        <w:rPr>
          <w:rFonts w:ascii="Times New Roman" w:hAnsi="Times New Roman"/>
        </w:rPr>
      </w:pPr>
    </w:p>
    <w:p w:rsidR="00390F8A" w:rsidRPr="00D76C72" w:rsidP="00390F8A">
      <w:pPr>
        <w:suppressAutoHyphens w:val="0"/>
        <w:bidi w:val="0"/>
        <w:spacing w:line="360" w:lineRule="auto"/>
        <w:rPr>
          <w:rFonts w:ascii="Times New Roman" w:hAnsi="Times New Roman"/>
        </w:rPr>
      </w:pPr>
      <w:r w:rsidRPr="00D76C72">
        <w:rPr>
          <w:rFonts w:ascii="Times New Roman" w:hAnsi="Times New Roman"/>
          <w:b/>
        </w:rPr>
        <w:t>1. Navrhovateľ zákona:</w:t>
      </w:r>
      <w:r w:rsidRPr="00D76C72">
        <w:rPr>
          <w:rFonts w:ascii="Times New Roman" w:hAnsi="Times New Roman"/>
        </w:rPr>
        <w:t xml:space="preserve">  poslanec Národnej rady Slovenskej republiky  Ľudovít Jurčík</w:t>
      </w:r>
    </w:p>
    <w:p w:rsidR="00390F8A" w:rsidRPr="00D76C72" w:rsidP="00390F8A">
      <w:pPr>
        <w:tabs>
          <w:tab w:val="num" w:pos="360"/>
        </w:tabs>
        <w:suppressAutoHyphens w:val="0"/>
        <w:bidi w:val="0"/>
        <w:spacing w:line="360" w:lineRule="auto"/>
        <w:jc w:val="both"/>
        <w:rPr>
          <w:rFonts w:ascii="Times New Roman" w:hAnsi="Times New Roman"/>
          <w:lang w:eastAsia="sk-SK"/>
        </w:rPr>
      </w:pPr>
      <w:r w:rsidRPr="00D76C72">
        <w:rPr>
          <w:rFonts w:ascii="Times New Roman" w:hAnsi="Times New Roman"/>
          <w:b/>
        </w:rPr>
        <w:t xml:space="preserve">2. Názov návrhu právneho predpisu: </w:t>
      </w:r>
      <w:r w:rsidRPr="00D76C72">
        <w:rPr>
          <w:rFonts w:ascii="Times New Roman" w:hAnsi="Times New Roman"/>
        </w:rPr>
        <w:t xml:space="preserve"> Návrh zákona, ktorým sa mení a dopĺňa zákon č. 725/2004 Z. z. </w:t>
      </w:r>
      <w:r w:rsidRPr="00D76C72">
        <w:rPr>
          <w:rFonts w:ascii="Times New Roman" w:hAnsi="Times New Roman"/>
          <w:lang w:eastAsia="sk-SK"/>
        </w:rPr>
        <w:t>o podmienkach prevádzky vozidiel v premávke na pozemných komunikáciách a o zmene a doplnení niektorých zákonov</w:t>
      </w:r>
    </w:p>
    <w:p w:rsidR="00390F8A" w:rsidRPr="00D76C72" w:rsidP="00390F8A">
      <w:pPr>
        <w:tabs>
          <w:tab w:val="num" w:pos="360"/>
        </w:tabs>
        <w:suppressAutoHyphens w:val="0"/>
        <w:bidi w:val="0"/>
        <w:spacing w:line="360" w:lineRule="auto"/>
        <w:jc w:val="both"/>
        <w:rPr>
          <w:rFonts w:ascii="Times New Roman" w:hAnsi="Times New Roman"/>
        </w:rPr>
      </w:pPr>
    </w:p>
    <w:p w:rsidR="00390F8A" w:rsidRPr="00D76C72" w:rsidP="00390F8A">
      <w:pPr>
        <w:tabs>
          <w:tab w:val="num" w:pos="360"/>
        </w:tabs>
        <w:suppressAutoHyphens w:val="0"/>
        <w:bidi w:val="0"/>
        <w:spacing w:line="360" w:lineRule="auto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  <w:b/>
        </w:rPr>
        <w:t>3.</w:t>
      </w:r>
      <w:r w:rsidRPr="00D76C72">
        <w:rPr>
          <w:rFonts w:ascii="Times New Roman" w:hAnsi="Times New Roman"/>
        </w:rPr>
        <w:t xml:space="preserve"> </w:t>
      </w:r>
      <w:r w:rsidRPr="00D76C72">
        <w:rPr>
          <w:rFonts w:ascii="Times New Roman" w:hAnsi="Times New Roman"/>
          <w:b/>
        </w:rPr>
        <w:t>Predmet návrhu zákona nie je upravený v práve Európskej únie:</w:t>
      </w:r>
    </w:p>
    <w:p w:rsidR="00390F8A" w:rsidRPr="00D76C72" w:rsidP="00390F8A">
      <w:pPr>
        <w:tabs>
          <w:tab w:val="num" w:pos="360"/>
          <w:tab w:val="left" w:pos="1980"/>
          <w:tab w:val="left" w:pos="6900"/>
        </w:tabs>
        <w:bidi w:val="0"/>
        <w:spacing w:line="360" w:lineRule="auto"/>
        <w:ind w:left="708"/>
        <w:rPr>
          <w:rFonts w:ascii="Times New Roman" w:hAnsi="Times New Roman"/>
        </w:rPr>
      </w:pPr>
      <w:r w:rsidRPr="00D76C72">
        <w:rPr>
          <w:rFonts w:ascii="Times New Roman" w:hAnsi="Times New Roman"/>
        </w:rPr>
        <w:t>a)      v primárnom práve,</w:t>
        <w:tab/>
      </w:r>
    </w:p>
    <w:p w:rsidR="00390F8A" w:rsidRPr="00D76C72" w:rsidP="00390F8A">
      <w:pPr>
        <w:numPr>
          <w:numId w:val="1"/>
        </w:numPr>
        <w:tabs>
          <w:tab w:val="left" w:pos="540"/>
          <w:tab w:val="clear" w:pos="570"/>
          <w:tab w:val="num" w:pos="720"/>
          <w:tab w:val="num" w:pos="1278"/>
        </w:tabs>
        <w:suppressAutoHyphens w:val="0"/>
        <w:bidi w:val="0"/>
        <w:spacing w:line="360" w:lineRule="auto"/>
        <w:ind w:left="708" w:firstLine="0"/>
        <w:rPr>
          <w:rFonts w:ascii="Times New Roman" w:hAnsi="Times New Roman"/>
        </w:rPr>
      </w:pPr>
      <w:r w:rsidRPr="00D76C72">
        <w:rPr>
          <w:rFonts w:ascii="Times New Roman" w:hAnsi="Times New Roman"/>
        </w:rPr>
        <w:t>v sekundárnom práve,</w:t>
      </w:r>
    </w:p>
    <w:p w:rsidR="00390F8A" w:rsidRPr="00D76C72" w:rsidP="00390F8A">
      <w:pPr>
        <w:numPr>
          <w:numId w:val="1"/>
        </w:numPr>
        <w:tabs>
          <w:tab w:val="clear" w:pos="570"/>
          <w:tab w:val="num" w:pos="720"/>
          <w:tab w:val="num" w:pos="1278"/>
          <w:tab w:val="left" w:pos="1980"/>
        </w:tabs>
        <w:suppressAutoHyphens w:val="0"/>
        <w:bidi w:val="0"/>
        <w:spacing w:line="360" w:lineRule="auto"/>
        <w:ind w:left="708" w:firstLine="0"/>
        <w:rPr>
          <w:rFonts w:ascii="Times New Roman" w:hAnsi="Times New Roman"/>
        </w:rPr>
      </w:pPr>
      <w:r w:rsidRPr="00D76C72">
        <w:rPr>
          <w:rFonts w:ascii="Times New Roman" w:hAnsi="Times New Roman"/>
        </w:rPr>
        <w:t>v judikatúre Súdneho dvora Európskych únie.</w:t>
      </w:r>
    </w:p>
    <w:p w:rsidR="00390F8A" w:rsidRPr="00D76C72" w:rsidP="00390F8A">
      <w:pPr>
        <w:tabs>
          <w:tab w:val="num" w:pos="1278"/>
          <w:tab w:val="left" w:pos="1980"/>
        </w:tabs>
        <w:suppressAutoHyphens w:val="0"/>
        <w:bidi w:val="0"/>
        <w:spacing w:line="360" w:lineRule="auto"/>
        <w:rPr>
          <w:rFonts w:ascii="Times New Roman" w:hAnsi="Times New Roman"/>
        </w:rPr>
      </w:pPr>
    </w:p>
    <w:p w:rsidR="00390F8A" w:rsidRPr="00D76C72" w:rsidP="00390F8A">
      <w:pPr>
        <w:bidi w:val="0"/>
        <w:spacing w:line="360" w:lineRule="auto"/>
        <w:rPr>
          <w:rFonts w:ascii="Times New Roman" w:hAnsi="Times New Roman"/>
        </w:rPr>
      </w:pPr>
      <w:r w:rsidRPr="00D76C72">
        <w:rPr>
          <w:rFonts w:ascii="Times New Roman" w:hAnsi="Times New Roman"/>
          <w:b/>
        </w:rPr>
        <w:t>Vzhľadom na bod 3. sú body 4. a 5. bezpredmetné.</w:t>
      </w: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pStyle w:val="NormalWeb"/>
        <w:bidi w:val="0"/>
        <w:spacing w:before="0" w:after="120"/>
        <w:ind w:firstLine="708"/>
        <w:rPr>
          <w:rFonts w:ascii="Times New Roman" w:hAnsi="Times New Roman"/>
        </w:rPr>
      </w:pPr>
    </w:p>
    <w:p w:rsidR="00390F8A" w:rsidRPr="00D76C72" w:rsidP="00390F8A">
      <w:pPr>
        <w:bidi w:val="0"/>
        <w:jc w:val="center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Doložka</w:t>
      </w:r>
    </w:p>
    <w:p w:rsidR="00390F8A" w:rsidRPr="00D76C72" w:rsidP="00390F8A">
      <w:pPr>
        <w:bidi w:val="0"/>
        <w:jc w:val="center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finančných, ekonomických, environmentálnych vplyvov, vplyvov na zamestnanosť a podnikateľské prostredie</w:t>
      </w:r>
    </w:p>
    <w:p w:rsidR="00390F8A" w:rsidRPr="00D76C72" w:rsidP="00390F8A">
      <w:pPr>
        <w:bidi w:val="0"/>
        <w:rPr>
          <w:rFonts w:ascii="Times New Roman" w:hAnsi="Times New Roman"/>
        </w:rPr>
      </w:pPr>
    </w:p>
    <w:p w:rsidR="00390F8A" w:rsidRPr="00D76C72" w:rsidP="00390F8A">
      <w:pPr>
        <w:bidi w:val="0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1. Odhad vplyvov na verejné financie</w:t>
      </w: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Predkladaný návrh zákona nebude mať dopad na verejné financie.</w:t>
      </w: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2. Odhad dopadov na obyvateľstvo, hospodárenie podnikateľskej sféry a iných právnických osôb</w:t>
      </w: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Predložený návrh zákona nebude mať dopad na obyvateľstvo.</w:t>
      </w: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3. Odhad dopadov na životné prostredie</w:t>
      </w: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tabs>
          <w:tab w:val="left" w:pos="6825"/>
        </w:tabs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Predložený návrh zákona nebude mať dopad na životné prostredie.</w:t>
        <w:tab/>
      </w:r>
    </w:p>
    <w:p w:rsidR="00390F8A" w:rsidRPr="00D76C72" w:rsidP="00390F8A">
      <w:pPr>
        <w:tabs>
          <w:tab w:val="left" w:pos="6825"/>
        </w:tabs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4. Odhad vplyvov na zamestnanosť</w:t>
      </w: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Predložený návrh zákona nebude mať dopad na zamestnanosť.</w:t>
      </w: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  <w:b/>
        </w:rPr>
      </w:pPr>
      <w:r w:rsidRPr="00D76C72">
        <w:rPr>
          <w:rFonts w:ascii="Times New Roman" w:hAnsi="Times New Roman"/>
          <w:b/>
        </w:rPr>
        <w:t>5. Vplyv na podnikateľské prostredie</w:t>
      </w: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>Predložený návrh zákona bude mať pozitívny dopad na podnikateľské prostredie, nakoľko sa rozšíri predaj ojazdených vozidiel, ktoré majú zabudovanú ochrannú mriežku a nie sú tak pre spotrebiteľov atraktívne.</w:t>
      </w: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tabs>
          <w:tab w:val="left" w:pos="5445"/>
        </w:tabs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</w:rPr>
        <w:tab/>
      </w:r>
    </w:p>
    <w:p w:rsidR="00390F8A" w:rsidRPr="00D76C72" w:rsidP="00390F8A">
      <w:pPr>
        <w:tabs>
          <w:tab w:val="left" w:pos="5445"/>
        </w:tabs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rPr>
          <w:rFonts w:ascii="Times New Roman" w:hAnsi="Times New Roman"/>
          <w:b/>
          <w:bCs/>
        </w:rPr>
      </w:pPr>
    </w:p>
    <w:p w:rsidR="00390F8A" w:rsidRPr="00D76C72" w:rsidP="00390F8A">
      <w:pPr>
        <w:bidi w:val="0"/>
        <w:rPr>
          <w:rFonts w:ascii="Times New Roman" w:hAnsi="Times New Roman"/>
          <w:b/>
          <w:bCs/>
        </w:rPr>
      </w:pPr>
    </w:p>
    <w:p w:rsidR="00390F8A" w:rsidP="00390F8A">
      <w:pPr>
        <w:bidi w:val="0"/>
        <w:rPr>
          <w:rFonts w:ascii="Times New Roman" w:hAnsi="Times New Roman"/>
          <w:b/>
          <w:bCs/>
        </w:rPr>
      </w:pPr>
    </w:p>
    <w:p w:rsidR="00390F8A" w:rsidRPr="00D76C72" w:rsidP="00390F8A">
      <w:pPr>
        <w:bidi w:val="0"/>
        <w:rPr>
          <w:rFonts w:ascii="Times New Roman" w:hAnsi="Times New Roman"/>
          <w:b/>
          <w:bCs/>
        </w:rPr>
      </w:pPr>
    </w:p>
    <w:p w:rsidR="00390F8A" w:rsidRPr="00D76C72" w:rsidP="00390F8A">
      <w:pPr>
        <w:bidi w:val="0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  <w:b/>
          <w:bCs/>
        </w:rPr>
        <w:t xml:space="preserve">B. Osobitná časť </w:t>
      </w:r>
    </w:p>
    <w:p w:rsidR="00390F8A" w:rsidRPr="00D76C72" w:rsidP="00390F8A">
      <w:pPr>
        <w:bidi w:val="0"/>
        <w:rPr>
          <w:rFonts w:ascii="Times New Roman" w:hAnsi="Times New Roman"/>
          <w:b/>
          <w:bCs/>
        </w:rPr>
      </w:pPr>
    </w:p>
    <w:p w:rsidR="00390F8A" w:rsidRPr="00D76C72" w:rsidP="00390F8A">
      <w:pPr>
        <w:bidi w:val="0"/>
        <w:rPr>
          <w:rFonts w:ascii="Times New Roman" w:hAnsi="Times New Roman"/>
          <w:b/>
          <w:bCs/>
        </w:rPr>
      </w:pPr>
      <w:r w:rsidRPr="00D76C72">
        <w:rPr>
          <w:rFonts w:ascii="Times New Roman" w:hAnsi="Times New Roman"/>
          <w:b/>
          <w:bCs/>
        </w:rPr>
        <w:t>K čl. I</w:t>
      </w:r>
    </w:p>
    <w:p w:rsidR="00390F8A" w:rsidRPr="00D76C72" w:rsidP="00390F8A">
      <w:pPr>
        <w:bidi w:val="0"/>
        <w:rPr>
          <w:rFonts w:ascii="Times New Roman" w:hAnsi="Times New Roman"/>
          <w:b/>
          <w:bCs/>
        </w:rPr>
      </w:pPr>
    </w:p>
    <w:p w:rsidR="00390F8A" w:rsidP="00390F8A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bodom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/>
            <w:b/>
            <w:bCs/>
          </w:rPr>
          <w:t>1 a</w:t>
        </w:r>
      </w:smartTag>
      <w:r>
        <w:rPr>
          <w:rFonts w:ascii="Times New Roman" w:hAnsi="Times New Roman"/>
          <w:b/>
          <w:bCs/>
        </w:rPr>
        <w:t xml:space="preserve"> 2</w:t>
      </w:r>
    </w:p>
    <w:p w:rsidR="00390F8A" w:rsidP="00390F8A">
      <w:pPr>
        <w:bidi w:val="0"/>
        <w:jc w:val="both"/>
        <w:rPr>
          <w:rFonts w:ascii="Times New Roman" w:hAnsi="Times New Roman"/>
          <w:b/>
          <w:bCs/>
        </w:rPr>
      </w:pPr>
    </w:p>
    <w:p w:rsidR="00390F8A" w:rsidP="00390F8A">
      <w:pPr>
        <w:bidi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Návrh zákona zavádza výnimku do absolútneho zákazu prevádzkovať v premávke na pozemných komunikáciách vozidlo, ktoré sa nezhoduje so schváleným typom. Zavedenou výnimkou je možnosť prevádzkovať na pozemných komunikáciách aj vozidlo, z ktorého bola odstránená </w:t>
      </w:r>
      <w:r>
        <w:rPr>
          <w:rFonts w:ascii="Times New Roman" w:hAnsi="Times New Roman"/>
        </w:rPr>
        <w:t>deliaca priečka, oddeľujúca priestor pre vodiča a cestujúcich od ložného priestoru. V súčasnosti existuje možnosť odstrániť deliacu priečku len cez možnosť prestavby vozidla zmenou kategórie vozidla (z kategórie M</w:t>
      </w:r>
      <w:r w:rsidRPr="00EF6DCF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na kategóriu N</w:t>
      </w:r>
      <w:r w:rsidRPr="00EF6DCF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). Táto možnosť je prakticky nevyužívaná pre komplikovanosť, zdĺhavosť a nákladovosť tohto procesu. Navrhovanou zmenou sa umožní odstrániť deliacu priečku z vozidla bez nutnosti prestavby vozidla, a teda jednoduchým fyzickým odmontovaním. Týmto postupom teda vozidlo zostane v pôvodnej kategórii, nakoľko nebude prestavané, len nebude musieť mať nainštalovanú deliacu priečku. </w:t>
      </w:r>
    </w:p>
    <w:p w:rsidR="00390F8A" w:rsidP="00390F8A">
      <w:pPr>
        <w:bidi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Týmto ustanovením však zároveň nie je dotknutá povinnosť podľa § 3 ods. 6 vyhlášky Ministerstva dopravy, pôšt a telekomunikácií Slovenskej republiky č. 464/2009 Z. z., ktorou sa ustanovujú podrobnosti o prevádzke vozidiel v premávke na pozemných komunikáciách v znení neskorších predpisov, ktorá ustanovuje, že v</w:t>
      </w:r>
      <w:r w:rsidRPr="00DD26B5">
        <w:rPr>
          <w:rFonts w:ascii="Times New Roman" w:hAnsi="Times New Roman"/>
        </w:rPr>
        <w:t>ozidlo kategórie N s nedelenou skriňovou karosériou pri preprave nákladu, ktorý by počas prevádzky vozidla v cestnej premávke mohol ohroziť vodiča alebo prepravovaných cestujúcich, musí byť za posledným radom sedadiel vybavené priečkovým systémom</w:t>
      </w:r>
      <w:r>
        <w:rPr>
          <w:rFonts w:ascii="Times New Roman" w:hAnsi="Times New Roman"/>
        </w:rPr>
        <w:t>. Uvedené ustanovenie stanovuje povinnosť mať priečkový systém namontovaný pri preprave nákladu, ktorý by mohol ohroziť vodiča alebo cestujúcich.</w:t>
      </w:r>
    </w:p>
    <w:p w:rsidR="00390F8A" w:rsidP="00390F8A">
      <w:pPr>
        <w:bidi w:val="0"/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Navrhovanou zmenou zákona sa teda umožní odstrániť priečkový systém najmä tým prevádzkovateľom vozidiel, ktorý náklad, potencionálne ohrozujúci vodiča alebo cestujúcich, neprevážajú. </w:t>
      </w:r>
    </w:p>
    <w:p w:rsidR="00390F8A" w:rsidRPr="00A8345B" w:rsidP="00390F8A">
      <w:pPr>
        <w:bidi w:val="0"/>
        <w:spacing w:before="120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Taktiež sa stanovuje, pri ktorých vozidlách sa deliaca priečka môže z vozidla odstrániť. Ide iba o vozidlá kategórie N</w:t>
      </w:r>
      <w:r w:rsidRPr="003A41CF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(nákladné), ktoré sú odvodené od vozidiel kategórie M</w:t>
      </w:r>
      <w:r w:rsidRPr="003A41CF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(osobné). U vozidiel klasických dodávkových určených prevažne na prepravu nákladu (Peugeot Boxer, Citroen Jumper, Mercedes Sprinter a pod.), táto deliaca priečka z vozidla nemôže byť demontované, pretože by sa ohrozil všeobecný záujem pri bezpečnosti cestnej premávky pri preprave nákladu.</w:t>
      </w: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  <w:b/>
        </w:rPr>
        <w:t>K Čl. II.</w:t>
      </w:r>
      <w:r w:rsidRPr="00D76C72">
        <w:rPr>
          <w:rFonts w:ascii="Times New Roman" w:hAnsi="Times New Roman"/>
        </w:rPr>
        <w:t xml:space="preserve"> </w:t>
      </w:r>
    </w:p>
    <w:p w:rsidR="00390F8A" w:rsidRPr="00D76C72" w:rsidP="00390F8A">
      <w:pPr>
        <w:bidi w:val="0"/>
        <w:jc w:val="both"/>
        <w:rPr>
          <w:rFonts w:ascii="Times New Roman" w:hAnsi="Times New Roman"/>
          <w:b/>
        </w:rPr>
      </w:pPr>
    </w:p>
    <w:p w:rsidR="00390F8A" w:rsidRPr="00D76C72" w:rsidP="00390F8A">
      <w:pPr>
        <w:bidi w:val="0"/>
        <w:jc w:val="both"/>
        <w:rPr>
          <w:rFonts w:ascii="Times New Roman" w:hAnsi="Times New Roman"/>
        </w:rPr>
      </w:pPr>
      <w:r w:rsidRPr="00D76C72">
        <w:rPr>
          <w:rFonts w:ascii="Times New Roman" w:hAnsi="Times New Roman"/>
          <w:bCs/>
        </w:rPr>
        <w:t xml:space="preserve">     Navrhuje sa, aby tento zákon nadobudol účinnosť od 1. júla 2011. </w:t>
      </w:r>
    </w:p>
    <w:p w:rsidR="00390F8A" w:rsidRPr="00D76C72" w:rsidP="00390F8A">
      <w:pPr>
        <w:bidi w:val="0"/>
        <w:jc w:val="both"/>
        <w:rPr>
          <w:rFonts w:ascii="Times New Roman" w:hAnsi="Times New Roman"/>
          <w:b/>
        </w:rPr>
      </w:pPr>
    </w:p>
    <w:p w:rsidR="001A2114">
      <w:pPr>
        <w:bidi w:val="0"/>
        <w:rPr>
          <w:rFonts w:ascii="Times New Roman" w:hAnsi="Times New Roman"/>
        </w:rPr>
      </w:pPr>
    </w:p>
    <w:sectPr w:rsidSect="001A211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7D41FB2"/>
    <w:multiLevelType w:val="hybridMultilevel"/>
    <w:tmpl w:val="7DC44D7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90F8A"/>
    <w:rsid w:val="001A2114"/>
    <w:rsid w:val="00390F8A"/>
    <w:rsid w:val="003A41CF"/>
    <w:rsid w:val="00617FDF"/>
    <w:rsid w:val="00A8345B"/>
    <w:rsid w:val="00D76C72"/>
    <w:rsid w:val="00DD26B5"/>
    <w:rsid w:val="00EE77E6"/>
    <w:rsid w:val="00EF6DC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8A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90F8A"/>
    <w:pPr>
      <w:spacing w:before="280" w:after="280"/>
      <w:jc w:val="left"/>
    </w:pPr>
  </w:style>
  <w:style w:type="character" w:customStyle="1" w:styleId="bbtext">
    <w:name w:val="bbtext"/>
    <w:basedOn w:val="DefaultParagraphFont"/>
    <w:rsid w:val="00390F8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857</Words>
  <Characters>4891</Characters>
  <Application>Microsoft Office Word</Application>
  <DocSecurity>0</DocSecurity>
  <Lines>0</Lines>
  <Paragraphs>0</Paragraphs>
  <ScaleCrop>false</ScaleCrop>
  <Company>Kancelaria NR SR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Ludovit_Jurcik</dc:creator>
  <cp:lastModifiedBy>GaspJarm</cp:lastModifiedBy>
  <cp:revision>2</cp:revision>
  <dcterms:created xsi:type="dcterms:W3CDTF">2011-03-03T14:43:00Z</dcterms:created>
  <dcterms:modified xsi:type="dcterms:W3CDTF">2011-03-03T14:43:00Z</dcterms:modified>
</cp:coreProperties>
</file>