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663F1" w:rsidP="000663F1">
      <w:pPr>
        <w:pStyle w:val="Heading1"/>
        <w:bidi w:val="0"/>
        <w:spacing w:line="360" w:lineRule="auto"/>
        <w:rPr>
          <w:rFonts w:ascii="Times New Roman" w:hAnsi="Times New Roman"/>
        </w:rPr>
      </w:pPr>
      <w:r>
        <w:rPr>
          <w:rFonts w:ascii="Times New Roman" w:hAnsi="Times New Roman"/>
        </w:rPr>
        <w:t>Osobitná časť</w:t>
      </w:r>
    </w:p>
    <w:p w:rsidR="000663F1" w:rsidP="000663F1">
      <w:pPr>
        <w:bidi w:val="0"/>
        <w:spacing w:line="360" w:lineRule="auto"/>
        <w:rPr>
          <w:rFonts w:ascii="Times New Roman" w:hAnsi="Times New Roman"/>
          <w:b/>
          <w:bCs/>
        </w:rPr>
      </w:pPr>
    </w:p>
    <w:p w:rsidR="000663F1" w:rsidP="000663F1">
      <w:pPr>
        <w:bidi w:val="0"/>
        <w:spacing w:line="360" w:lineRule="auto"/>
        <w:rPr>
          <w:rFonts w:ascii="Times New Roman" w:hAnsi="Times New Roman"/>
        </w:rPr>
      </w:pPr>
      <w:r>
        <w:rPr>
          <w:rFonts w:ascii="Times New Roman" w:hAnsi="Times New Roman"/>
        </w:rPr>
        <w:t>K čl. 1</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1</w:t>
      </w:r>
    </w:p>
    <w:p w:rsidR="000663F1" w:rsidRPr="001B74F1" w:rsidP="000663F1">
      <w:pPr>
        <w:bidi w:val="0"/>
        <w:spacing w:line="360" w:lineRule="auto"/>
        <w:ind w:firstLine="540"/>
        <w:jc w:val="both"/>
        <w:rPr>
          <w:rFonts w:ascii="Times New Roman" w:hAnsi="Times New Roman"/>
        </w:rPr>
      </w:pPr>
      <w:r>
        <w:rPr>
          <w:rFonts w:ascii="Times New Roman" w:hAnsi="Times New Roman"/>
        </w:rPr>
        <w:t xml:space="preserve">Navrhuje sa doplniť charakteristiku pojmu výdaj o podanie lieku zvieraťu pri </w:t>
      </w:r>
      <w:r w:rsidRPr="001B74F1">
        <w:rPr>
          <w:rFonts w:ascii="Times New Roman" w:hAnsi="Times New Roman"/>
        </w:rPr>
        <w:t>poskytovaní odborných veterinárnych činností</w:t>
      </w:r>
      <w:r>
        <w:rPr>
          <w:rFonts w:ascii="Times New Roman" w:hAnsi="Times New Roman"/>
        </w:rPr>
        <w:t xml:space="preserve"> podľa </w:t>
      </w:r>
      <w:r w:rsidRPr="0001535C">
        <w:rPr>
          <w:rFonts w:ascii="Times New Roman" w:hAnsi="Times New Roman"/>
        </w:rPr>
        <w:t>§ 10 zákona č. 39/2007 Z. z. o veterinárnej starostlivosti v znení neskorších predpisov</w:t>
      </w:r>
      <w:r>
        <w:rPr>
          <w:rFonts w:ascii="Times New Roman" w:hAnsi="Times New Roman"/>
        </w:rPr>
        <w:t>.</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2</w:t>
      </w:r>
    </w:p>
    <w:p w:rsidR="000663F1" w:rsidP="000663F1">
      <w:pPr>
        <w:bidi w:val="0"/>
        <w:spacing w:line="360" w:lineRule="auto"/>
        <w:ind w:firstLine="540"/>
        <w:jc w:val="both"/>
        <w:rPr>
          <w:rFonts w:ascii="Times New Roman" w:hAnsi="Times New Roman"/>
        </w:rPr>
      </w:pPr>
      <w:r>
        <w:rPr>
          <w:rFonts w:ascii="Times New Roman" w:hAnsi="Times New Roman"/>
        </w:rPr>
        <w:t xml:space="preserve">Na účely vydania povolenia  na výdaj veterinárnych liekov s obsahom omamných a psychotropných látok veterinárnym lekárom, ktorí poskytujú odborné veterinárne činnosti  sa vyžaduje, aby žiadateľ o vydanie povolenia predložil kópiu povolenia na </w:t>
      </w:r>
      <w:r w:rsidRPr="00F4775B">
        <w:rPr>
          <w:rFonts w:ascii="Times New Roman" w:hAnsi="Times New Roman"/>
        </w:rPr>
        <w:t>poskytovanie odborných veterinárnych činností</w:t>
      </w:r>
      <w:r>
        <w:rPr>
          <w:rFonts w:ascii="Times New Roman" w:hAnsi="Times New Roman"/>
        </w:rPr>
        <w:t>, ktoré sa vydáva podľa zákona o veterinárnej starostlivosti.</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3</w:t>
      </w:r>
    </w:p>
    <w:p w:rsidR="000663F1" w:rsidP="000663F1">
      <w:pPr>
        <w:bidi w:val="0"/>
        <w:spacing w:line="360" w:lineRule="auto"/>
        <w:ind w:firstLine="540"/>
        <w:jc w:val="both"/>
        <w:rPr>
          <w:rFonts w:ascii="Times New Roman" w:hAnsi="Times New Roman"/>
        </w:rPr>
      </w:pPr>
      <w:r>
        <w:rPr>
          <w:rFonts w:ascii="Times New Roman" w:hAnsi="Times New Roman"/>
        </w:rPr>
        <w:t xml:space="preserve">Navrhuje sa doplniť  v prílohe č. 1 zákona medzi psychotropné látky I. skupiny butylón. Táto psychoaktívna látka má podobné účinky ako látka </w:t>
      </w:r>
      <w:r w:rsidRPr="000E509C">
        <w:rPr>
          <w:rFonts w:ascii="Times New Roman" w:hAnsi="Times New Roman"/>
        </w:rPr>
        <w:t>3,4-Metyléndioxymetamfetamín, MDMA, chemicky N-metyl-1-(3,4- -metyléndioxyfenyl)propán-2-amín</w:t>
      </w:r>
      <w:r>
        <w:rPr>
          <w:rFonts w:ascii="Times New Roman" w:hAnsi="Times New Roman"/>
        </w:rPr>
        <w:t>, ktorá už je zaradená do prílohy č. 1 zákona. Butylón je zaradený medzi kontrolované látky v Spojenom kráľovstve.</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4</w:t>
      </w:r>
    </w:p>
    <w:p w:rsidR="000663F1" w:rsidRPr="009B5D10" w:rsidP="000663F1">
      <w:pPr>
        <w:bidi w:val="0"/>
        <w:spacing w:line="360" w:lineRule="auto"/>
        <w:ind w:firstLine="540"/>
        <w:jc w:val="both"/>
        <w:rPr>
          <w:rFonts w:ascii="Times New Roman" w:hAnsi="Times New Roman"/>
        </w:rPr>
      </w:pPr>
      <w:r>
        <w:rPr>
          <w:rFonts w:ascii="Times New Roman" w:hAnsi="Times New Roman"/>
        </w:rPr>
        <w:t xml:space="preserve">Navrhuje sa doplniť  v prílohe č. 1 zákona medzi psychotropné látky I. skupiny päť psychotropných látok: </w:t>
      </w:r>
      <w:r w:rsidRPr="009B5D10">
        <w:rPr>
          <w:rFonts w:ascii="Times New Roman" w:hAnsi="Times New Roman"/>
          <w:bCs/>
        </w:rPr>
        <w:t>CP47, 497 (C8),</w:t>
      </w:r>
      <w:r>
        <w:rPr>
          <w:rFonts w:ascii="Times New Roman" w:hAnsi="Times New Roman"/>
          <w:bCs/>
        </w:rPr>
        <w:t xml:space="preserve"> </w:t>
      </w:r>
      <w:r w:rsidRPr="009B5D10">
        <w:rPr>
          <w:rFonts w:ascii="Times New Roman" w:hAnsi="Times New Roman"/>
          <w:bCs/>
        </w:rPr>
        <w:t>CP47, 497, CP 55,244, CP 50,556-</w:t>
      </w:r>
      <w:smartTag w:uri="urn:schemas-microsoft-com:office:smarttags" w:element="metricconverter">
        <w:smartTagPr>
          <w:attr w:name="ProductID" w:val="1 a"/>
        </w:smartTagPr>
        <w:r w:rsidRPr="009B5D10">
          <w:rPr>
            <w:rFonts w:ascii="Times New Roman" w:hAnsi="Times New Roman"/>
            <w:bCs/>
          </w:rPr>
          <w:t>1 a</w:t>
        </w:r>
      </w:smartTag>
      <w:r w:rsidRPr="009B5D10">
        <w:rPr>
          <w:rFonts w:ascii="Times New Roman" w:hAnsi="Times New Roman"/>
          <w:bCs/>
        </w:rPr>
        <w:t xml:space="preserve"> CP 55,940</w:t>
      </w:r>
      <w:r>
        <w:rPr>
          <w:rFonts w:ascii="Times New Roman" w:hAnsi="Times New Roman"/>
          <w:bCs/>
        </w:rPr>
        <w:t xml:space="preserve">. Látky </w:t>
      </w:r>
      <w:r w:rsidRPr="009B5D10">
        <w:rPr>
          <w:rFonts w:ascii="Times New Roman" w:hAnsi="Times New Roman"/>
          <w:bCs/>
        </w:rPr>
        <w:t>CP47, 497 (C8)</w:t>
      </w:r>
      <w:r>
        <w:rPr>
          <w:rFonts w:ascii="Times New Roman" w:hAnsi="Times New Roman"/>
          <w:bCs/>
        </w:rPr>
        <w:t xml:space="preserve"> a </w:t>
      </w:r>
      <w:r w:rsidRPr="009B5D10">
        <w:rPr>
          <w:rFonts w:ascii="Times New Roman" w:hAnsi="Times New Roman"/>
          <w:bCs/>
        </w:rPr>
        <w:t>CP47, 497</w:t>
      </w:r>
      <w:r>
        <w:rPr>
          <w:rFonts w:ascii="Times New Roman" w:hAnsi="Times New Roman"/>
          <w:bCs/>
        </w:rPr>
        <w:t xml:space="preserve"> sú zaradené medzi kontrolované látky vo Francúzsku, Nemecku a v Spojenom Kráľovstve. Látka </w:t>
      </w:r>
      <w:r w:rsidRPr="009B5D10">
        <w:rPr>
          <w:rFonts w:ascii="Times New Roman" w:hAnsi="Times New Roman"/>
          <w:bCs/>
        </w:rPr>
        <w:t>CP47, 497 (C8)</w:t>
      </w:r>
      <w:r>
        <w:rPr>
          <w:rFonts w:ascii="Times New Roman" w:hAnsi="Times New Roman"/>
          <w:bCs/>
        </w:rPr>
        <w:t xml:space="preserve"> je od 12.1.2010 zakázaná aj v USA. Ostatné tri látky </w:t>
      </w:r>
      <w:r w:rsidRPr="009B5D10">
        <w:rPr>
          <w:rFonts w:ascii="Times New Roman" w:hAnsi="Times New Roman"/>
          <w:bCs/>
        </w:rPr>
        <w:t>CP 55,244, CP 50,556-</w:t>
      </w:r>
      <w:smartTag w:uri="urn:schemas-microsoft-com:office:smarttags" w:element="metricconverter">
        <w:smartTagPr>
          <w:attr w:name="ProductID" w:val="1 a"/>
        </w:smartTagPr>
        <w:r w:rsidRPr="009B5D10">
          <w:rPr>
            <w:rFonts w:ascii="Times New Roman" w:hAnsi="Times New Roman"/>
            <w:bCs/>
          </w:rPr>
          <w:t>1 a</w:t>
        </w:r>
      </w:smartTag>
      <w:r w:rsidRPr="009B5D10">
        <w:rPr>
          <w:rFonts w:ascii="Times New Roman" w:hAnsi="Times New Roman"/>
          <w:bCs/>
        </w:rPr>
        <w:t xml:space="preserve"> CP 55,940</w:t>
      </w:r>
      <w:r>
        <w:rPr>
          <w:rFonts w:ascii="Times New Roman" w:hAnsi="Times New Roman"/>
          <w:bCs/>
        </w:rPr>
        <w:t xml:space="preserve"> majú príbuznú chemickú štruktúru a preukázaný agonistický účinok na kanabinoidné receptory, preto sú rovnako navrhnuté na zaradenie medzi kontrolované látky. </w:t>
      </w:r>
      <w:r>
        <w:rPr>
          <w:rFonts w:ascii="Times New Roman" w:hAnsi="Times New Roman"/>
        </w:rPr>
        <w:t xml:space="preserve">. Generálny sekretariát Výboru ministrov pre drogové závislosti a kontrolu drog  Úradu vlády Slovenskej republiky dal podnet na zaradenie psychoaktívnych  látok </w:t>
      </w:r>
      <w:r w:rsidRPr="009B5D10">
        <w:rPr>
          <w:rFonts w:ascii="Times New Roman" w:hAnsi="Times New Roman"/>
          <w:bCs/>
        </w:rPr>
        <w:t>CP47, 497 (C8)</w:t>
      </w:r>
      <w:r>
        <w:rPr>
          <w:rFonts w:ascii="Times New Roman" w:hAnsi="Times New Roman"/>
          <w:bCs/>
        </w:rPr>
        <w:t xml:space="preserve"> a </w:t>
      </w:r>
      <w:r w:rsidRPr="009B5D10">
        <w:rPr>
          <w:rFonts w:ascii="Times New Roman" w:hAnsi="Times New Roman"/>
          <w:bCs/>
        </w:rPr>
        <w:t>CP47, 497</w:t>
      </w:r>
      <w:r>
        <w:rPr>
          <w:rFonts w:ascii="Times New Roman" w:hAnsi="Times New Roman"/>
          <w:bCs/>
        </w:rPr>
        <w:t>.</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5</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psychotropné látky I. skupiny tri psychotropné látky: HHC,</w:t>
      </w:r>
      <w:r w:rsidRPr="009752E6">
        <w:rPr>
          <w:rFonts w:ascii="Times New Roman" w:hAnsi="Times New Roman"/>
        </w:rPr>
        <w:t xml:space="preserve"> HU-</w:t>
      </w:r>
      <w:smartTag w:uri="urn:schemas-microsoft-com:office:smarttags" w:element="metricconverter">
        <w:smartTagPr>
          <w:attr w:name="ProductID" w:val="210 a"/>
        </w:smartTagPr>
        <w:r w:rsidRPr="009752E6">
          <w:rPr>
            <w:rFonts w:ascii="Times New Roman" w:hAnsi="Times New Roman"/>
          </w:rPr>
          <w:t>210 a</w:t>
        </w:r>
      </w:smartTag>
      <w:r w:rsidRPr="009752E6">
        <w:rPr>
          <w:rFonts w:ascii="Times New Roman" w:hAnsi="Times New Roman"/>
        </w:rPr>
        <w:t xml:space="preserve"> HU-243</w:t>
      </w:r>
      <w:r>
        <w:rPr>
          <w:rFonts w:ascii="Times New Roman" w:hAnsi="Times New Roman"/>
        </w:rPr>
        <w:t xml:space="preserve">. HHC je syntetický kanabinoid chemickou štruktúrou príbuzný látkam uvedeným v bode 3, najmä látkam </w:t>
      </w:r>
      <w:r w:rsidRPr="009B5D10">
        <w:rPr>
          <w:rFonts w:ascii="Times New Roman" w:hAnsi="Times New Roman"/>
          <w:bCs/>
        </w:rPr>
        <w:t>CP47, 497 (C8)</w:t>
      </w:r>
      <w:r>
        <w:rPr>
          <w:rFonts w:ascii="Times New Roman" w:hAnsi="Times New Roman"/>
          <w:bCs/>
        </w:rPr>
        <w:t xml:space="preserve"> a </w:t>
      </w:r>
      <w:r w:rsidRPr="009B5D10">
        <w:rPr>
          <w:rFonts w:ascii="Times New Roman" w:hAnsi="Times New Roman"/>
          <w:bCs/>
        </w:rPr>
        <w:t>CP47, 497</w:t>
      </w:r>
      <w:r>
        <w:rPr>
          <w:rFonts w:ascii="Times New Roman" w:hAnsi="Times New Roman"/>
          <w:bCs/>
        </w:rPr>
        <w:t xml:space="preserve">. Je častou súčasťou výrobkov Spice. Ďalšie dve látky </w:t>
      </w:r>
      <w:r w:rsidRPr="009752E6">
        <w:rPr>
          <w:rFonts w:ascii="Times New Roman" w:hAnsi="Times New Roman"/>
        </w:rPr>
        <w:t>HU-</w:t>
      </w:r>
      <w:smartTag w:uri="urn:schemas-microsoft-com:office:smarttags" w:element="metricconverter">
        <w:smartTagPr>
          <w:attr w:name="ProductID" w:val="210 a"/>
        </w:smartTagPr>
        <w:r w:rsidRPr="009752E6">
          <w:rPr>
            <w:rFonts w:ascii="Times New Roman" w:hAnsi="Times New Roman"/>
          </w:rPr>
          <w:t>210 a</w:t>
        </w:r>
      </w:smartTag>
      <w:r w:rsidRPr="009752E6">
        <w:rPr>
          <w:rFonts w:ascii="Times New Roman" w:hAnsi="Times New Roman"/>
        </w:rPr>
        <w:t xml:space="preserve"> HU-243</w:t>
      </w:r>
      <w:r>
        <w:rPr>
          <w:rFonts w:ascii="Times New Roman" w:hAnsi="Times New Roman"/>
        </w:rPr>
        <w:t xml:space="preserve"> nesú pomenovanie po Hebrónskej Univerzite, na ktorej ich prvýkrát syntetizoval profesor Raphael Mechoulam. Látky HU-</w:t>
      </w:r>
      <w:smartTag w:uri="urn:schemas-microsoft-com:office:smarttags" w:element="metricconverter">
        <w:smartTagPr>
          <w:attr w:name="ProductID" w:val="210 a"/>
        </w:smartTagPr>
        <w:r>
          <w:rPr>
            <w:rFonts w:ascii="Times New Roman" w:hAnsi="Times New Roman"/>
          </w:rPr>
          <w:t>210 a</w:t>
        </w:r>
      </w:smartTag>
      <w:r>
        <w:rPr>
          <w:rFonts w:ascii="Times New Roman" w:hAnsi="Times New Roman"/>
        </w:rPr>
        <w:t xml:space="preserve"> HU-234 sú zakázané vo viacerých štátoch sveta vrátane USA. Generálny sekretariát Výboru ministrov pre drogové závislosti a kontrolu drog  Úradu vlády Slovenskej republiky dal podnet na zaradenie psychoaktívnej látky HU-210.</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6</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psychotropné látky I. skupiny 25 psychotropných látok označených ako JWH. Toto označenie je po ich objaviteľovi Johnovi.W. Huffmanovi. Ide o syntetické kanabinoidy naftoylindolového typu. Všetkých 25 látok vykazuje výrazné agonistické účinky na kanabioidné receptory CB</w:t>
      </w:r>
      <w:r>
        <w:rPr>
          <w:rFonts w:ascii="Times New Roman" w:hAnsi="Times New Roman"/>
          <w:vertAlign w:val="subscript"/>
        </w:rPr>
        <w:t xml:space="preserve">1  </w:t>
      </w:r>
      <w:r>
        <w:rPr>
          <w:rFonts w:ascii="Times New Roman" w:hAnsi="Times New Roman"/>
        </w:rPr>
        <w:t>a CB</w:t>
      </w:r>
      <w:r>
        <w:rPr>
          <w:rFonts w:ascii="Times New Roman" w:hAnsi="Times New Roman"/>
          <w:vertAlign w:val="subscript"/>
        </w:rPr>
        <w:t>2</w:t>
      </w:r>
      <w:r>
        <w:rPr>
          <w:rFonts w:ascii="Times New Roman" w:hAnsi="Times New Roman"/>
        </w:rPr>
        <w:t xml:space="preserve"> a nachádzajú sa vo výrobkoch Spice. Generálny sekretariát Výboru ministrov pre drogové závislosti a kontrolu drog  Úradu vlády Slovenskej republiky dal podnet na zaradenie psychoaktívnych látok  JWH-018, JWH-073, JWH-122, JWH-200, JWH-250 a JWH-398. </w:t>
      </w:r>
    </w:p>
    <w:p w:rsidR="000663F1" w:rsidRPr="00087B9B" w:rsidP="000663F1">
      <w:pPr>
        <w:bidi w:val="0"/>
        <w:spacing w:line="360" w:lineRule="auto"/>
        <w:ind w:firstLine="540"/>
        <w:jc w:val="both"/>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7</w:t>
      </w:r>
    </w:p>
    <w:p w:rsidR="000663F1" w:rsidP="000663F1">
      <w:pPr>
        <w:bidi w:val="0"/>
        <w:spacing w:before="75" w:after="75" w:line="360" w:lineRule="auto"/>
        <w:ind w:right="225" w:firstLine="540"/>
        <w:jc w:val="both"/>
        <w:rPr>
          <w:rFonts w:ascii="Times New Roman" w:hAnsi="Times New Roman"/>
        </w:rPr>
      </w:pPr>
      <w:r>
        <w:rPr>
          <w:rFonts w:ascii="Times New Roman" w:hAnsi="Times New Roman"/>
        </w:rPr>
        <w:t xml:space="preserve">Na základe je rozhodnutia Rady č. 2010/759/EÚ z 2. decembra 2010 o vystavení 4-metylmetkatinónu (mefedrónu) kontrolným opatreniam sa navrhuje doplniť  v prílohe č. 1 zákona medzi psychotropné látky I. skupiny mefedrón. </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Mefedrón je syntetický kathinón, ktorý sa legálne vyrába a distribuuje najmä v Ázii, pričom jeho konečné balenie pravdepodobne prebieha v Európe. Mefedrón sa väčšinou predáva ako prášok, ale takisto aj vo forme kapsúl alebo tabliet. Je možné ho kúpiť na internete, v tzv. "head shopoch" alebo od dílerov na ulici. Na internete sa mefedrón často predáva ako "hnojivo", "soľ do kúpeľa" alebo "chemikália na výskumné účely". Len veľmi zriedka sa predáva ako "legal high", čiže dovolená psychoaktívna látka, pričom obvykle nie je uvedená žiadna zmienka ani konkrétne informácie o jej potenciálnych psychoaktívnych účinkoch.</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Špecifické účinky mefedrónu sa ťažko hodnotia, pretože mefedrón sa primárne užíva v kombinácii s takými látkami, ako je alkohol alebo iné stimulujúce látky. Predpokladá sa, že mefedrón má podobné fyzikálne účinky ako ostatné stimulujúce drogy, predovšetkým extáza (MDMA). Jeho relatívne krátky účinok, čo vedie k opakovaniu jeho prijímania, je však viac analogický kokaínu. Z niektorých dôkazov vyplýva, že sa môže využívať ako alternatíva nezákonných stimulujúcich látok, že existuje vysoké riziko jeho zneužívania a že má potenciál viesť k závislosti. Na preskúmanie potenciálu tejto drogy, pokiaľ ide o spôsobovanie závislosti, by boli potrebné hlbšie štúdie.</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V</w:t>
      </w:r>
      <w:r>
        <w:rPr>
          <w:rFonts w:ascii="Times New Roman" w:hAnsi="Times New Roman"/>
        </w:rPr>
        <w:t> Európskej ú</w:t>
      </w:r>
      <w:r w:rsidRPr="003D0C56">
        <w:rPr>
          <w:rFonts w:ascii="Times New Roman" w:hAnsi="Times New Roman"/>
        </w:rPr>
        <w:t>nii boli zaznamenané dve úmrtia, v prípade ktorých bol mefedrón pravdepodobne jedinou príčinou smrti. Okrem toho došlo k najmenej 37 úmrtiam, v prípade ktorých bola prítomnosť mefedrónu zistená v odberoch uskutočnených post mortem.</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Zadržanie mefedrónu vo forme prášku alebo tabliet nahlásilo 22 členských štátov</w:t>
      </w:r>
      <w:r>
        <w:rPr>
          <w:rFonts w:ascii="Times New Roman" w:hAnsi="Times New Roman"/>
        </w:rPr>
        <w:t xml:space="preserve"> EÚ.</w:t>
      </w:r>
      <w:r w:rsidRPr="003D0C56">
        <w:rPr>
          <w:rFonts w:ascii="Times New Roman" w:hAnsi="Times New Roman"/>
        </w:rPr>
        <w:t xml:space="preserve"> K dispozícii je málo informácii o spracúvaní alebo distribúcii mefedrónu vo veľkom meradle alebo o zapojení organizovaného zločinu. Z niektorých dôkazov vyplýva, že ak bol mefedrón vystavený kontrole, je k dispozícii ďalej na nelegálnom trhu.</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Mefedrón nemá preukázanú ani uznávanú liečebnú hodnotu ani využitie v</w:t>
      </w:r>
      <w:r>
        <w:rPr>
          <w:rFonts w:ascii="Times New Roman" w:hAnsi="Times New Roman"/>
        </w:rPr>
        <w:t> Európskej ú</w:t>
      </w:r>
      <w:r w:rsidRPr="003D0C56">
        <w:rPr>
          <w:rFonts w:ascii="Times New Roman" w:hAnsi="Times New Roman"/>
        </w:rPr>
        <w:t>nii a nič nenasvedčuje tomu, že by sa dal použiť na akékoľvek iné zákonné účely</w:t>
      </w:r>
      <w:r>
        <w:rPr>
          <w:rFonts w:ascii="Times New Roman" w:hAnsi="Times New Roman"/>
        </w:rPr>
        <w:t>, preto sa navrhuje zaradiť do I. skupiny psychotropných látok.</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 xml:space="preserve">Mefedrón v súčasnosti nie je predmetom hodnotenia v rámci systému OSN, ani ním nebol. Jedenásť členských štátov </w:t>
      </w:r>
      <w:r>
        <w:rPr>
          <w:rFonts w:ascii="Times New Roman" w:hAnsi="Times New Roman"/>
        </w:rPr>
        <w:t xml:space="preserve">EÚ </w:t>
      </w:r>
      <w:r w:rsidRPr="003D0C56">
        <w:rPr>
          <w:rFonts w:ascii="Times New Roman" w:hAnsi="Times New Roman"/>
        </w:rPr>
        <w:t>vystavilo mefedrón kontrolným opatreniam stanoveným v ich príslušných právnych predpisoch v súlade so záväzkami vyplývajúcimi z Dohovoru Organizácie Spojených národov o psychotropných látkach z roku 1971. Dva členské štáty uplatňujú kontrolné opatrenia vo vzťahu k mefedrónu na základe svojich právnych predpisov o liekoch.</w:t>
      </w:r>
    </w:p>
    <w:p w:rsidR="000663F1" w:rsidP="000663F1">
      <w:pPr>
        <w:bidi w:val="0"/>
        <w:spacing w:before="75" w:after="75" w:line="360" w:lineRule="auto"/>
        <w:ind w:right="225" w:firstLine="540"/>
        <w:jc w:val="both"/>
        <w:rPr>
          <w:rFonts w:ascii="Times New Roman" w:hAnsi="Times New Roman"/>
        </w:rPr>
      </w:pPr>
      <w:r w:rsidRPr="003D0C56">
        <w:rPr>
          <w:rFonts w:ascii="Times New Roman" w:hAnsi="Times New Roman"/>
        </w:rPr>
        <w:t>Hodnotenie rizika poukázalo na obmedzené množstvo vedeckých dôkazov, pričom z neho vyplynula potreba uskutočniť ďalšie štúdie celkových zdravotných a sociálnych rizík mefedrónu. Z dôvodu jeho stimulujúcich vlastností, spôsobilosti vyvolať u užívateľov závislosť, potenciálnej atraktivity, rizika pre zdravie, neexistencie prínosov z liečebného hľadiska, v dôsledku ktorých je nutné uplatniť obozretný prístup, by sa mefedrón mal vystaviť kontrolným opatreniam.</w:t>
      </w:r>
    </w:p>
    <w:p w:rsidR="000663F1" w:rsidRPr="003D0C56" w:rsidP="000663F1">
      <w:pPr>
        <w:bidi w:val="0"/>
        <w:spacing w:before="75" w:after="75" w:line="360" w:lineRule="auto"/>
        <w:ind w:right="225" w:firstLine="540"/>
        <w:jc w:val="both"/>
        <w:rPr>
          <w:rFonts w:ascii="Times New Roman" w:hAnsi="Times New Roman"/>
        </w:rPr>
      </w:pPr>
      <w:r w:rsidRPr="003D0C56">
        <w:rPr>
          <w:rFonts w:ascii="Times New Roman" w:hAnsi="Times New Roman"/>
        </w:rPr>
        <w:t>Keďže mefedrón vystavilo kontrole už 11 členských štátov</w:t>
      </w:r>
      <w:r>
        <w:rPr>
          <w:rFonts w:ascii="Times New Roman" w:hAnsi="Times New Roman"/>
        </w:rPr>
        <w:t xml:space="preserve"> EÚ</w:t>
      </w:r>
      <w:r w:rsidRPr="003D0C56">
        <w:rPr>
          <w:rFonts w:ascii="Times New Roman" w:hAnsi="Times New Roman"/>
        </w:rPr>
        <w:t xml:space="preserve">, jeho vystavenie kontrole v rámci </w:t>
      </w:r>
      <w:r>
        <w:rPr>
          <w:rFonts w:ascii="Times New Roman" w:hAnsi="Times New Roman"/>
        </w:rPr>
        <w:t>Európskej ú</w:t>
      </w:r>
      <w:r w:rsidRPr="003D0C56">
        <w:rPr>
          <w:rFonts w:ascii="Times New Roman" w:hAnsi="Times New Roman"/>
        </w:rPr>
        <w:t>nie by mohlo napomôcť predísť problémom v rámci cezhraničného presadzovania práva a justičnej spolupráce,</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8</w:t>
      </w:r>
    </w:p>
    <w:p w:rsidR="000663F1" w:rsidP="000663F1">
      <w:pPr>
        <w:bidi w:val="0"/>
        <w:spacing w:line="360" w:lineRule="auto"/>
        <w:ind w:firstLine="540"/>
        <w:jc w:val="both"/>
        <w:rPr>
          <w:rFonts w:ascii="Times New Roman" w:hAnsi="Times New Roman"/>
        </w:rPr>
      </w:pPr>
      <w:r>
        <w:rPr>
          <w:rFonts w:ascii="Times New Roman" w:hAnsi="Times New Roman"/>
        </w:rPr>
        <w:t xml:space="preserve">Navrhuje sa doplniť  v prílohe č. 1 zákona medzi psychotropné látky I. skupiny </w:t>
      </w:r>
      <w:r w:rsidRPr="007F44DD">
        <w:rPr>
          <w:rFonts w:ascii="Times New Roman" w:hAnsi="Times New Roman"/>
          <w:bCs/>
        </w:rPr>
        <w:t>Metylbenzodioxolylbutánamín, MBDB</w:t>
      </w:r>
      <w:r>
        <w:rPr>
          <w:rFonts w:ascii="Times New Roman" w:hAnsi="Times New Roman"/>
        </w:rPr>
        <w:t xml:space="preserve">. Táto psychoaktívna látka má podobné účinky ako látka </w:t>
      </w:r>
      <w:r w:rsidRPr="000E509C">
        <w:rPr>
          <w:rFonts w:ascii="Times New Roman" w:hAnsi="Times New Roman"/>
        </w:rPr>
        <w:t>3,4-Metyléndioxymetamfetamín, MDMA, chemicky N-metyl-1-(3,4- -metyléndioxyfenyl)propán-2-amín</w:t>
      </w:r>
      <w:r>
        <w:rPr>
          <w:rFonts w:ascii="Times New Roman" w:hAnsi="Times New Roman"/>
        </w:rPr>
        <w:t xml:space="preserve">, ktorá už je zaradená do prílohy č. 1 zákona. Vzhľadom na úzku chemickú štruktúru a farmakologicky podobné účinky ako </w:t>
      </w:r>
      <w:r w:rsidRPr="000E509C">
        <w:rPr>
          <w:rFonts w:ascii="Times New Roman" w:hAnsi="Times New Roman"/>
        </w:rPr>
        <w:t>3,4-Metyléndioxymetamfetamín, MDMA</w:t>
      </w:r>
      <w:r>
        <w:rPr>
          <w:rFonts w:ascii="Times New Roman" w:hAnsi="Times New Roman"/>
        </w:rPr>
        <w:t xml:space="preserve"> sa navrhuje </w:t>
      </w:r>
      <w:r w:rsidRPr="007F44DD">
        <w:rPr>
          <w:rFonts w:ascii="Times New Roman" w:hAnsi="Times New Roman"/>
          <w:bCs/>
        </w:rPr>
        <w:t>Metylbenzodioxolylbutánamín, MBDB</w:t>
      </w:r>
      <w:r>
        <w:rPr>
          <w:rFonts w:ascii="Times New Roman" w:hAnsi="Times New Roman"/>
          <w:bCs/>
        </w:rPr>
        <w:t xml:space="preserve"> </w:t>
      </w:r>
      <w:r>
        <w:rPr>
          <w:rFonts w:ascii="Times New Roman" w:hAnsi="Times New Roman"/>
        </w:rPr>
        <w:t>zaradiť medzi kontrolované látky aj u nás. Generálny sekretariát Výboru ministrov pre drogové závislosti a kontrolu drog  Úradu vlády Slovenskej republiky dal podnet na zaradenie tejto látky do prílohy č. 1 zákona.</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9</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psychotropné látky I. skupiny dve psychotropné látky:</w:t>
      </w:r>
      <w:r w:rsidRPr="00976DBB">
        <w:rPr>
          <w:rFonts w:ascii="Times New Roman" w:hAnsi="Times New Roman"/>
        </w:rPr>
        <w:t xml:space="preserve"> Metyléndioxypyrovalerón, MDPV a Metylón, bk-MDMA.</w:t>
      </w:r>
      <w:r>
        <w:rPr>
          <w:rFonts w:ascii="Times New Roman" w:hAnsi="Times New Roman"/>
        </w:rPr>
        <w:t xml:space="preserve"> Obe látky majú chemickú štruktúru a farmakologické účinky blízke látke  </w:t>
      </w:r>
      <w:r w:rsidRPr="000E509C">
        <w:rPr>
          <w:rFonts w:ascii="Times New Roman" w:hAnsi="Times New Roman"/>
        </w:rPr>
        <w:t>3,4-Metyléndioxymetamfetamín, MDMA,</w:t>
      </w:r>
      <w:r>
        <w:rPr>
          <w:rFonts w:ascii="Times New Roman" w:hAnsi="Times New Roman"/>
        </w:rPr>
        <w:t xml:space="preserve"> , ktorá už je zaradená do prílohy č. 1 zákona. Generálny sekretariát Výboru ministrov pre drogové závislosti a kontrolu drog  Úradu vlády Slovenskej republiky dal podnet na zaradenie týchto látok do prílohy č. 1 zákona.</w:t>
      </w:r>
    </w:p>
    <w:p w:rsidR="000663F1" w:rsidP="000663F1">
      <w:pPr>
        <w:bidi w:val="0"/>
        <w:spacing w:line="360" w:lineRule="auto"/>
        <w:ind w:firstLine="540"/>
        <w:jc w:val="both"/>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10</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omamné látky II. skupiny t</w:t>
      </w:r>
      <w:r w:rsidRPr="00B766F5">
        <w:rPr>
          <w:rFonts w:ascii="Times New Roman" w:hAnsi="Times New Roman"/>
          <w:bCs/>
        </w:rPr>
        <w:t>apentadol</w:t>
      </w:r>
      <w:r>
        <w:rPr>
          <w:rFonts w:ascii="Times New Roman" w:hAnsi="Times New Roman"/>
          <w:bCs/>
        </w:rPr>
        <w:t xml:space="preserve">. Ide o látku morfínového typu, ktorá má výraznú opioidnú aktivitu. Vzhľadom na to, že ide o liečivo, navrhuje sa zaradiť medzi omamné látky II. skupiny. Lieky s obsahom tapentadolu sa budú predpisovať na osobitné tlačivá lekárskych predpisov označených šikmým modrým pruhom. Podnet na zaradenie medzi kontrolované látky a odôvodnenie na zaradenie predložil výrobca tejto látky Grunenthal Gmbh, 52099 Aachen, Nemecko, v zastúpení Grunenthal Slovakia s r.o., Bajkalská 17, 821 02  Bratislava.  </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11</w:t>
      </w:r>
    </w:p>
    <w:p w:rsidR="000663F1" w:rsidP="000663F1">
      <w:pPr>
        <w:bidi w:val="0"/>
        <w:spacing w:line="360" w:lineRule="auto"/>
        <w:ind w:firstLine="540"/>
        <w:jc w:val="both"/>
        <w:rPr>
          <w:rFonts w:ascii="Times New Roman" w:hAnsi="Times New Roman"/>
          <w:bCs/>
        </w:rPr>
      </w:pPr>
      <w:r>
        <w:rPr>
          <w:rFonts w:ascii="Times New Roman" w:hAnsi="Times New Roman"/>
        </w:rPr>
        <w:t xml:space="preserve">Navrhuje sa doplniť  v prílohe č. 1 zákona medzi psychotropné látky II. skupiny </w:t>
      </w:r>
      <w:r w:rsidRPr="00BB13AE">
        <w:rPr>
          <w:rFonts w:ascii="Times New Roman" w:hAnsi="Times New Roman"/>
          <w:bCs/>
        </w:rPr>
        <w:t>4-Fluóramfetamín</w:t>
      </w:r>
      <w:r>
        <w:rPr>
          <w:rFonts w:ascii="Times New Roman" w:hAnsi="Times New Roman"/>
          <w:bCs/>
        </w:rPr>
        <w:t xml:space="preserve">. Ide o liečivo, preto sa navrhuje zaradiť medzi </w:t>
      </w:r>
      <w:r>
        <w:rPr>
          <w:rFonts w:ascii="Times New Roman" w:hAnsi="Times New Roman"/>
        </w:rPr>
        <w:t>psychotropné</w:t>
      </w:r>
      <w:r>
        <w:rPr>
          <w:rFonts w:ascii="Times New Roman" w:hAnsi="Times New Roman"/>
          <w:bCs/>
        </w:rPr>
        <w:t xml:space="preserve"> látky II. skupiny. Lieky s obsahom tapentadolu sa budú predpisovať na osobitné tlačivá lekárskych predpisov označených šikmým modrým pruhom. Ide o látku, ktorá je chemickým derivátom amfetamínu a má podobné farmakologické účinky ako amfetamín. Medzi kontrolované látky je zaradená v Lotyšsku, vo švédsku a vo Švajčiarsku. </w:t>
      </w:r>
    </w:p>
    <w:p w:rsidR="000663F1" w:rsidRPr="00BB13AE" w:rsidP="000663F1">
      <w:pPr>
        <w:bidi w:val="0"/>
        <w:spacing w:line="360" w:lineRule="auto"/>
        <w:ind w:firstLine="540"/>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 xml:space="preserve">K bodom </w:t>
      </w:r>
      <w:smartTag w:uri="urn:schemas-microsoft-com:office:smarttags" w:element="metricconverter">
        <w:smartTagPr>
          <w:attr w:name="ProductID" w:val="12 a"/>
        </w:smartTagPr>
        <w:r>
          <w:rPr>
            <w:rFonts w:ascii="Times New Roman" w:hAnsi="Times New Roman"/>
          </w:rPr>
          <w:t>12 a</w:t>
        </w:r>
      </w:smartTag>
      <w:r>
        <w:rPr>
          <w:rFonts w:ascii="Times New Roman" w:hAnsi="Times New Roman"/>
        </w:rPr>
        <w:t xml:space="preserve"> 13</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psychotropné látky III. skupiny b</w:t>
      </w:r>
      <w:r w:rsidRPr="004040D0">
        <w:rPr>
          <w:rFonts w:ascii="Times New Roman" w:hAnsi="Times New Roman"/>
          <w:bCs/>
        </w:rPr>
        <w:t>entazepam</w:t>
      </w:r>
      <w:r>
        <w:rPr>
          <w:rFonts w:ascii="Times New Roman" w:hAnsi="Times New Roman"/>
          <w:bCs/>
        </w:rPr>
        <w:t xml:space="preserve"> </w:t>
      </w:r>
      <w:r w:rsidRPr="004040D0">
        <w:rPr>
          <w:rFonts w:ascii="Times New Roman" w:hAnsi="Times New Roman"/>
          <w:bCs/>
        </w:rPr>
        <w:t xml:space="preserve">a </w:t>
      </w:r>
      <w:r>
        <w:rPr>
          <w:rFonts w:ascii="Times New Roman" w:hAnsi="Times New Roman"/>
          <w:bCs/>
        </w:rPr>
        <w:t>f</w:t>
      </w:r>
      <w:r w:rsidRPr="004040D0">
        <w:rPr>
          <w:rFonts w:ascii="Times New Roman" w:hAnsi="Times New Roman"/>
        </w:rPr>
        <w:t>enazepam</w:t>
      </w:r>
      <w:r>
        <w:rPr>
          <w:rFonts w:ascii="Times New Roman" w:hAnsi="Times New Roman"/>
          <w:bCs/>
        </w:rPr>
        <w:t>. Obe látky sú liečivá benzodiazepínového typu. Doteraz používané liečivá napr. diazepam, nitrazepam a oxazepam sú zaradené do prílohy č. 1 zákona medzi psychotropné látky III. skupiny.</w:t>
      </w:r>
    </w:p>
    <w:p w:rsidR="000663F1" w:rsidP="000663F1">
      <w:pPr>
        <w:bidi w:val="0"/>
        <w:spacing w:line="360" w:lineRule="auto"/>
        <w:rPr>
          <w:rFonts w:ascii="Times New Roman" w:hAnsi="Times New Roman"/>
        </w:rPr>
      </w:pPr>
    </w:p>
    <w:p w:rsidR="000663F1" w:rsidP="000663F1">
      <w:pPr>
        <w:bidi w:val="0"/>
        <w:spacing w:line="360" w:lineRule="auto"/>
        <w:rPr>
          <w:rFonts w:ascii="Times New Roman" w:hAnsi="Times New Roman"/>
        </w:rPr>
      </w:pPr>
      <w:r>
        <w:rPr>
          <w:rFonts w:ascii="Times New Roman" w:hAnsi="Times New Roman"/>
        </w:rPr>
        <w:t>K bodu 14</w:t>
      </w:r>
    </w:p>
    <w:p w:rsidR="000663F1" w:rsidP="000663F1">
      <w:pPr>
        <w:bidi w:val="0"/>
        <w:spacing w:line="360" w:lineRule="auto"/>
        <w:ind w:firstLine="540"/>
        <w:jc w:val="both"/>
        <w:rPr>
          <w:rFonts w:ascii="Times New Roman" w:hAnsi="Times New Roman"/>
        </w:rPr>
      </w:pPr>
      <w:r>
        <w:rPr>
          <w:rFonts w:ascii="Times New Roman" w:hAnsi="Times New Roman"/>
        </w:rPr>
        <w:t>Navrhuje sa doplniť  v prílohe č. 1 zákona medzi psychotropné látky III. skupiny látku GBL, ktorá sa v ľudskom organizme metabolizuje na psychotropnú látku III. skupiny GHB. Táto látka je uvedená v platnej prílohe č. 1 zákona. Generálny sekretariát Výboru ministrov pre drogové závislosti a kontrolu drog Úradu vlády Slovenskej republiky dal podnet na zaradenie tejto psychoaktívnej látky. Medzi kontrolované látky je zaradená v Austrálii, v USA, v Kanade, v Spojenom kráľovstve, v Nórsku a Rumunsku.</w:t>
      </w:r>
    </w:p>
    <w:p w:rsidR="000663F1" w:rsidP="000663F1">
      <w:pPr>
        <w:bidi w:val="0"/>
        <w:spacing w:line="360" w:lineRule="auto"/>
        <w:ind w:firstLine="540"/>
        <w:rPr>
          <w:rFonts w:ascii="Times New Roman" w:hAnsi="Times New Roman"/>
        </w:rPr>
      </w:pPr>
    </w:p>
    <w:p w:rsidR="000663F1" w:rsidP="000663F1">
      <w:pPr>
        <w:pStyle w:val="BodyTextIndent2"/>
        <w:bidi w:val="0"/>
        <w:ind w:firstLine="0"/>
        <w:rPr>
          <w:rFonts w:ascii="Times New Roman" w:hAnsi="Times New Roman"/>
        </w:rPr>
      </w:pPr>
      <w:r>
        <w:rPr>
          <w:rFonts w:ascii="Times New Roman" w:hAnsi="Times New Roman"/>
        </w:rPr>
        <w:t>K čl. II</w:t>
      </w:r>
    </w:p>
    <w:p w:rsidR="000663F1" w:rsidP="000663F1">
      <w:pPr>
        <w:pStyle w:val="BodyTextIndent2"/>
        <w:bidi w:val="0"/>
        <w:rPr>
          <w:rFonts w:ascii="Times New Roman" w:hAnsi="Times New Roman"/>
        </w:rPr>
      </w:pPr>
      <w:r>
        <w:rPr>
          <w:rFonts w:ascii="Times New Roman" w:hAnsi="Times New Roman"/>
        </w:rPr>
        <w:t>Navrhuje sa účinnosť návrhu zákona.</w:t>
      </w: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both"/>
        <w:rPr>
          <w:rFonts w:ascii="Times New Roman" w:hAnsi="Times New Roman"/>
        </w:rPr>
      </w:pPr>
      <w:r>
        <w:rPr>
          <w:rFonts w:ascii="Times New Roman" w:hAnsi="Times New Roman"/>
        </w:rPr>
        <w:t>V Bratislave 9. februára 2011.</w:t>
      </w: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center"/>
        <w:rPr>
          <w:rFonts w:ascii="Times New Roman" w:hAnsi="Times New Roman"/>
        </w:rPr>
      </w:pPr>
      <w:r>
        <w:rPr>
          <w:rFonts w:ascii="Times New Roman" w:hAnsi="Times New Roman"/>
        </w:rPr>
        <w:t>Ivan Uhliarik, v. r.</w:t>
      </w:r>
    </w:p>
    <w:p w:rsidR="000663F1" w:rsidP="000663F1">
      <w:pPr>
        <w:bidi w:val="0"/>
        <w:ind w:firstLine="357"/>
        <w:jc w:val="center"/>
        <w:rPr>
          <w:rFonts w:ascii="Times New Roman" w:hAnsi="Times New Roman"/>
        </w:rPr>
      </w:pPr>
      <w:r>
        <w:rPr>
          <w:rFonts w:ascii="Times New Roman" w:hAnsi="Times New Roman"/>
        </w:rPr>
        <w:t xml:space="preserve">minister zdravotníctva </w:t>
      </w:r>
    </w:p>
    <w:p w:rsidR="000663F1" w:rsidP="000663F1">
      <w:pPr>
        <w:bidi w:val="0"/>
        <w:ind w:firstLine="357"/>
        <w:jc w:val="center"/>
        <w:rPr>
          <w:rFonts w:ascii="Times New Roman" w:hAnsi="Times New Roman"/>
        </w:rPr>
      </w:pPr>
      <w:r>
        <w:rPr>
          <w:rFonts w:ascii="Times New Roman" w:hAnsi="Times New Roman"/>
        </w:rPr>
        <w:t>Slovenskej republiky</w:t>
      </w: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both"/>
        <w:rPr>
          <w:rFonts w:ascii="Times New Roman" w:hAnsi="Times New Roman"/>
        </w:rPr>
      </w:pPr>
    </w:p>
    <w:p w:rsidR="000663F1" w:rsidP="000663F1">
      <w:pPr>
        <w:bidi w:val="0"/>
        <w:spacing w:line="360" w:lineRule="auto"/>
        <w:ind w:firstLine="360"/>
        <w:jc w:val="center"/>
        <w:rPr>
          <w:rFonts w:ascii="Times New Roman" w:hAnsi="Times New Roman"/>
        </w:rPr>
      </w:pPr>
      <w:r>
        <w:rPr>
          <w:rFonts w:ascii="Times New Roman" w:hAnsi="Times New Roman"/>
        </w:rPr>
        <w:t>Iveta Radičová, v. r.</w:t>
      </w:r>
    </w:p>
    <w:p w:rsidR="000663F1" w:rsidP="000663F1">
      <w:pPr>
        <w:bidi w:val="0"/>
        <w:ind w:firstLine="357"/>
        <w:jc w:val="center"/>
        <w:rPr>
          <w:rFonts w:ascii="Times New Roman" w:hAnsi="Times New Roman"/>
        </w:rPr>
      </w:pPr>
      <w:r>
        <w:rPr>
          <w:rFonts w:ascii="Times New Roman" w:hAnsi="Times New Roman"/>
        </w:rPr>
        <w:t xml:space="preserve">predsedníčka vlády </w:t>
      </w:r>
    </w:p>
    <w:p w:rsidR="000663F1" w:rsidP="000663F1">
      <w:pPr>
        <w:bidi w:val="0"/>
        <w:ind w:firstLine="357"/>
        <w:jc w:val="center"/>
        <w:rPr>
          <w:rFonts w:ascii="Times New Roman" w:hAnsi="Times New Roman"/>
        </w:rPr>
      </w:pPr>
      <w:r>
        <w:rPr>
          <w:rFonts w:ascii="Times New Roman" w:hAnsi="Times New Roman"/>
        </w:rPr>
        <w:t>Slovenskej republiky</w:t>
      </w:r>
    </w:p>
    <w:p w:rsidR="000663F1" w:rsidP="000663F1">
      <w:pPr>
        <w:bidi w:val="0"/>
        <w:rPr>
          <w:rFonts w:ascii="Times New Roman" w:hAnsi="Times New Roman"/>
        </w:rPr>
      </w:pPr>
    </w:p>
    <w:p w:rsidR="00743220">
      <w:pPr>
        <w:bidi w:val="0"/>
        <w:rPr>
          <w:rFonts w:ascii="Times New Roman" w:hAnsi="Times New Roman"/>
        </w:rPr>
      </w:pPr>
    </w:p>
    <w:sectPr w:rsidSect="000663F1">
      <w:footerReference w:type="default" r:id="rId4"/>
      <w:pgSz w:w="11906" w:h="16838"/>
      <w:pgMar w:top="1417" w:right="1417" w:bottom="1417" w:left="1417" w:header="708" w:footer="708" w:gutter="0"/>
      <w:lnNumType w:distance="0"/>
      <w:pgNumType w:start="4"/>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1">
    <w:pPr>
      <w:pStyle w:val="Footer"/>
      <w:bidi w:val="0"/>
      <w:rPr>
        <w:rFonts w:ascii="Times New Roman" w:hAnsi="Times New Roman"/>
      </w:rPr>
    </w:pPr>
    <w:r>
      <w:rPr>
        <w:rFonts w:ascii="Times New Roman" w:hAnsi="Times New Roman"/>
      </w:rPr>
      <w:tab/>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D2BCB">
      <w:rPr>
        <w:rFonts w:ascii="Times New Roman" w:hAnsi="Times New Roman"/>
        <w:noProof/>
      </w:rPr>
      <w:t>4</w:t>
    </w:r>
    <w:r>
      <w:rPr>
        <w:rFonts w:ascii="Times New Roman" w:hAnsi="Times New Roman"/>
      </w:rPr>
      <w:fldChar w:fldCharType="end"/>
    </w:r>
    <w:r>
      <w:rPr>
        <w:rFonts w:ascii="Times New Roman" w:hAnsi="Times New Roman"/>
      </w:rPr>
      <w:t xml:space="preserve"> -</w:t>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663F1"/>
    <w:rsid w:val="0001535C"/>
    <w:rsid w:val="000663F1"/>
    <w:rsid w:val="00087B9B"/>
    <w:rsid w:val="000E509C"/>
    <w:rsid w:val="001B74F1"/>
    <w:rsid w:val="003D0C56"/>
    <w:rsid w:val="004040D0"/>
    <w:rsid w:val="00743220"/>
    <w:rsid w:val="007F44DD"/>
    <w:rsid w:val="008225A6"/>
    <w:rsid w:val="009752E6"/>
    <w:rsid w:val="00976DBB"/>
    <w:rsid w:val="009B5D10"/>
    <w:rsid w:val="009D2BCB"/>
    <w:rsid w:val="00B766F5"/>
    <w:rsid w:val="00BB13AE"/>
    <w:rsid w:val="00F477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3F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0663F1"/>
    <w:pPr>
      <w:keepNext/>
      <w:jc w:val="lef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2">
    <w:name w:val="Body Text Indent 2"/>
    <w:basedOn w:val="Normal"/>
    <w:rsid w:val="000663F1"/>
    <w:pPr>
      <w:spacing w:line="360" w:lineRule="auto"/>
      <w:ind w:firstLine="360"/>
      <w:jc w:val="both"/>
    </w:pPr>
  </w:style>
  <w:style w:type="paragraph" w:styleId="Footer">
    <w:name w:val="footer"/>
    <w:basedOn w:val="Normal"/>
    <w:rsid w:val="000663F1"/>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1392</Words>
  <Characters>8304</Characters>
  <Application>Microsoft Office Word</Application>
  <DocSecurity>0</DocSecurity>
  <Lines>0</Lines>
  <Paragraphs>0</Paragraphs>
  <ScaleCrop>false</ScaleCrop>
  <Company>MZ SR</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eskutoe</dc:creator>
  <cp:lastModifiedBy>GaspJarm</cp:lastModifiedBy>
  <cp:revision>2</cp:revision>
  <dcterms:created xsi:type="dcterms:W3CDTF">2011-02-09T12:06:00Z</dcterms:created>
  <dcterms:modified xsi:type="dcterms:W3CDTF">2011-02-09T12:06:00Z</dcterms:modified>
</cp:coreProperties>
</file>