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1D6BE4">
        <w:rPr>
          <w:rFonts w:ascii="Times New Roman" w:hAnsi="Times New Roman" w:cs="Times New Roman"/>
        </w:rPr>
        <w:t>13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Pr="00830899" w:rsidR="001D6BE4">
        <w:rPr>
          <w:rFonts w:ascii="Times New Roman" w:hAnsi="Times New Roman" w:cs="Times New Roman"/>
        </w:rPr>
        <w:t>301</w:t>
      </w:r>
      <w:r w:rsidR="00A73ECD">
        <w:rPr>
          <w:rFonts w:ascii="Times New Roman" w:hAnsi="Times New Roman" w:cs="Times New Roman"/>
        </w:rPr>
        <w:t>3</w:t>
      </w:r>
      <w:r w:rsidR="003371B9">
        <w:rPr>
          <w:rFonts w:ascii="Times New Roman" w:hAnsi="Times New Roman" w:cs="Times New Roman"/>
        </w:rPr>
        <w:t>/2010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1D6BE4">
        <w:rPr>
          <w:rFonts w:ascii="Times New Roman" w:hAnsi="Times New Roman" w:cs="Times New Roman"/>
          <w:b/>
        </w:rPr>
        <w:t xml:space="preserve">          </w:t>
      </w:r>
      <w:r w:rsidR="009434CE">
        <w:rPr>
          <w:rFonts w:ascii="Times New Roman" w:hAnsi="Times New Roman" w:cs="Times New Roman"/>
          <w:b/>
        </w:rPr>
        <w:t>126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830899">
        <w:rPr>
          <w:rFonts w:ascii="Times New Roman" w:hAnsi="Times New Roman" w:cs="Times New Roman"/>
          <w:b/>
        </w:rPr>
        <w:t> 27. januára 2011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990B21" w:rsidP="00A73ECD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A73ECD">
        <w:rPr>
          <w:rFonts w:ascii="Times New Roman" w:hAnsi="Times New Roman" w:cs="Times New Roman"/>
        </w:rPr>
        <w:t>Výbor Národnej rady Sl</w:t>
      </w:r>
      <w:r w:rsidRPr="00A73ECD" w:rsidR="003371B9">
        <w:rPr>
          <w:rFonts w:ascii="Times New Roman" w:hAnsi="Times New Roman" w:cs="Times New Roman"/>
        </w:rPr>
        <w:t>ovenskej republiky pre financie a</w:t>
      </w:r>
      <w:r w:rsidRPr="00A73ECD">
        <w:rPr>
          <w:rFonts w:ascii="Times New Roman" w:hAnsi="Times New Roman" w:cs="Times New Roman"/>
        </w:rPr>
        <w:t xml:space="preserve"> rozpočet </w:t>
      </w:r>
      <w:r w:rsidRPr="00A73ECD" w:rsidR="00F966EF">
        <w:rPr>
          <w:rFonts w:ascii="Times New Roman" w:hAnsi="Times New Roman" w:cs="Times New Roman"/>
        </w:rPr>
        <w:t>prerokoval</w:t>
      </w:r>
      <w:r w:rsidRPr="00A73ECD" w:rsidR="007C6EC6">
        <w:rPr>
          <w:rFonts w:ascii="Times New Roman" w:hAnsi="Times New Roman" w:cs="Times New Roman"/>
        </w:rPr>
        <w:t xml:space="preserve"> </w:t>
      </w:r>
      <w:r w:rsidR="00A73ECD">
        <w:rPr>
          <w:rFonts w:ascii="Times New Roman" w:hAnsi="Times New Roman" w:cs="Times New Roman"/>
        </w:rPr>
        <w:t>vl</w:t>
      </w:r>
      <w:r w:rsidRPr="00A73ECD" w:rsidR="00A73ECD">
        <w:rPr>
          <w:rFonts w:ascii="Times New Roman" w:hAnsi="Times New Roman" w:cs="Times New Roman"/>
        </w:rPr>
        <w:t>ádny návrh zákona, ktorým sa mení a dopĺňa zákon č. 483/2001 Z. z. o bankách a o zmene a doplnení niektorých zákonov v znení neskorších predpisov a ktorým sa mení a dopĺňa zákon č. 566/2001 Z. z. o cenných papieroch a investičných službách a o zmene a doplnení niektorých zákonov (zákon o cenných papieroch) v znení neskorších predpisov (tlač 182)</w:t>
      </w:r>
      <w:r w:rsidR="00A73ECD">
        <w:rPr>
          <w:rFonts w:ascii="Times New Roman" w:hAnsi="Times New Roman" w:cs="Times New Roman"/>
        </w:rPr>
        <w:t xml:space="preserve">  </w:t>
      </w:r>
      <w:r w:rsidRPr="00A73ECD" w:rsidR="00450C55">
        <w:rPr>
          <w:rFonts w:ascii="Times New Roman" w:hAnsi="Times New Roman" w:cs="Times New Roman"/>
          <w:b/>
        </w:rPr>
        <w:t>a</w:t>
      </w:r>
      <w:r w:rsidRPr="00990B21" w:rsidR="00ED3C5E">
        <w:rPr>
          <w:rFonts w:ascii="Times New Roman" w:hAnsi="Times New Roman" w:cs="Times New Roman"/>
          <w:i/>
        </w:rPr>
        <w:t xml:space="preserve"> </w:t>
      </w:r>
      <w:r w:rsidRPr="00990B21" w:rsidR="008458BA">
        <w:rPr>
          <w:rFonts w:ascii="Times New Roman" w:hAnsi="Times New Roman" w:cs="Times New Roman"/>
        </w:rPr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0D14F9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RPr="00A73ECD" w:rsidP="00C059CD">
      <w:pPr>
        <w:ind w:left="1080"/>
        <w:jc w:val="both"/>
        <w:rPr>
          <w:rFonts w:ascii="Times New Roman" w:hAnsi="Times New Roman" w:cs="Times New Roman"/>
        </w:rPr>
      </w:pPr>
    </w:p>
    <w:p w:rsidR="00BD7172" w:rsidRPr="00A73ECD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A73ECD" w:rsidR="00EC5F3F">
        <w:rPr>
          <w:rFonts w:ascii="Times New Roman" w:hAnsi="Times New Roman" w:cs="Times New Roman"/>
          <w:b w:val="0"/>
        </w:rPr>
        <w:t>s</w:t>
      </w:r>
      <w:r w:rsidRPr="00A73ECD" w:rsidR="00B614DE">
        <w:rPr>
          <w:rFonts w:ascii="Times New Roman" w:hAnsi="Times New Roman" w:cs="Times New Roman"/>
          <w:b w:val="0"/>
        </w:rPr>
        <w:t> </w:t>
      </w:r>
      <w:r w:rsidRPr="00A73ECD" w:rsidR="00776A60">
        <w:rPr>
          <w:rFonts w:ascii="Times New Roman" w:hAnsi="Times New Roman" w:cs="Times New Roman"/>
          <w:b w:val="0"/>
        </w:rPr>
        <w:t xml:space="preserve"> </w:t>
      </w:r>
      <w:r w:rsidRPr="00A73ECD" w:rsidR="00A73ECD">
        <w:rPr>
          <w:rFonts w:ascii="Times New Roman" w:hAnsi="Times New Roman" w:cs="Times New Roman"/>
          <w:b w:val="0"/>
        </w:rPr>
        <w:t>vládnym návrhom zákona, ktorým sa mení a dopĺňa zákon č. 483/2001 Z. z. o bankách a o zmene a doplnení niektorých zákonov v znení neskorších predpisov a ktorým sa mení a dopĺňa zákon č. 566/2001 Z. z. o cenných papieroch a investičných službách a o zmene a doplnení niektorých zákonov (zákon o cenných papieroch) v znení neskorších predpisov (tlač 182)</w:t>
      </w:r>
    </w:p>
    <w:p w:rsid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450C55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A73ECD" w:rsidR="00A73ECD">
        <w:rPr>
          <w:rFonts w:ascii="Times New Roman" w:hAnsi="Times New Roman" w:cs="Times New Roman"/>
          <w:b w:val="0"/>
        </w:rPr>
        <w:t>vládny návrh zákona, ktorým sa mení a dopĺňa zákon č. 483/2001 Z. z. o bankách a o zmene a doplnení niektorých zákonov v znení neskorších predpisov a ktorým sa mení a dopĺňa zákon č. 566/2001 Z. z. o cenných papieroch a investičných službách a o zmene a doplnení niektorých zákonov (zákon o cenných papieroch) v znení neskorších predpisov (tlač 182)</w:t>
      </w:r>
      <w:r w:rsidR="00A73ECD">
        <w:rPr>
          <w:rFonts w:ascii="Times New Roman" w:hAnsi="Times New Roman" w:cs="Times New Roman"/>
        </w:rPr>
        <w:t xml:space="preserve"> 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0D14F9">
        <w:rPr>
          <w:rFonts w:ascii="Times New Roman" w:hAnsi="Times New Roman" w:cs="Times New Roman"/>
        </w:rPr>
        <w:t xml:space="preserve">s pozmeňujúcimi a doplňujúcimi </w:t>
      </w:r>
      <w:r w:rsidRPr="00E20A99" w:rsidR="000D14F9">
        <w:rPr>
          <w:rFonts w:ascii="Times New Roman" w:hAnsi="Times New Roman" w:cs="Times New Roman"/>
        </w:rPr>
        <w:t>návrhm</w:t>
      </w:r>
      <w:r w:rsidR="000D14F9">
        <w:rPr>
          <w:rFonts w:ascii="Times New Roman" w:hAnsi="Times New Roman" w:cs="Times New Roman"/>
        </w:rPr>
        <w:t>i</w:t>
      </w:r>
      <w:r w:rsidRPr="00E20A99" w:rsidR="000D14F9">
        <w:rPr>
          <w:rFonts w:ascii="Times New Roman" w:hAnsi="Times New Roman" w:cs="Times New Roman"/>
        </w:rPr>
        <w:t xml:space="preserve"> </w:t>
      </w:r>
      <w:r w:rsidRPr="00E20A99" w:rsidR="000D14F9">
        <w:rPr>
          <w:rFonts w:ascii="Times New Roman" w:hAnsi="Times New Roman" w:cs="Times New Roman"/>
        </w:rPr>
        <w:t>tak, ako sú uvedené 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C059CD" w:rsidP="00A73ECD">
      <w:pPr>
        <w:rPr>
          <w:rFonts w:ascii="Times New Roman" w:hAnsi="Times New Roman" w:cs="Times New Roman"/>
          <w:b/>
          <w:bCs w:val="0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</w:t>
      </w:r>
      <w:r w:rsidR="00E20A99">
        <w:rPr>
          <w:rFonts w:ascii="Times New Roman" w:hAnsi="Times New Roman" w:cs="Times New Roman"/>
        </w:rPr>
        <w:t xml:space="preserve">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830899" w:rsidP="000D14F9">
      <w:pPr>
        <w:pStyle w:val="Heading4"/>
        <w:rPr>
          <w:rFonts w:ascii="AT*Zurich Calligraphic" w:hAnsi="AT*Zurich Calligraphic" w:cs="Times New Roman"/>
        </w:rPr>
      </w:pPr>
    </w:p>
    <w:p w:rsidR="00830899" w:rsidP="000D14F9">
      <w:pPr>
        <w:pStyle w:val="Heading4"/>
        <w:rPr>
          <w:rFonts w:ascii="AT*Zurich Calligraphic" w:hAnsi="AT*Zurich Calligraphic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9434CE">
        <w:rPr>
          <w:rFonts w:ascii="Times New Roman" w:hAnsi="Times New Roman" w:cs="Times New Roman"/>
          <w:b/>
        </w:rPr>
        <w:t>126</w:t>
      </w:r>
    </w:p>
    <w:p w:rsidR="000D14F9" w:rsidRPr="003371B9" w:rsidP="000D14F9">
      <w:pPr>
        <w:jc w:val="right"/>
        <w:rPr>
          <w:rFonts w:ascii="Times New Roman" w:hAnsi="Times New Roman" w:cs="Times New Roman"/>
        </w:rPr>
      </w:pPr>
      <w:r w:rsidR="00F6286E">
        <w:rPr>
          <w:rFonts w:ascii="Times New Roman" w:hAnsi="Times New Roman" w:cs="Times New Roman"/>
          <w:bCs w:val="0"/>
        </w:rPr>
        <w:t>1</w:t>
      </w:r>
      <w:r w:rsidR="00830899">
        <w:rPr>
          <w:rFonts w:ascii="Times New Roman" w:hAnsi="Times New Roman" w:cs="Times New Roman"/>
          <w:bCs w:val="0"/>
        </w:rPr>
        <w:t>3</w:t>
      </w:r>
      <w:r w:rsidRPr="003371B9">
        <w:rPr>
          <w:rFonts w:ascii="Times New Roman" w:hAnsi="Times New Roman" w:cs="Times New Roman"/>
          <w:bCs w:val="0"/>
        </w:rPr>
        <w:t xml:space="preserve">. </w:t>
      </w:r>
      <w:r w:rsidRPr="003371B9">
        <w:rPr>
          <w:rFonts w:ascii="Times New Roman" w:hAnsi="Times New Roman" w:cs="Times New Roman"/>
        </w:rPr>
        <w:t>schôdza</w:t>
      </w:r>
    </w:p>
    <w:p w:rsidR="000D14F9" w:rsidP="000D14F9">
      <w:pPr>
        <w:jc w:val="center"/>
        <w:rPr>
          <w:rFonts w:ascii="Times New Roman" w:hAnsi="Times New Roman" w:cs="Times New Roman"/>
          <w:b/>
        </w:rPr>
      </w:pP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0D14F9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>
        <w:rPr>
          <w:rFonts w:ascii="Times New Roman" w:hAnsi="Times New Roman" w:cs="Times New Roman"/>
          <w:b/>
          <w:bCs w:val="0"/>
        </w:rPr>
        <w:t>e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</w:rPr>
        <w:t>a doplňujúce návrhy</w:t>
      </w:r>
    </w:p>
    <w:p w:rsidR="003371B9" w:rsidRPr="00830899" w:rsidP="003371B9">
      <w:pPr>
        <w:pStyle w:val="Heading1"/>
        <w:ind w:left="360"/>
        <w:jc w:val="center"/>
        <w:rPr>
          <w:rFonts w:ascii="Times New Roman" w:hAnsi="Times New Roman" w:cs="Times New Roman"/>
        </w:rPr>
      </w:pPr>
      <w:r w:rsidRPr="00830899" w:rsidR="000D14F9">
        <w:rPr>
          <w:rFonts w:ascii="Times New Roman" w:hAnsi="Times New Roman" w:cs="Times New Roman"/>
        </w:rPr>
        <w:t>k</w:t>
      </w:r>
      <w:r w:rsidRPr="00830899" w:rsidR="00143F10">
        <w:rPr>
          <w:rFonts w:ascii="Times New Roman" w:hAnsi="Times New Roman" w:cs="Times New Roman"/>
        </w:rPr>
        <w:t> </w:t>
      </w:r>
      <w:r w:rsidR="00A73ECD">
        <w:rPr>
          <w:rFonts w:ascii="Times New Roman" w:hAnsi="Times New Roman" w:cs="Times New Roman"/>
        </w:rPr>
        <w:t>vl</w:t>
      </w:r>
      <w:r w:rsidRPr="00A73ECD" w:rsidR="00A73ECD">
        <w:rPr>
          <w:rFonts w:ascii="Times New Roman" w:hAnsi="Times New Roman" w:cs="Times New Roman"/>
        </w:rPr>
        <w:t>ádn</w:t>
      </w:r>
      <w:r w:rsidR="00A73ECD">
        <w:rPr>
          <w:rFonts w:ascii="Times New Roman" w:hAnsi="Times New Roman" w:cs="Times New Roman"/>
        </w:rPr>
        <w:t>emu</w:t>
      </w:r>
      <w:r w:rsidRPr="00A73ECD" w:rsidR="00A73ECD">
        <w:rPr>
          <w:rFonts w:ascii="Times New Roman" w:hAnsi="Times New Roman" w:cs="Times New Roman"/>
        </w:rPr>
        <w:t xml:space="preserve"> návrh</w:t>
      </w:r>
      <w:r w:rsidR="00A73ECD">
        <w:rPr>
          <w:rFonts w:ascii="Times New Roman" w:hAnsi="Times New Roman" w:cs="Times New Roman"/>
        </w:rPr>
        <w:t>u</w:t>
      </w:r>
      <w:r w:rsidRPr="00A73ECD" w:rsidR="00A73ECD">
        <w:rPr>
          <w:rFonts w:ascii="Times New Roman" w:hAnsi="Times New Roman" w:cs="Times New Roman"/>
        </w:rPr>
        <w:t xml:space="preserve"> zákona, ktorým sa mení a dopĺňa zákon č. 483/2001 Z. z. o bankách a o zmene a doplnení niektorých zákonov v znení neskorších predpisov a ktorým sa mení a dopĺňa zákon č. 566/2001 Z. z. o cenných papieroch a investičných službách a o zmene a doplnení niektorých zákonov (zákon o cenných papieroch) v znení neskorších predpisov (tlač 182)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9434CE" w:rsidP="009434C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6732DF" w:rsidP="009434CE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  <w:b/>
          <w:noProof/>
          <w:color w:val="000000"/>
          <w:spacing w:val="5"/>
        </w:rPr>
      </w:pPr>
      <w:r w:rsidR="009434CE">
        <w:rPr>
          <w:rFonts w:ascii="Times New Roman" w:hAnsi="Times New Roman" w:cs="Times New Roman"/>
          <w:b/>
          <w:noProof/>
          <w:color w:val="000000"/>
          <w:spacing w:val="5"/>
        </w:rPr>
        <w:t>K</w:t>
      </w:r>
      <w:r w:rsidRPr="008030A9" w:rsidR="009434CE">
        <w:rPr>
          <w:rFonts w:ascii="Times New Roman" w:hAnsi="Times New Roman" w:cs="Times New Roman"/>
          <w:b/>
          <w:noProof/>
          <w:color w:val="000000"/>
          <w:spacing w:val="5"/>
        </w:rPr>
        <w:t xml:space="preserve"> čl. I </w:t>
      </w:r>
      <w:r>
        <w:rPr>
          <w:rFonts w:ascii="Times New Roman" w:hAnsi="Times New Roman" w:cs="Times New Roman"/>
          <w:b/>
          <w:noProof/>
          <w:color w:val="000000"/>
          <w:spacing w:val="5"/>
        </w:rPr>
        <w:t>– nový bod</w:t>
      </w:r>
    </w:p>
    <w:p w:rsidR="009434CE" w:rsidRPr="006732DF" w:rsidP="006732DF">
      <w:pPr>
        <w:ind w:left="360" w:firstLine="348"/>
        <w:jc w:val="both"/>
        <w:rPr>
          <w:rFonts w:ascii="Times New Roman" w:hAnsi="Times New Roman" w:cs="Times New Roman"/>
          <w:noProof/>
          <w:color w:val="000000"/>
          <w:spacing w:val="5"/>
        </w:rPr>
      </w:pPr>
      <w:r w:rsidRPr="006732DF" w:rsidR="006732DF">
        <w:rPr>
          <w:rFonts w:ascii="Times New Roman" w:hAnsi="Times New Roman" w:cs="Times New Roman"/>
          <w:noProof/>
          <w:color w:val="000000"/>
          <w:spacing w:val="5"/>
        </w:rPr>
        <w:t>Z</w:t>
      </w:r>
      <w:r w:rsidRPr="006732DF">
        <w:rPr>
          <w:rFonts w:ascii="Times New Roman" w:hAnsi="Times New Roman" w:cs="Times New Roman"/>
          <w:noProof/>
          <w:color w:val="000000"/>
          <w:spacing w:val="5"/>
        </w:rPr>
        <w:t xml:space="preserve">a bod 3 </w:t>
      </w:r>
      <w:r w:rsidRPr="006732DF" w:rsidR="006732DF">
        <w:rPr>
          <w:rFonts w:ascii="Times New Roman" w:hAnsi="Times New Roman" w:cs="Times New Roman"/>
          <w:noProof/>
          <w:color w:val="000000"/>
          <w:spacing w:val="5"/>
        </w:rPr>
        <w:t xml:space="preserve">sa </w:t>
      </w:r>
      <w:r w:rsidRPr="006732DF">
        <w:rPr>
          <w:rFonts w:ascii="Times New Roman" w:hAnsi="Times New Roman" w:cs="Times New Roman"/>
          <w:noProof/>
          <w:color w:val="000000"/>
          <w:spacing w:val="5"/>
        </w:rPr>
        <w:t xml:space="preserve">vkladá nový bod 4, ktorý znie: </w:t>
      </w:r>
    </w:p>
    <w:p w:rsidR="009434CE" w:rsidRPr="008030A9" w:rsidP="009434CE">
      <w:pPr>
        <w:ind w:left="360" w:firstLine="348"/>
        <w:jc w:val="both"/>
        <w:rPr>
          <w:rFonts w:ascii="Times New Roman" w:hAnsi="Times New Roman" w:cs="Times New Roman"/>
          <w:spacing w:val="5"/>
        </w:rPr>
      </w:pPr>
      <w:r w:rsidRPr="008030A9">
        <w:rPr>
          <w:rFonts w:ascii="Times New Roman" w:hAnsi="Times New Roman" w:cs="Times New Roman"/>
          <w:spacing w:val="5"/>
        </w:rPr>
        <w:t xml:space="preserve">„4. V § 5  sa vypúšťa písmeno r). </w:t>
      </w:r>
    </w:p>
    <w:p w:rsidR="009434CE" w:rsidRPr="008030A9" w:rsidP="009434CE">
      <w:pPr>
        <w:ind w:left="360" w:firstLine="348"/>
        <w:jc w:val="both"/>
        <w:rPr>
          <w:rFonts w:ascii="Times New Roman" w:hAnsi="Times New Roman" w:cs="Times New Roman"/>
          <w:spacing w:val="5"/>
        </w:rPr>
      </w:pPr>
      <w:r w:rsidRPr="008030A9">
        <w:rPr>
          <w:rFonts w:ascii="Times New Roman" w:hAnsi="Times New Roman" w:cs="Times New Roman"/>
          <w:spacing w:val="5"/>
        </w:rPr>
        <w:t>Poznámka pod čiarou k odkazu 13c sa vypúšťa.“.</w:t>
      </w:r>
    </w:p>
    <w:p w:rsidR="009434CE" w:rsidRPr="008030A9" w:rsidP="009434CE">
      <w:pPr>
        <w:ind w:left="45"/>
        <w:jc w:val="both"/>
        <w:rPr>
          <w:rFonts w:ascii="Times New Roman" w:hAnsi="Times New Roman" w:cs="Times New Roman"/>
          <w:noProof/>
          <w:spacing w:val="5"/>
        </w:rPr>
      </w:pPr>
    </w:p>
    <w:p w:rsidR="009434CE" w:rsidRPr="008030A9" w:rsidP="009434CE">
      <w:pPr>
        <w:ind w:left="45"/>
        <w:jc w:val="both"/>
        <w:rPr>
          <w:rFonts w:ascii="Times New Roman" w:hAnsi="Times New Roman" w:cs="Times New Roman"/>
          <w:noProof/>
          <w:spacing w:val="5"/>
        </w:rPr>
      </w:pPr>
      <w:r w:rsidRPr="008030A9">
        <w:rPr>
          <w:rFonts w:ascii="Times New Roman" w:hAnsi="Times New Roman" w:cs="Times New Roman"/>
          <w:noProof/>
          <w:spacing w:val="5"/>
        </w:rPr>
        <w:t>               Doterajšie body sa prečíslujú.</w:t>
      </w:r>
    </w:p>
    <w:p w:rsidR="009434CE" w:rsidP="009434C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CA7FA7" w:rsidP="00CA7FA7">
      <w:pPr>
        <w:ind w:left="2832"/>
        <w:jc w:val="both"/>
        <w:rPr>
          <w:rFonts w:ascii="Times New Roman" w:hAnsi="Times New Roman" w:cs="Times New Roman"/>
        </w:rPr>
      </w:pPr>
      <w:r w:rsidRPr="008030A9">
        <w:rPr>
          <w:rFonts w:ascii="Times New Roman" w:hAnsi="Times New Roman" w:cs="Times New Roman"/>
          <w:spacing w:val="5"/>
        </w:rPr>
        <w:t xml:space="preserve">Cieľom navrhovanej právnej úpravy je zrušenie povinnosti bánk a pobočiek zahraničných bánk poskytovať bankové služby v rozsahu základného bankového produktu z dôvodu nevýhodnosti tohto produktu a nízkeho záujmu oň. </w:t>
      </w:r>
    </w:p>
    <w:p w:rsidR="0089148D" w:rsidP="009434C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434CE" w:rsidP="009434C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6732DF" w:rsidRPr="006732DF" w:rsidP="009434CE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  <w:b/>
          <w:noProof/>
          <w:color w:val="000000"/>
          <w:spacing w:val="5"/>
          <w:u w:val="single"/>
        </w:rPr>
      </w:pPr>
      <w:r>
        <w:rPr>
          <w:rFonts w:ascii="Times New Roman" w:hAnsi="Times New Roman" w:cs="Times New Roman"/>
          <w:b/>
          <w:noProof/>
          <w:spacing w:val="5"/>
        </w:rPr>
        <w:t>K</w:t>
      </w:r>
      <w:r w:rsidRPr="008030A9" w:rsidR="009434CE">
        <w:rPr>
          <w:rFonts w:ascii="Times New Roman" w:hAnsi="Times New Roman" w:cs="Times New Roman"/>
          <w:b/>
          <w:noProof/>
          <w:spacing w:val="5"/>
        </w:rPr>
        <w:t> čl. I </w:t>
      </w:r>
      <w:r>
        <w:rPr>
          <w:rFonts w:ascii="Times New Roman" w:hAnsi="Times New Roman" w:cs="Times New Roman"/>
          <w:b/>
          <w:noProof/>
          <w:spacing w:val="5"/>
        </w:rPr>
        <w:t>– nový bod</w:t>
      </w:r>
    </w:p>
    <w:p w:rsidR="009434CE" w:rsidRPr="006732DF" w:rsidP="006732DF">
      <w:pPr>
        <w:ind w:left="360" w:firstLine="348"/>
        <w:jc w:val="both"/>
        <w:rPr>
          <w:rFonts w:ascii="Times New Roman" w:hAnsi="Times New Roman" w:cs="Times New Roman"/>
          <w:noProof/>
          <w:color w:val="000000"/>
          <w:spacing w:val="5"/>
          <w:u w:val="single"/>
        </w:rPr>
      </w:pPr>
      <w:r w:rsidRPr="006732DF" w:rsidR="006732DF">
        <w:rPr>
          <w:rFonts w:ascii="Times New Roman" w:hAnsi="Times New Roman" w:cs="Times New Roman"/>
          <w:noProof/>
          <w:spacing w:val="5"/>
        </w:rPr>
        <w:t xml:space="preserve">Za </w:t>
      </w:r>
      <w:r w:rsidRPr="006732DF">
        <w:rPr>
          <w:rFonts w:ascii="Times New Roman" w:hAnsi="Times New Roman" w:cs="Times New Roman"/>
          <w:noProof/>
          <w:spacing w:val="5"/>
        </w:rPr>
        <w:t xml:space="preserve">bod 9 </w:t>
      </w:r>
      <w:r w:rsidRPr="006732DF" w:rsidR="006732DF">
        <w:rPr>
          <w:rFonts w:ascii="Times New Roman" w:hAnsi="Times New Roman" w:cs="Times New Roman"/>
          <w:noProof/>
          <w:spacing w:val="5"/>
        </w:rPr>
        <w:t xml:space="preserve">sa </w:t>
      </w:r>
      <w:r w:rsidRPr="006732DF">
        <w:rPr>
          <w:rFonts w:ascii="Times New Roman" w:hAnsi="Times New Roman" w:cs="Times New Roman"/>
          <w:noProof/>
          <w:spacing w:val="5"/>
        </w:rPr>
        <w:t>vkladá nový bod 10, ktorý znie:</w:t>
      </w:r>
    </w:p>
    <w:p w:rsidR="009434CE" w:rsidRPr="008030A9" w:rsidP="009434CE">
      <w:pPr>
        <w:ind w:left="45" w:firstLine="663"/>
        <w:jc w:val="both"/>
        <w:rPr>
          <w:rFonts w:ascii="Times New Roman" w:hAnsi="Times New Roman" w:cs="Times New Roman"/>
          <w:noProof/>
          <w:spacing w:val="5"/>
        </w:rPr>
      </w:pPr>
      <w:r w:rsidRPr="008030A9">
        <w:rPr>
          <w:rFonts w:ascii="Times New Roman" w:hAnsi="Times New Roman" w:cs="Times New Roman"/>
          <w:noProof/>
          <w:spacing w:val="5"/>
        </w:rPr>
        <w:t xml:space="preserve">„10. § 27c sa vypúšťa. </w:t>
      </w:r>
    </w:p>
    <w:p w:rsidR="009434CE" w:rsidRPr="008030A9" w:rsidP="009434CE">
      <w:pPr>
        <w:ind w:left="45" w:firstLine="663"/>
        <w:jc w:val="both"/>
        <w:rPr>
          <w:rFonts w:ascii="Times New Roman" w:hAnsi="Times New Roman" w:cs="Times New Roman"/>
          <w:b/>
          <w:bCs w:val="0"/>
          <w:noProof/>
          <w:spacing w:val="5"/>
        </w:rPr>
      </w:pPr>
      <w:r w:rsidRPr="008030A9">
        <w:rPr>
          <w:rFonts w:ascii="Times New Roman" w:hAnsi="Times New Roman" w:cs="Times New Roman"/>
          <w:noProof/>
          <w:spacing w:val="5"/>
        </w:rPr>
        <w:t xml:space="preserve">Poznámka pod čiarou k odkazu </w:t>
      </w:r>
      <w:smartTag w:uri="urn:schemas-microsoft-com:office:smarttags" w:element="metricconverter">
        <w:smartTagPr>
          <w:attr w:name="ProductID" w:val="27f"/>
        </w:smartTagPr>
        <w:r w:rsidRPr="008030A9">
          <w:rPr>
            <w:rFonts w:ascii="Times New Roman" w:hAnsi="Times New Roman" w:cs="Times New Roman"/>
            <w:noProof/>
            <w:spacing w:val="5"/>
          </w:rPr>
          <w:t>27f</w:t>
        </w:r>
      </w:smartTag>
      <w:r w:rsidRPr="008030A9">
        <w:rPr>
          <w:rFonts w:ascii="Times New Roman" w:hAnsi="Times New Roman" w:cs="Times New Roman"/>
          <w:noProof/>
          <w:spacing w:val="5"/>
        </w:rPr>
        <w:t xml:space="preserve"> sa vypúšťa.“.</w:t>
      </w:r>
      <w:r w:rsidRPr="008030A9">
        <w:rPr>
          <w:rFonts w:ascii="Times New Roman" w:hAnsi="Times New Roman" w:cs="Times New Roman"/>
          <w:b/>
          <w:bCs w:val="0"/>
          <w:noProof/>
          <w:spacing w:val="5"/>
        </w:rPr>
        <w:t xml:space="preserve">                                  </w:t>
      </w:r>
    </w:p>
    <w:p w:rsidR="009434CE" w:rsidRPr="008030A9" w:rsidP="009434CE">
      <w:pPr>
        <w:ind w:left="360"/>
        <w:jc w:val="both"/>
        <w:rPr>
          <w:rFonts w:ascii="Times New Roman" w:hAnsi="Times New Roman" w:cs="Times New Roman"/>
          <w:b/>
          <w:bCs w:val="0"/>
          <w:noProof/>
          <w:spacing w:val="5"/>
        </w:rPr>
      </w:pPr>
    </w:p>
    <w:p w:rsidR="009434CE" w:rsidRPr="008030A9" w:rsidP="009434CE">
      <w:pPr>
        <w:ind w:left="1068"/>
        <w:jc w:val="both"/>
        <w:rPr>
          <w:rFonts w:ascii="Times New Roman" w:hAnsi="Times New Roman" w:cs="Times New Roman"/>
          <w:noProof/>
          <w:spacing w:val="5"/>
        </w:rPr>
      </w:pPr>
      <w:r w:rsidRPr="008030A9">
        <w:rPr>
          <w:rFonts w:ascii="Times New Roman" w:hAnsi="Times New Roman" w:cs="Times New Roman"/>
          <w:noProof/>
          <w:spacing w:val="5"/>
        </w:rPr>
        <w:t>Doterajšie body sa prečíslujú.</w:t>
      </w:r>
    </w:p>
    <w:p w:rsidR="009434CE" w:rsidP="009434C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CA7FA7" w:rsidP="00CA7FA7">
      <w:pPr>
        <w:ind w:left="2832"/>
        <w:jc w:val="both"/>
        <w:rPr>
          <w:rFonts w:ascii="Times New Roman" w:hAnsi="Times New Roman" w:cs="Times New Roman"/>
        </w:rPr>
      </w:pPr>
      <w:r w:rsidRPr="008030A9">
        <w:rPr>
          <w:rFonts w:ascii="Times New Roman" w:hAnsi="Times New Roman" w:cs="Times New Roman"/>
          <w:spacing w:val="5"/>
        </w:rPr>
        <w:t xml:space="preserve">Cieľom navrhovanej právnej úpravy je zrušenie povinnosti bánk a pobočiek zahraničných bánk poskytovať bankové služby v rozsahu základného bankového produktu z dôvodu nevýhodnosti tohto produktu a nízkeho záujmu oň. </w:t>
      </w:r>
    </w:p>
    <w:p w:rsidR="009434CE" w:rsidP="009434C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434CE" w:rsidRPr="00D04354" w:rsidP="009434CE">
      <w:pPr>
        <w:spacing w:line="360" w:lineRule="auto"/>
        <w:rPr>
          <w:rFonts w:ascii="Times New Roman" w:hAnsi="Times New Roman" w:cs="Times New Roman"/>
        </w:rPr>
      </w:pPr>
    </w:p>
    <w:p w:rsidR="009434CE" w:rsidRPr="009434CE" w:rsidP="009434CE">
      <w:pPr>
        <w:numPr>
          <w:ilvl w:val="0"/>
          <w:numId w:val="23"/>
        </w:numPr>
        <w:tabs>
          <w:tab w:val="left" w:pos="720"/>
        </w:tabs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  <w:b/>
        </w:rPr>
        <w:t>K  čl. I</w:t>
      </w:r>
      <w:r w:rsidR="006732DF">
        <w:rPr>
          <w:rFonts w:ascii="Times New Roman" w:hAnsi="Times New Roman" w:cs="Times New Roman"/>
          <w:b/>
        </w:rPr>
        <w:t xml:space="preserve"> bod </w:t>
      </w:r>
      <w:r w:rsidRPr="009434CE">
        <w:rPr>
          <w:rFonts w:ascii="Times New Roman" w:hAnsi="Times New Roman" w:cs="Times New Roman"/>
          <w:b/>
        </w:rPr>
        <w:t xml:space="preserve">13  </w:t>
      </w:r>
    </w:p>
    <w:p w:rsidR="009434CE" w:rsidP="009434CE">
      <w:pPr>
        <w:ind w:left="708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V § 33 ods. 3 na konci pripojiť vetu, ktorá znie: „Tým nie je dotknuté ustanovenie odseku 4.“.</w:t>
      </w:r>
    </w:p>
    <w:p w:rsidR="009434CE" w:rsidRPr="00D04354" w:rsidP="009434CE">
      <w:pPr>
        <w:ind w:left="708"/>
        <w:rPr>
          <w:rFonts w:ascii="Times New Roman" w:hAnsi="Times New Roman" w:cs="Times New Roman"/>
        </w:rPr>
      </w:pPr>
    </w:p>
    <w:p w:rsidR="009434CE" w:rsidRPr="00D04354" w:rsidP="009434CE">
      <w:pPr>
        <w:ind w:left="2832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V navrhovanom doplnení § 33b ods.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>3 je upravený iný spôsob posudzovania spôsobilosti  ratingových agentúr registrovaných v súlade s príslušnou európskou legislatívou.  Ide o to, že  ak  takáto retingová agentúra preukáže skúsenosti v oblasti sekuritizácie (všeobecne-pokrytie kreditného rizika vopred určenej expozície) Národná banka Slovenska v rámci procesu uznávania ratingu iba posúdi, či jej metodika hodnotenia spĺňa požiadavky, objektivity, nezávislosti, priebežnej kontroly a transparentnosti. Podľa platného znenia § 33b ods. 4, ktorý nie je predloženým návrhom dotknutý, ak bola ratingová agentúra uznaná na účely sekuritizácie  príslušným orgánom dohľadu iného členského štátu</w:t>
      </w:r>
      <w:r>
        <w:rPr>
          <w:rFonts w:ascii="Times New Roman" w:hAnsi="Times New Roman" w:cs="Times New Roman"/>
        </w:rPr>
        <w:t xml:space="preserve">. </w:t>
      </w:r>
      <w:r w:rsidRPr="00D04354">
        <w:rPr>
          <w:rFonts w:ascii="Times New Roman" w:hAnsi="Times New Roman" w:cs="Times New Roman"/>
        </w:rPr>
        <w:t xml:space="preserve"> Národná banka Slovenska môže uznať ratingovú agentúru bez toho</w:t>
      </w:r>
      <w:r>
        <w:rPr>
          <w:rFonts w:ascii="Times New Roman" w:hAnsi="Times New Roman" w:cs="Times New Roman"/>
        </w:rPr>
        <w:t>,</w:t>
      </w:r>
      <w:r w:rsidRPr="00D04354">
        <w:rPr>
          <w:rFonts w:ascii="Times New Roman" w:hAnsi="Times New Roman" w:cs="Times New Roman"/>
        </w:rPr>
        <w:t xml:space="preserve"> aby sama zisťovala splnenie požiadaviek podľa odseku 3. </w:t>
      </w:r>
    </w:p>
    <w:p w:rsidR="009434CE" w:rsidP="009434C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434CE" w:rsidP="009434C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434CE" w:rsidP="009434C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434CE" w:rsidP="009434C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89148D" w:rsidP="0089148D">
      <w:pPr>
        <w:spacing w:line="360" w:lineRule="auto"/>
        <w:ind w:left="2124"/>
        <w:jc w:val="both"/>
        <w:rPr>
          <w:rFonts w:ascii="Times New Roman" w:hAnsi="Times New Roman" w:cs="Times New Roman"/>
        </w:rPr>
      </w:pPr>
    </w:p>
    <w:p w:rsidR="0089148D" w:rsidRPr="0089148D" w:rsidP="0089148D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89148D">
        <w:rPr>
          <w:rFonts w:ascii="Times New Roman" w:hAnsi="Times New Roman" w:cs="Times New Roman"/>
          <w:b/>
        </w:rPr>
        <w:t>K čl. I</w:t>
      </w:r>
      <w:r w:rsidR="006732DF">
        <w:rPr>
          <w:rFonts w:ascii="Times New Roman" w:hAnsi="Times New Roman" w:cs="Times New Roman"/>
          <w:b/>
        </w:rPr>
        <w:t xml:space="preserve"> bod </w:t>
      </w:r>
      <w:r w:rsidRPr="0089148D">
        <w:rPr>
          <w:rFonts w:ascii="Times New Roman" w:hAnsi="Times New Roman" w:cs="Times New Roman"/>
          <w:b/>
        </w:rPr>
        <w:t xml:space="preserve">18 </w:t>
      </w:r>
    </w:p>
    <w:p w:rsidR="0089148D" w:rsidRPr="00D04354" w:rsidP="0089148D">
      <w:pPr>
        <w:ind w:left="705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V § 38 ods.</w:t>
      </w:r>
      <w:r>
        <w:rPr>
          <w:rFonts w:ascii="Times New Roman" w:hAnsi="Times New Roman" w:cs="Times New Roman"/>
        </w:rPr>
        <w:t xml:space="preserve"> 3</w:t>
      </w:r>
      <w:r w:rsidRPr="00D04354">
        <w:rPr>
          <w:rFonts w:ascii="Times New Roman" w:hAnsi="Times New Roman" w:cs="Times New Roman"/>
        </w:rPr>
        <w:t xml:space="preserve"> v druhej vete za slová „konať za klienta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 xml:space="preserve"> vložiť bodku, vypustiť spojku „a“ a slovo „prílohou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 xml:space="preserve">  nahradiť slovom „ Prílohou“.</w:t>
      </w:r>
    </w:p>
    <w:p w:rsidR="0089148D" w:rsidP="0089148D">
      <w:pPr>
        <w:spacing w:line="360" w:lineRule="auto"/>
        <w:jc w:val="both"/>
        <w:rPr>
          <w:rFonts w:ascii="Times New Roman" w:hAnsi="Times New Roman" w:cs="Times New Roman"/>
        </w:rPr>
      </w:pPr>
    </w:p>
    <w:p w:rsidR="0089148D" w:rsidRPr="00D04354" w:rsidP="0089148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 w:rsidRPr="00D04354">
        <w:rPr>
          <w:rFonts w:ascii="Times New Roman" w:hAnsi="Times New Roman" w:cs="Times New Roman"/>
        </w:rPr>
        <w:t>Ide o významové precizovanie navrhovaného doplnenia § 38 ods. 3.</w:t>
      </w:r>
    </w:p>
    <w:p w:rsidR="009434CE" w:rsidP="009434C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434CE" w:rsidP="009434CE">
      <w:pPr>
        <w:autoSpaceDE/>
        <w:autoSpaceDN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6732DF" w:rsidP="009434CE">
      <w:pPr>
        <w:numPr>
          <w:ilvl w:val="0"/>
          <w:numId w:val="23"/>
        </w:numPr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  <w:b/>
          <w:bCs w:val="0"/>
        </w:rPr>
      </w:pPr>
      <w:r w:rsidR="009434CE">
        <w:rPr>
          <w:rFonts w:ascii="Times New Roman" w:hAnsi="Times New Roman" w:cs="Times New Roman"/>
          <w:b/>
          <w:bCs w:val="0"/>
        </w:rPr>
        <w:t>K čl. I</w:t>
      </w:r>
      <w:r>
        <w:rPr>
          <w:rFonts w:ascii="Times New Roman" w:hAnsi="Times New Roman" w:cs="Times New Roman"/>
          <w:b/>
          <w:bCs w:val="0"/>
        </w:rPr>
        <w:t> bod 18</w:t>
      </w:r>
      <w:r w:rsidR="009434CE">
        <w:rPr>
          <w:rFonts w:ascii="Times New Roman" w:hAnsi="Times New Roman" w:cs="Times New Roman"/>
          <w:b/>
          <w:bCs w:val="0"/>
        </w:rPr>
        <w:t xml:space="preserve"> </w:t>
      </w:r>
    </w:p>
    <w:p w:rsidR="009434CE" w:rsidRPr="009434CE" w:rsidP="009434CE">
      <w:pPr>
        <w:ind w:firstLine="709"/>
        <w:jc w:val="both"/>
        <w:rPr>
          <w:rFonts w:ascii="Times New Roman" w:hAnsi="Times New Roman" w:cs="Times New Roman"/>
        </w:rPr>
      </w:pPr>
      <w:r w:rsidRPr="009434CE" w:rsidR="006732DF">
        <w:rPr>
          <w:rFonts w:ascii="Times New Roman" w:hAnsi="Times New Roman" w:cs="Times New Roman"/>
        </w:rPr>
        <w:t xml:space="preserve"> </w:t>
      </w:r>
      <w:r w:rsidRPr="009434CE">
        <w:rPr>
          <w:rFonts w:ascii="Times New Roman" w:hAnsi="Times New Roman" w:cs="Times New Roman"/>
        </w:rPr>
        <w:t>„18. V § 38 ods. 3</w:t>
      </w:r>
      <w:r w:rsidRPr="009434CE">
        <w:rPr>
          <w:rFonts w:ascii="Times New Roman" w:hAnsi="Times New Roman" w:cs="Times New Roman"/>
        </w:rPr>
        <w:t xml:space="preserve"> sa na konci pripájajú tieto vety:</w:t>
      </w:r>
    </w:p>
    <w:p w:rsidR="009434CE" w:rsidRPr="009434CE" w:rsidP="009434CE">
      <w:pPr>
        <w:pStyle w:val="BodyText"/>
        <w:spacing w:after="0"/>
        <w:ind w:left="708" w:firstLine="1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„Národná banka Slovenska poskytuje údaje z registra aj klientovi, ak sa týkajú jeho osoby, a to na základe písomnej žiadosti klienta. Žiadosť klienta o poskytnutie údajov z registra musí obsahovať úradne osvedčený podpis klienta, štatutárneho orgánu klienta, alebo inej osoby preukázateľne oprávnenej konať za klienta. Prílohou žiadosti klienta, ktorý je podnikateľom alebo právnickou osobou, je aj výpis z obchodného registra alebo inej úradnej evidencie, do ktorej je klient zapísaný, nie starší ako jeden mesiac pred doručením žiadosti. Národná banka Slovenska poskytne klientovi informácie v lehote jedného mesiaca odo dňa doručenia žiadosti. Ak klient zistí, že v registri sú o ňom uvedené nesprávne alebo neúplné údaje, môže požiadať o opravu údajov o ňom len banku, pobočku zahraničnej banky alebo Exportno-importnú banku Slovenskej republiky, ktorá tieto údaje poskytla do registra. Národná banka Slovenska môže ustanoviť poplatok za poskytnutie údajov z registra klientovi, ktorý je splatný pri doručení žiadosti; na tieto poplatky sa rovnako vzťahujú ustanovenia osobitného predpisu o poplatkoch uhrádzaných Národnej banke Slovenska.</w:t>
      </w:r>
      <w:r w:rsidRPr="009434CE">
        <w:rPr>
          <w:rFonts w:ascii="Times New Roman" w:hAnsi="Times New Roman" w:cs="Times New Roman"/>
          <w:vertAlign w:val="superscript"/>
        </w:rPr>
        <w:t>37ab</w:t>
      </w:r>
      <w:r w:rsidRPr="009434CE">
        <w:rPr>
          <w:rFonts w:ascii="Times New Roman" w:hAnsi="Times New Roman" w:cs="Times New Roman"/>
        </w:rPr>
        <w:t>)“.</w:t>
      </w:r>
    </w:p>
    <w:p w:rsidR="009434CE" w:rsidP="009434CE">
      <w:pPr>
        <w:pStyle w:val="BodyText2"/>
        <w:spacing w:after="0" w:line="240" w:lineRule="auto"/>
        <w:ind w:firstLine="708"/>
        <w:rPr>
          <w:rFonts w:ascii="Times New Roman" w:hAnsi="Times New Roman" w:cs="Times New Roman"/>
        </w:rPr>
      </w:pPr>
    </w:p>
    <w:p w:rsidR="009434CE" w:rsidRPr="009434CE" w:rsidP="009434CE">
      <w:pPr>
        <w:pStyle w:val="BodyText2"/>
        <w:spacing w:after="0" w:line="240" w:lineRule="auto"/>
        <w:ind w:firstLine="708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Poznámka pod čiarou k odkazu 37ab znie:</w:t>
      </w:r>
    </w:p>
    <w:p w:rsidR="009434CE" w:rsidRPr="009434CE" w:rsidP="009434CE">
      <w:pPr>
        <w:autoSpaceDE/>
        <w:autoSpaceDN/>
        <w:ind w:firstLine="709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„</w:t>
      </w:r>
      <w:r w:rsidRPr="009434CE">
        <w:rPr>
          <w:rFonts w:ascii="Times New Roman" w:hAnsi="Times New Roman" w:cs="Times New Roman"/>
          <w:vertAlign w:val="superscript"/>
        </w:rPr>
        <w:t>37ab</w:t>
      </w:r>
      <w:r w:rsidRPr="009434CE">
        <w:rPr>
          <w:rFonts w:ascii="Times New Roman" w:hAnsi="Times New Roman" w:cs="Times New Roman"/>
        </w:rPr>
        <w:t>) § 41 a 42 zákona č.</w:t>
      </w:r>
      <w:r w:rsidRPr="009434CE">
        <w:rPr>
          <w:rFonts w:ascii="Times New Roman" w:hAnsi="Times New Roman" w:cs="Times New Roman"/>
        </w:rPr>
        <w:t> </w:t>
      </w:r>
      <w:r w:rsidRPr="009434CE">
        <w:rPr>
          <w:rFonts w:ascii="Times New Roman" w:hAnsi="Times New Roman" w:cs="Times New Roman"/>
        </w:rPr>
        <w:t>747/2004</w:t>
      </w:r>
      <w:r w:rsidRPr="009434CE">
        <w:rPr>
          <w:rFonts w:ascii="Times New Roman" w:hAnsi="Times New Roman" w:cs="Times New Roman"/>
        </w:rPr>
        <w:t> </w:t>
      </w:r>
      <w:r w:rsidRPr="009434CE">
        <w:rPr>
          <w:rFonts w:ascii="Times New Roman" w:hAnsi="Times New Roman" w:cs="Times New Roman"/>
        </w:rPr>
        <w:t>Z.</w:t>
      </w:r>
      <w:r w:rsidRPr="009434CE">
        <w:rPr>
          <w:rFonts w:ascii="Times New Roman" w:hAnsi="Times New Roman" w:cs="Times New Roman"/>
        </w:rPr>
        <w:t> </w:t>
      </w:r>
      <w:r w:rsidRPr="009434CE">
        <w:rPr>
          <w:rFonts w:ascii="Times New Roman" w:hAnsi="Times New Roman" w:cs="Times New Roman"/>
        </w:rPr>
        <w:t>z. v znení nes</w:t>
      </w:r>
      <w:r w:rsidRPr="009434CE">
        <w:rPr>
          <w:rFonts w:ascii="Times New Roman" w:hAnsi="Times New Roman" w:cs="Times New Roman"/>
        </w:rPr>
        <w:t>korších predpisov.“.“.</w:t>
      </w:r>
    </w:p>
    <w:p w:rsidR="009434CE" w:rsidRPr="009434CE" w:rsidP="009434CE">
      <w:pPr>
        <w:autoSpaceDE/>
        <w:autoSpaceDN/>
        <w:jc w:val="both"/>
        <w:rPr>
          <w:rFonts w:ascii="Times New Roman" w:hAnsi="Times New Roman" w:cs="Times New Roman"/>
        </w:rPr>
      </w:pPr>
    </w:p>
    <w:p w:rsidR="009434CE" w:rsidRPr="009434CE" w:rsidP="009434CE">
      <w:pPr>
        <w:pStyle w:val="BodyText2"/>
        <w:spacing w:after="0" w:line="240" w:lineRule="auto"/>
        <w:ind w:left="2836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Návrh spresnenia doplnenia § 38 ods. 3 zákona o bankách zohľadňuje skutočnosť, že klienta, ktorý je právnickou osobou, zastupuje štatutárny orgán (podľa všeobecného ustanovenia o štatutárnych orgánoch právnických osôb v § 20 ods. 1 Občianskeho zákonníka, respektíve napríklad konateľ spoločnosti s ručením obmedzeným ako jej štatutárny orgán podľa § 133 ods. 1 Obchodného zákonníka, predstavenstvo akciovej spoločnosti ako jej štatutárny orgán podľa § 191 ods. 1 Obchodného zákonníka alebo predstavenstvo družstva ako jeho štatutárny orgán podľa § 243 ods. 2 a 3 Obchodného zákonníka), prípadne aj iná osoba oprávnená konať za klienta (napríklad splnomocnenec podľa ustanovení § 31 až § 33b Občianskeho zákonníka).</w:t>
      </w:r>
    </w:p>
    <w:p w:rsidR="009434CE" w:rsidRPr="009434CE" w:rsidP="009434CE">
      <w:pPr>
        <w:pStyle w:val="BodyText"/>
        <w:spacing w:after="0"/>
        <w:ind w:left="2836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 xml:space="preserve">Taktiež požiadavka na výpis z obchodného registra sa navrhuje doplniť prípadom, ak zápis v obchodnom registri nejestvuje, ale jestvuje alebo v inej úradnej evidencii napríklad v živnostenskom registri. Zovšeobecnená formulácia zohľadňuje aj skutočnosť, že klientom môže byť tak tuzemec, ako aj cudzinec, pričom je obdobná ako v iných zákonoch v oblasti finančného trhu (napríklad v § 10 ods. 5 zákona o ochrane vkladov). </w:t>
      </w:r>
    </w:p>
    <w:p w:rsidR="009434CE" w:rsidRPr="009434CE" w:rsidP="009434CE">
      <w:pPr>
        <w:autoSpaceDE/>
        <w:autoSpaceDN/>
        <w:ind w:left="2836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O opravy nesprávnych alebo neúplných údajov v registri má klient právo žiadať aj Exportno-importnú banku Slovenskej republiky (okrem banky alebo pobočky zahraničnej banky), ak táto poskytla o ňom do registra nesprávne údaje. Preto sa v poslednej vete doplňuje aj Exportno-importná banka Slovenskej republiky.</w:t>
      </w:r>
    </w:p>
    <w:p w:rsidR="009434CE" w:rsidRPr="009434CE" w:rsidP="009434CE">
      <w:pPr>
        <w:autoSpaceDE/>
        <w:autoSpaceDN/>
        <w:ind w:left="2836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Text navrhovaného ustanovenia sa aj zosúlaďuje terminologicky s platným znením ustanovení § 38 zákona o bankách, pričom pojem „informácie“ sa nahrádza pojmom „údaje“ v príslušných gramatických tvaroch.</w:t>
      </w:r>
    </w:p>
    <w:p w:rsidR="009434CE" w:rsidRPr="009434CE" w:rsidP="009434CE">
      <w:pPr>
        <w:autoSpaceDE/>
        <w:autoSpaceDN/>
        <w:jc w:val="both"/>
        <w:rPr>
          <w:rFonts w:ascii="Times New Roman" w:hAnsi="Times New Roman" w:cs="Times New Roman"/>
        </w:rPr>
      </w:pPr>
    </w:p>
    <w:p w:rsidR="009434CE" w:rsidRPr="009434CE" w:rsidP="009434CE">
      <w:pPr>
        <w:autoSpaceDE/>
        <w:autoSpaceDN/>
        <w:jc w:val="both"/>
        <w:rPr>
          <w:rFonts w:ascii="Times New Roman" w:hAnsi="Times New Roman" w:cs="Times New Roman"/>
        </w:rPr>
      </w:pPr>
    </w:p>
    <w:p w:rsidR="009434CE" w:rsidRPr="009434CE" w:rsidP="009434CE">
      <w:pPr>
        <w:autoSpaceDE/>
        <w:autoSpaceDN/>
        <w:jc w:val="both"/>
        <w:rPr>
          <w:rFonts w:ascii="Times New Roman" w:hAnsi="Times New Roman" w:cs="Times New Roman"/>
        </w:rPr>
      </w:pPr>
    </w:p>
    <w:p w:rsidR="006732DF" w:rsidP="009434CE">
      <w:pPr>
        <w:numPr>
          <w:ilvl w:val="0"/>
          <w:numId w:val="23"/>
        </w:numPr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  <w:b/>
          <w:bCs w:val="0"/>
        </w:rPr>
      </w:pPr>
      <w:r w:rsidR="009434CE">
        <w:rPr>
          <w:rFonts w:ascii="Times New Roman" w:hAnsi="Times New Roman" w:cs="Times New Roman"/>
          <w:b/>
          <w:bCs w:val="0"/>
        </w:rPr>
        <w:t>K</w:t>
      </w:r>
      <w:r w:rsidRPr="009434CE" w:rsidR="009434CE">
        <w:rPr>
          <w:rFonts w:ascii="Times New Roman" w:hAnsi="Times New Roman" w:cs="Times New Roman"/>
          <w:b/>
          <w:bCs w:val="0"/>
        </w:rPr>
        <w:t xml:space="preserve"> čl. I </w:t>
      </w:r>
      <w:r>
        <w:rPr>
          <w:rFonts w:ascii="Times New Roman" w:hAnsi="Times New Roman" w:cs="Times New Roman"/>
          <w:b/>
          <w:bCs w:val="0"/>
        </w:rPr>
        <w:t xml:space="preserve">– nový bod </w:t>
      </w:r>
    </w:p>
    <w:p w:rsidR="009434CE" w:rsidRPr="006732DF" w:rsidP="006732DF">
      <w:pPr>
        <w:autoSpaceDE/>
        <w:autoSpaceDN/>
        <w:ind w:left="360" w:firstLine="348"/>
        <w:jc w:val="both"/>
        <w:rPr>
          <w:rFonts w:ascii="Times New Roman" w:hAnsi="Times New Roman" w:cs="Times New Roman"/>
          <w:bCs w:val="0"/>
        </w:rPr>
      </w:pPr>
      <w:r w:rsidRPr="006732DF" w:rsidR="006732DF">
        <w:rPr>
          <w:rFonts w:ascii="Times New Roman" w:hAnsi="Times New Roman" w:cs="Times New Roman"/>
          <w:bCs w:val="0"/>
        </w:rPr>
        <w:t>Z</w:t>
      </w:r>
      <w:r w:rsidRPr="006732DF">
        <w:rPr>
          <w:rFonts w:ascii="Times New Roman" w:hAnsi="Times New Roman" w:cs="Times New Roman"/>
          <w:bCs w:val="0"/>
        </w:rPr>
        <w:t xml:space="preserve">a bod 19 </w:t>
      </w:r>
      <w:r w:rsidRPr="006732DF" w:rsidR="006732DF">
        <w:rPr>
          <w:rFonts w:ascii="Times New Roman" w:hAnsi="Times New Roman" w:cs="Times New Roman"/>
          <w:bCs w:val="0"/>
        </w:rPr>
        <w:t xml:space="preserve">sa </w:t>
      </w:r>
      <w:r w:rsidRPr="006732DF">
        <w:rPr>
          <w:rFonts w:ascii="Times New Roman" w:hAnsi="Times New Roman" w:cs="Times New Roman"/>
          <w:bCs w:val="0"/>
        </w:rPr>
        <w:t>vkladá nový bod 20, ktorý znie:</w:t>
      </w:r>
    </w:p>
    <w:p w:rsidR="009434CE" w:rsidRPr="009434CE" w:rsidP="009434CE">
      <w:pPr>
        <w:ind w:left="709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„20. V § 38 ods. 5 sa na konci bodka nahrádza čiarkou a pripájajú sa tieto slová: „ako aj náležitosti žiadosti klienta o poskytnutie údajov z registra a doklady prikladané k tejto žiadosti; týmto opatrením sa tiež ustanoví hodnota poplatkov alebo sadzba poplatkov za poskytnutie údajov z registra klientovi a môžu sa ustanoviť aj podrobnosti o týchto poplatkoch, spôsob výpočtu ich hodnoty a podrobnosti o zaokrúhľovaní a platení týchto poplatkov.“.“.</w:t>
      </w:r>
    </w:p>
    <w:p w:rsidR="009434CE" w:rsidRPr="009434CE" w:rsidP="009434CE">
      <w:pPr>
        <w:jc w:val="both"/>
        <w:rPr>
          <w:rFonts w:ascii="Times New Roman" w:hAnsi="Times New Roman" w:cs="Times New Roman"/>
        </w:rPr>
      </w:pPr>
    </w:p>
    <w:p w:rsidR="009434CE" w:rsidRPr="009434CE" w:rsidP="009434CE">
      <w:pPr>
        <w:ind w:firstLine="709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Ostatné body sa prečíslujú.</w:t>
      </w:r>
    </w:p>
    <w:p w:rsidR="009434CE" w:rsidRPr="009434CE" w:rsidP="009434CE">
      <w:pPr>
        <w:jc w:val="both"/>
        <w:rPr>
          <w:rFonts w:ascii="Times New Roman" w:hAnsi="Times New Roman" w:cs="Times New Roman"/>
        </w:rPr>
      </w:pPr>
    </w:p>
    <w:p w:rsidR="009434CE" w:rsidRPr="009434CE" w:rsidP="009434CE">
      <w:pPr>
        <w:ind w:left="2836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Pri príprave opatrenia NBS, ktorým sa budú vykonávať ustanovenia § 38 ods. 3 zákona o bankách podľa tohto zákona, sa ukazuje, že doterajšie splnomocňovacie ustanovenie nemusí byť dostatočné. Klient banky, pobočky zahraničnej banky alebo Exportno-importnej banky SR z titulu postavenia klienta v zásade nepatrí medzi dohliadané subjekty finančného trhu (finančné inštitúcie), a preto hodnotu poplatku za poskytnutie údajov o klientovi z registra bankových úverov a záruk nemožno ustanoviť opatrením vydaným podľa ustanovení zákona č. 747/2004 Z. z. o dohľade nad finančným trhom. Z uvedených dôvodov sa navrhuje doplnenie § 38 ods. 5 zákona o bankách aj o splnomocňovacie ustanovenie na ustanovenie hodnoty (výšky alebo sadzby) poplatku za poskytnutie údajov o klientovi z registra bankových úverov a záruk.</w:t>
      </w:r>
    </w:p>
    <w:p w:rsidR="009434CE" w:rsidP="009434CE">
      <w:pPr>
        <w:jc w:val="both"/>
        <w:rPr>
          <w:rFonts w:ascii="Times New Roman" w:hAnsi="Times New Roman" w:cs="Times New Roman"/>
        </w:rPr>
      </w:pPr>
    </w:p>
    <w:p w:rsidR="009434CE" w:rsidP="009434CE">
      <w:pPr>
        <w:jc w:val="both"/>
        <w:rPr>
          <w:rFonts w:ascii="Times New Roman" w:hAnsi="Times New Roman" w:cs="Times New Roman"/>
        </w:rPr>
      </w:pPr>
    </w:p>
    <w:p w:rsidR="009434CE" w:rsidRPr="009434CE" w:rsidP="009434CE">
      <w:pPr>
        <w:jc w:val="both"/>
        <w:rPr>
          <w:rFonts w:ascii="Times New Roman" w:hAnsi="Times New Roman" w:cs="Times New Roman"/>
        </w:rPr>
      </w:pPr>
    </w:p>
    <w:p w:rsidR="006732DF" w:rsidRPr="006732DF" w:rsidP="009434CE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="009434CE">
        <w:rPr>
          <w:rFonts w:ascii="Times New Roman" w:hAnsi="Times New Roman" w:cs="Times New Roman"/>
          <w:b/>
          <w:bCs w:val="0"/>
        </w:rPr>
        <w:t>K</w:t>
      </w:r>
      <w:r w:rsidRPr="009434CE" w:rsidR="009434CE">
        <w:rPr>
          <w:rFonts w:ascii="Times New Roman" w:hAnsi="Times New Roman" w:cs="Times New Roman"/>
          <w:b/>
          <w:bCs w:val="0"/>
        </w:rPr>
        <w:t xml:space="preserve"> čl. I </w:t>
      </w:r>
      <w:r>
        <w:rPr>
          <w:rFonts w:ascii="Times New Roman" w:hAnsi="Times New Roman" w:cs="Times New Roman"/>
          <w:b/>
          <w:bCs w:val="0"/>
        </w:rPr>
        <w:t xml:space="preserve">– nový bod </w:t>
      </w:r>
    </w:p>
    <w:p w:rsidR="009434CE" w:rsidRPr="006732DF" w:rsidP="006732DF">
      <w:pPr>
        <w:ind w:left="360" w:firstLine="348"/>
        <w:jc w:val="both"/>
        <w:rPr>
          <w:rFonts w:ascii="Times New Roman" w:hAnsi="Times New Roman" w:cs="Times New Roman"/>
        </w:rPr>
      </w:pPr>
      <w:r w:rsidRPr="006732DF" w:rsidR="006732DF">
        <w:rPr>
          <w:rFonts w:ascii="Times New Roman" w:hAnsi="Times New Roman" w:cs="Times New Roman"/>
          <w:bCs w:val="0"/>
        </w:rPr>
        <w:t>Z</w:t>
      </w:r>
      <w:r w:rsidRPr="006732DF">
        <w:rPr>
          <w:rFonts w:ascii="Times New Roman" w:hAnsi="Times New Roman" w:cs="Times New Roman"/>
          <w:bCs w:val="0"/>
        </w:rPr>
        <w:t xml:space="preserve">a bod 23 </w:t>
      </w:r>
      <w:r w:rsidRPr="006732DF" w:rsidR="006732DF">
        <w:rPr>
          <w:rFonts w:ascii="Times New Roman" w:hAnsi="Times New Roman" w:cs="Times New Roman"/>
          <w:bCs w:val="0"/>
        </w:rPr>
        <w:t xml:space="preserve">sa </w:t>
      </w:r>
      <w:r w:rsidRPr="006732DF">
        <w:rPr>
          <w:rFonts w:ascii="Times New Roman" w:hAnsi="Times New Roman" w:cs="Times New Roman"/>
          <w:bCs w:val="0"/>
        </w:rPr>
        <w:t xml:space="preserve">vkladá </w:t>
      </w:r>
      <w:r w:rsidRPr="006732DF">
        <w:rPr>
          <w:rFonts w:ascii="Times New Roman" w:hAnsi="Times New Roman" w:cs="Times New Roman"/>
          <w:bCs w:val="0"/>
        </w:rPr>
        <w:t>nový bod 24, ktorý znie:</w:t>
      </w:r>
    </w:p>
    <w:p w:rsidR="009434CE" w:rsidRPr="009434CE" w:rsidP="009434CE">
      <w:pPr>
        <w:pStyle w:val="BodyText2"/>
        <w:spacing w:after="0" w:line="240" w:lineRule="auto"/>
        <w:ind w:firstLine="708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„24. V § 41 ods. 3 sa slová „§ 23 ods. 2“ nahrádzajú slovami „§ 23 ods. 4“.“.</w:t>
      </w:r>
    </w:p>
    <w:p w:rsidR="009434CE" w:rsidRPr="009434CE" w:rsidP="009434CE">
      <w:pPr>
        <w:jc w:val="both"/>
        <w:rPr>
          <w:rFonts w:ascii="Times New Roman" w:hAnsi="Times New Roman" w:cs="Times New Roman"/>
        </w:rPr>
      </w:pPr>
    </w:p>
    <w:p w:rsidR="009434CE" w:rsidRPr="009434CE" w:rsidP="009434CE">
      <w:pPr>
        <w:pStyle w:val="BodyText2"/>
        <w:spacing w:after="0" w:line="240" w:lineRule="auto"/>
        <w:ind w:firstLine="708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Ostatné body sa prečíslujú.</w:t>
      </w:r>
    </w:p>
    <w:p w:rsidR="009434CE" w:rsidRPr="009434CE" w:rsidP="009434CE">
      <w:pPr>
        <w:jc w:val="both"/>
        <w:rPr>
          <w:rFonts w:ascii="Times New Roman" w:hAnsi="Times New Roman" w:cs="Times New Roman"/>
        </w:rPr>
      </w:pPr>
    </w:p>
    <w:p w:rsidR="009434CE" w:rsidRPr="009434CE" w:rsidP="009434CE">
      <w:pPr>
        <w:ind w:left="2836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Ide o legislatívno technické spresnenie ustanovenia, ktoré sa okrem iného týka aj skúmania a hodnotenia pripravenosti banky na vykonávanie nových druhov obchodov z hľadiska riadenia rizík útvarom vnútornej kontroly a vnútorného auditu. Pritom z preskúmania doterajších noviel zákona o bankách vyplýva, že tento problém vznikol v dôsledku novely vykonanej zákonom č. 644/2006 Z. z., ktorá v rámci nového znenia § 23 posunula pôvodný odsek 2 (so zdokonaleným znením) na odsek 4, a to bez vykonania opravy vnútorného odkazu v ustanovení § 41 ods. 3.</w:t>
      </w:r>
    </w:p>
    <w:p w:rsidR="009434CE" w:rsidP="009434CE">
      <w:pPr>
        <w:jc w:val="both"/>
        <w:rPr>
          <w:rFonts w:ascii="Times New Roman" w:hAnsi="Times New Roman" w:cs="Times New Roman"/>
        </w:rPr>
      </w:pPr>
    </w:p>
    <w:p w:rsidR="008F35D7" w:rsidP="009434CE">
      <w:pPr>
        <w:jc w:val="both"/>
        <w:rPr>
          <w:rFonts w:ascii="Times New Roman" w:hAnsi="Times New Roman" w:cs="Times New Roman"/>
        </w:rPr>
      </w:pPr>
    </w:p>
    <w:p w:rsidR="008F35D7" w:rsidP="009434CE">
      <w:pPr>
        <w:jc w:val="both"/>
        <w:rPr>
          <w:rFonts w:ascii="Times New Roman" w:hAnsi="Times New Roman" w:cs="Times New Roman"/>
        </w:rPr>
      </w:pPr>
    </w:p>
    <w:p w:rsidR="008F35D7" w:rsidP="009434CE">
      <w:pPr>
        <w:jc w:val="both"/>
        <w:rPr>
          <w:rFonts w:ascii="Times New Roman" w:hAnsi="Times New Roman" w:cs="Times New Roman"/>
        </w:rPr>
      </w:pPr>
    </w:p>
    <w:p w:rsidR="008F35D7" w:rsidRPr="008F35D7" w:rsidP="008F35D7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8F35D7">
        <w:rPr>
          <w:rFonts w:ascii="Times New Roman" w:hAnsi="Times New Roman" w:cs="Times New Roman"/>
          <w:b/>
        </w:rPr>
        <w:t>K čl. I</w:t>
      </w:r>
      <w:r w:rsidR="006732DF">
        <w:rPr>
          <w:rFonts w:ascii="Times New Roman" w:hAnsi="Times New Roman" w:cs="Times New Roman"/>
          <w:b/>
        </w:rPr>
        <w:t xml:space="preserve"> bod </w:t>
      </w:r>
      <w:r w:rsidRPr="008F35D7">
        <w:rPr>
          <w:rFonts w:ascii="Times New Roman" w:hAnsi="Times New Roman" w:cs="Times New Roman"/>
          <w:b/>
        </w:rPr>
        <w:t>30</w:t>
      </w:r>
    </w:p>
    <w:p w:rsidR="008F35D7" w:rsidRPr="00D04354" w:rsidP="008F35D7">
      <w:pPr>
        <w:ind w:left="705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V § 48 ods. 1 v prvej vete  za slová „a orgán dohľadu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 xml:space="preserve"> vložiť slová  „iného členského štátu“.</w:t>
      </w:r>
    </w:p>
    <w:p w:rsidR="008F35D7" w:rsidRPr="00D04354" w:rsidP="008F35D7">
      <w:pPr>
        <w:spacing w:line="360" w:lineRule="auto"/>
        <w:jc w:val="both"/>
        <w:rPr>
          <w:rFonts w:ascii="Times New Roman" w:hAnsi="Times New Roman" w:cs="Times New Roman"/>
        </w:rPr>
      </w:pPr>
    </w:p>
    <w:p w:rsidR="008F35D7" w:rsidRPr="00D04354" w:rsidP="008F35D7">
      <w:pPr>
        <w:ind w:left="2832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Navrhované nové znenie § 48 ods. 1 upravuje vzájomnú  oznamovaciu povinnosť orgánov dohľadu členských štátov  v</w:t>
      </w:r>
      <w:r>
        <w:rPr>
          <w:rFonts w:ascii="Times New Roman" w:hAnsi="Times New Roman" w:cs="Times New Roman"/>
        </w:rPr>
        <w:t> </w:t>
      </w:r>
      <w:r w:rsidRPr="00D04354">
        <w:rPr>
          <w:rFonts w:ascii="Times New Roman" w:hAnsi="Times New Roman" w:cs="Times New Roman"/>
        </w:rPr>
        <w:t>prípadoch</w:t>
      </w:r>
      <w:r>
        <w:rPr>
          <w:rFonts w:ascii="Times New Roman" w:hAnsi="Times New Roman" w:cs="Times New Roman"/>
        </w:rPr>
        <w:t>,</w:t>
      </w:r>
      <w:r w:rsidRPr="00D04354">
        <w:rPr>
          <w:rFonts w:ascii="Times New Roman" w:hAnsi="Times New Roman" w:cs="Times New Roman"/>
        </w:rPr>
        <w:t xml:space="preserve"> ak vznikne kritická situácia vrátane nepriaznivého vývoja na finančných trhoch, ktorá potencionálne ohrozuje likviditu trhu a stabilitu v členských štátoch. V prvej vete je upravená oznamovacia  povinnosť Národnej banky Slovenska voči orgánu dohľadu iného členského štátu  v súvislosti s výkonom dohľadu na konsolidovanom základe, čo je potrebné </w:t>
      </w:r>
      <w:r>
        <w:rPr>
          <w:rFonts w:ascii="Times New Roman" w:hAnsi="Times New Roman" w:cs="Times New Roman"/>
        </w:rPr>
        <w:t>normatívne</w:t>
      </w:r>
      <w:r w:rsidRPr="00D04354">
        <w:rPr>
          <w:rFonts w:ascii="Times New Roman" w:hAnsi="Times New Roman" w:cs="Times New Roman"/>
        </w:rPr>
        <w:t xml:space="preserve"> vyjadriť.</w:t>
      </w:r>
    </w:p>
    <w:p w:rsidR="008F35D7" w:rsidP="009434CE">
      <w:pPr>
        <w:jc w:val="both"/>
        <w:rPr>
          <w:rFonts w:ascii="Times New Roman" w:hAnsi="Times New Roman" w:cs="Times New Roman"/>
        </w:rPr>
      </w:pPr>
    </w:p>
    <w:p w:rsidR="008F35D7" w:rsidP="009434CE">
      <w:pPr>
        <w:jc w:val="both"/>
        <w:rPr>
          <w:rFonts w:ascii="Times New Roman" w:hAnsi="Times New Roman" w:cs="Times New Roman"/>
        </w:rPr>
      </w:pPr>
    </w:p>
    <w:p w:rsidR="009434CE" w:rsidRPr="009434CE" w:rsidP="009434CE">
      <w:pPr>
        <w:jc w:val="both"/>
        <w:rPr>
          <w:rFonts w:ascii="Times New Roman" w:hAnsi="Times New Roman" w:cs="Times New Roman"/>
        </w:rPr>
      </w:pPr>
    </w:p>
    <w:p w:rsidR="006732DF" w:rsidP="009434CE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  <w:b/>
          <w:bCs w:val="0"/>
        </w:rPr>
      </w:pPr>
      <w:r w:rsidR="009434CE">
        <w:rPr>
          <w:rFonts w:ascii="Times New Roman" w:hAnsi="Times New Roman" w:cs="Times New Roman"/>
          <w:b/>
          <w:bCs w:val="0"/>
        </w:rPr>
        <w:t>K</w:t>
      </w:r>
      <w:r w:rsidRPr="009434CE" w:rsidR="009434CE">
        <w:rPr>
          <w:rFonts w:ascii="Times New Roman" w:hAnsi="Times New Roman" w:cs="Times New Roman"/>
          <w:b/>
          <w:bCs w:val="0"/>
        </w:rPr>
        <w:t xml:space="preserve"> čl. I </w:t>
      </w:r>
      <w:r>
        <w:rPr>
          <w:rFonts w:ascii="Times New Roman" w:hAnsi="Times New Roman" w:cs="Times New Roman"/>
          <w:b/>
          <w:bCs w:val="0"/>
        </w:rPr>
        <w:t>– nový bod</w:t>
      </w:r>
    </w:p>
    <w:p w:rsidR="009434CE" w:rsidRPr="006732DF" w:rsidP="006732DF">
      <w:pPr>
        <w:ind w:left="360" w:firstLine="348"/>
        <w:jc w:val="both"/>
        <w:rPr>
          <w:rFonts w:ascii="Times New Roman" w:hAnsi="Times New Roman" w:cs="Times New Roman"/>
          <w:bCs w:val="0"/>
        </w:rPr>
      </w:pPr>
      <w:r w:rsidRPr="006732DF" w:rsidR="006732DF">
        <w:rPr>
          <w:rFonts w:ascii="Times New Roman" w:hAnsi="Times New Roman" w:cs="Times New Roman"/>
          <w:bCs w:val="0"/>
        </w:rPr>
        <w:t>Z</w:t>
      </w:r>
      <w:r w:rsidRPr="006732DF">
        <w:rPr>
          <w:rFonts w:ascii="Times New Roman" w:hAnsi="Times New Roman" w:cs="Times New Roman"/>
          <w:bCs w:val="0"/>
        </w:rPr>
        <w:t xml:space="preserve">a bod 34 </w:t>
      </w:r>
      <w:r w:rsidRPr="006732DF" w:rsidR="006732DF">
        <w:rPr>
          <w:rFonts w:ascii="Times New Roman" w:hAnsi="Times New Roman" w:cs="Times New Roman"/>
          <w:bCs w:val="0"/>
        </w:rPr>
        <w:t xml:space="preserve">sa </w:t>
      </w:r>
      <w:r w:rsidRPr="006732DF">
        <w:rPr>
          <w:rFonts w:ascii="Times New Roman" w:hAnsi="Times New Roman" w:cs="Times New Roman"/>
          <w:bCs w:val="0"/>
        </w:rPr>
        <w:t>vkladá nový bod 35, ktorý znie:</w:t>
      </w:r>
    </w:p>
    <w:p w:rsidR="009434CE" w:rsidRPr="009434CE" w:rsidP="009434CE">
      <w:pPr>
        <w:autoSpaceDE/>
        <w:autoSpaceDN/>
        <w:ind w:left="709"/>
        <w:jc w:val="both"/>
        <w:rPr>
          <w:rFonts w:ascii="Times New Roman" w:hAnsi="Times New Roman" w:cs="Times New Roman"/>
          <w:color w:val="000000"/>
        </w:rPr>
      </w:pPr>
      <w:r w:rsidRPr="009434CE">
        <w:rPr>
          <w:rFonts w:ascii="Times New Roman" w:hAnsi="Times New Roman" w:cs="Times New Roman"/>
        </w:rPr>
        <w:t xml:space="preserve">„35. </w:t>
      </w:r>
      <w:r w:rsidRPr="009434CE">
        <w:rPr>
          <w:rFonts w:ascii="Times New Roman" w:hAnsi="Times New Roman" w:cs="Times New Roman"/>
          <w:color w:val="000000"/>
        </w:rPr>
        <w:t>V § 52 ods. 9 sa za slová „všeobecne záväznými právnymi predpismi“ vkladá čiarka a slová „s rozhodnutiami Národnej banky Slovenska“.“.</w:t>
      </w:r>
    </w:p>
    <w:p w:rsidR="009434CE" w:rsidRPr="009434CE" w:rsidP="009434CE">
      <w:pPr>
        <w:autoSpaceDE/>
        <w:autoSpaceDN/>
        <w:jc w:val="both"/>
        <w:rPr>
          <w:rFonts w:ascii="Times New Roman" w:hAnsi="Times New Roman" w:cs="Times New Roman"/>
          <w:color w:val="000000"/>
        </w:rPr>
      </w:pPr>
    </w:p>
    <w:p w:rsidR="009434CE" w:rsidRPr="009434CE" w:rsidP="009434CE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</w:rPr>
      </w:pPr>
      <w:r w:rsidRPr="009434CE">
        <w:rPr>
          <w:rFonts w:ascii="Times New Roman" w:hAnsi="Times New Roman" w:cs="Times New Roman"/>
          <w:color w:val="000000"/>
        </w:rPr>
        <w:t>Ostatné body sa prečíslujú.</w:t>
      </w:r>
    </w:p>
    <w:p w:rsidR="009434CE" w:rsidRPr="009434CE" w:rsidP="009434CE">
      <w:pPr>
        <w:autoSpaceDE/>
        <w:autoSpaceDN/>
        <w:jc w:val="both"/>
        <w:rPr>
          <w:rFonts w:ascii="Times New Roman" w:hAnsi="Times New Roman" w:cs="Times New Roman"/>
          <w:color w:val="000000"/>
        </w:rPr>
      </w:pPr>
    </w:p>
    <w:p w:rsidR="009434CE" w:rsidRPr="009434CE" w:rsidP="009434CE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u w:val="single"/>
        </w:rPr>
      </w:pPr>
    </w:p>
    <w:p w:rsidR="009434CE" w:rsidRPr="009434CE" w:rsidP="009434CE">
      <w:pPr>
        <w:pStyle w:val="BodyTextIndent2"/>
        <w:ind w:left="2836" w:firstLine="0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Navrhuje sa doplniť § 52 ods. 9 zákona o bankách v záujme zdokonalenia legislatívnych predpokladov na zabezpečenie efektívneho a účinného výkonu dohľadu tak, aby Národná banka Slovenska (NBS) mala možnosť aj zo strany akcionárov bánk zabezpečiť rešpektovanie a plnenie povinností uložených banke rozhodnutím NBS, napríklad pri predbežnom opatrení alebo rozhodnutí ukladajúcom povinnosť udržiavať vlastné zdroje banky v určenej výške a pod. Preto sa navrhuje doplniť znenie ustanovenia § 52 ods. 9 tak, aby toto ustanovenie dôsledne zohľadňovalo znenie ustanovenia § 50 ods. 1 zákona o bankách.</w:t>
      </w:r>
    </w:p>
    <w:p w:rsidR="009434CE" w:rsidRPr="009434CE" w:rsidP="009434CE">
      <w:pPr>
        <w:jc w:val="both"/>
        <w:rPr>
          <w:rFonts w:ascii="Times New Roman" w:hAnsi="Times New Roman" w:cs="Times New Roman"/>
        </w:rPr>
      </w:pPr>
    </w:p>
    <w:p w:rsidR="009434CE" w:rsidRPr="009434CE" w:rsidP="009434CE">
      <w:pPr>
        <w:jc w:val="both"/>
        <w:rPr>
          <w:rFonts w:ascii="Times New Roman" w:hAnsi="Times New Roman" w:cs="Times New Roman"/>
        </w:rPr>
      </w:pPr>
    </w:p>
    <w:p w:rsidR="009434CE" w:rsidRPr="009434CE" w:rsidP="009434CE">
      <w:pPr>
        <w:jc w:val="both"/>
        <w:rPr>
          <w:rFonts w:ascii="Times New Roman" w:hAnsi="Times New Roman" w:cs="Times New Roman"/>
        </w:rPr>
      </w:pPr>
    </w:p>
    <w:p w:rsidR="006732DF" w:rsidRPr="006732DF" w:rsidP="009434CE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="009434CE">
        <w:rPr>
          <w:rFonts w:ascii="Times New Roman" w:hAnsi="Times New Roman" w:cs="Times New Roman"/>
          <w:b/>
          <w:bCs w:val="0"/>
        </w:rPr>
        <w:t>K</w:t>
      </w:r>
      <w:r w:rsidRPr="009434CE" w:rsidR="009434CE">
        <w:rPr>
          <w:rFonts w:ascii="Times New Roman" w:hAnsi="Times New Roman" w:cs="Times New Roman"/>
          <w:b/>
          <w:bCs w:val="0"/>
        </w:rPr>
        <w:t xml:space="preserve"> čl. I </w:t>
      </w:r>
      <w:r>
        <w:rPr>
          <w:rFonts w:ascii="Times New Roman" w:hAnsi="Times New Roman" w:cs="Times New Roman"/>
          <w:b/>
          <w:bCs w:val="0"/>
        </w:rPr>
        <w:t>– nový bod</w:t>
      </w:r>
    </w:p>
    <w:p w:rsidR="009434CE" w:rsidRPr="006732DF" w:rsidP="006732DF">
      <w:pPr>
        <w:ind w:left="360" w:firstLine="348"/>
        <w:jc w:val="both"/>
        <w:rPr>
          <w:rFonts w:ascii="Times New Roman" w:hAnsi="Times New Roman" w:cs="Times New Roman"/>
        </w:rPr>
      </w:pPr>
      <w:r w:rsidRPr="006732DF" w:rsidR="006732DF">
        <w:rPr>
          <w:rFonts w:ascii="Times New Roman" w:hAnsi="Times New Roman" w:cs="Times New Roman"/>
          <w:bCs w:val="0"/>
        </w:rPr>
        <w:t>Z</w:t>
      </w:r>
      <w:r w:rsidRPr="006732DF">
        <w:rPr>
          <w:rFonts w:ascii="Times New Roman" w:hAnsi="Times New Roman" w:cs="Times New Roman"/>
          <w:bCs w:val="0"/>
        </w:rPr>
        <w:t xml:space="preserve">a bod 42 </w:t>
      </w:r>
      <w:r w:rsidRPr="006732DF" w:rsidR="006732DF">
        <w:rPr>
          <w:rFonts w:ascii="Times New Roman" w:hAnsi="Times New Roman" w:cs="Times New Roman"/>
          <w:bCs w:val="0"/>
        </w:rPr>
        <w:t xml:space="preserve">sa </w:t>
      </w:r>
      <w:r w:rsidRPr="006732DF">
        <w:rPr>
          <w:rFonts w:ascii="Times New Roman" w:hAnsi="Times New Roman" w:cs="Times New Roman"/>
          <w:bCs w:val="0"/>
        </w:rPr>
        <w:t>vkladá nový bod 43, ktorý znie:</w:t>
      </w:r>
    </w:p>
    <w:p w:rsidR="009434CE" w:rsidRPr="009434CE" w:rsidP="009434CE">
      <w:pPr>
        <w:pStyle w:val="BodyText2"/>
        <w:tabs>
          <w:tab w:val="left" w:pos="-7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„43. V § 91 ods. 2 sa za slová „považuje aj“ vkladajú slová „právny nástupca pôvodného klienta v rozsahu týkajúcom sa práv a povinností, ktoré nadobudol tento právny nástupca,“.“.</w:t>
      </w:r>
    </w:p>
    <w:p w:rsidR="009434CE" w:rsidRPr="009434CE" w:rsidP="009434CE">
      <w:pPr>
        <w:tabs>
          <w:tab w:val="left" w:pos="-720"/>
        </w:tabs>
        <w:autoSpaceDE/>
        <w:autoSpaceDN/>
        <w:jc w:val="both"/>
        <w:rPr>
          <w:rFonts w:ascii="Times New Roman" w:hAnsi="Times New Roman" w:cs="Times New Roman"/>
        </w:rPr>
      </w:pPr>
    </w:p>
    <w:p w:rsidR="009434CE" w:rsidRPr="009434CE" w:rsidP="009434CE">
      <w:pPr>
        <w:tabs>
          <w:tab w:val="left" w:pos="-720"/>
        </w:tabs>
        <w:autoSpaceDE/>
        <w:autoSpaceDN/>
        <w:ind w:firstLine="709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Ostatné body sa prečíslujú.</w:t>
      </w:r>
    </w:p>
    <w:p w:rsidR="009434CE" w:rsidRPr="009434CE" w:rsidP="009434CE">
      <w:pPr>
        <w:jc w:val="both"/>
        <w:rPr>
          <w:rFonts w:ascii="Times New Roman" w:hAnsi="Times New Roman" w:cs="Times New Roman"/>
        </w:rPr>
      </w:pPr>
    </w:p>
    <w:p w:rsidR="009434CE" w:rsidRPr="009434CE" w:rsidP="009434CE">
      <w:pPr>
        <w:ind w:left="2836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Ustanovenie § 91 ods. 2 zákona o bankách sa navrhuje upraviť v záujme zdokonalenia právnych predpokladov na zjednodušenú interpretáciu a aplikáciu ustanovení o bankovom tajomstve z hľadiska postavenia právnych nástupcov pôvodných klientov bánk a pobočiek zahraničných bánk.</w:t>
      </w:r>
    </w:p>
    <w:p w:rsidR="009434CE" w:rsidP="009434CE">
      <w:pPr>
        <w:autoSpaceDE/>
        <w:autoSpaceDN/>
        <w:jc w:val="both"/>
        <w:rPr>
          <w:rFonts w:ascii="Times New Roman" w:hAnsi="Times New Roman" w:cs="Times New Roman"/>
        </w:rPr>
      </w:pPr>
    </w:p>
    <w:p w:rsidR="006732DF" w:rsidRPr="006732DF" w:rsidP="008F35D7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F35D7" w:rsidR="008F35D7">
        <w:rPr>
          <w:rFonts w:ascii="Times New Roman" w:hAnsi="Times New Roman" w:cs="Times New Roman"/>
          <w:b/>
        </w:rPr>
        <w:t>K čl. I</w:t>
      </w:r>
      <w:r>
        <w:rPr>
          <w:rFonts w:ascii="Times New Roman" w:hAnsi="Times New Roman" w:cs="Times New Roman"/>
          <w:b/>
        </w:rPr>
        <w:t xml:space="preserve"> bod </w:t>
      </w:r>
      <w:r w:rsidRPr="008F35D7" w:rsidR="008F35D7">
        <w:rPr>
          <w:rFonts w:ascii="Times New Roman" w:hAnsi="Times New Roman" w:cs="Times New Roman"/>
          <w:b/>
        </w:rPr>
        <w:t xml:space="preserve">49  </w:t>
      </w:r>
    </w:p>
    <w:p w:rsidR="008F35D7" w:rsidRPr="00D04354" w:rsidP="006732DF">
      <w:pPr>
        <w:ind w:left="708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V názve § 122m  a v § 122m ods.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>2  v druhom a v treťom riadku slová „1. marca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 xml:space="preserve"> nahradiť slovami „1. apríla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>.</w:t>
      </w:r>
    </w:p>
    <w:p w:rsidR="008F35D7" w:rsidP="008F35D7">
      <w:pPr>
        <w:spacing w:line="360" w:lineRule="auto"/>
        <w:jc w:val="both"/>
        <w:rPr>
          <w:rFonts w:ascii="Times New Roman" w:hAnsi="Times New Roman" w:cs="Times New Roman"/>
        </w:rPr>
      </w:pPr>
    </w:p>
    <w:p w:rsidR="008F35D7" w:rsidRPr="00D04354" w:rsidP="008F35D7">
      <w:pPr>
        <w:ind w:left="2832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>o zreálnenie navrhovanej účinnosti zákona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>vo väzbe na harmonogram schôdzí Národnej rady Slovenskej republiky rešpektujúc legisvakančné lehoty a v neposlednom rade o potrebu dôsledného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 xml:space="preserve">rešpektovania ústavných právomocí prezidenta Slovenskej republiky  (čl. 102 písm. o) </w:t>
      </w:r>
      <w:r>
        <w:rPr>
          <w:rFonts w:ascii="Times New Roman" w:hAnsi="Times New Roman" w:cs="Times New Roman"/>
        </w:rPr>
        <w:t xml:space="preserve"> Ústavy Slovenskej republiky).</w:t>
      </w:r>
    </w:p>
    <w:p w:rsidR="008F35D7" w:rsidP="008F35D7">
      <w:pPr>
        <w:spacing w:line="360" w:lineRule="auto"/>
        <w:jc w:val="both"/>
        <w:rPr>
          <w:rFonts w:ascii="Times New Roman" w:hAnsi="Times New Roman" w:cs="Times New Roman"/>
        </w:rPr>
      </w:pPr>
    </w:p>
    <w:p w:rsidR="009434CE" w:rsidRPr="009434CE" w:rsidP="009434CE">
      <w:pPr>
        <w:autoSpaceDE/>
        <w:autoSpaceDN/>
        <w:jc w:val="both"/>
        <w:rPr>
          <w:rFonts w:ascii="Times New Roman" w:hAnsi="Times New Roman" w:cs="Times New Roman"/>
        </w:rPr>
      </w:pPr>
    </w:p>
    <w:p w:rsidR="006732DF" w:rsidRPr="006732DF" w:rsidP="009434CE">
      <w:pPr>
        <w:pStyle w:val="BodyTextIndent3"/>
        <w:numPr>
          <w:ilvl w:val="0"/>
          <w:numId w:val="23"/>
        </w:numPr>
        <w:tabs>
          <w:tab w:val="left" w:pos="720"/>
        </w:tabs>
        <w:rPr>
          <w:rFonts w:ascii="Times New Roman" w:hAnsi="Times New Roman" w:cs="Times New Roman"/>
          <w:b/>
          <w:szCs w:val="24"/>
        </w:rPr>
      </w:pPr>
      <w:r w:rsidR="009434CE">
        <w:rPr>
          <w:rFonts w:ascii="Times New Roman" w:hAnsi="Times New Roman" w:cs="Times New Roman"/>
          <w:b/>
          <w:szCs w:val="24"/>
        </w:rPr>
        <w:t>K</w:t>
      </w:r>
      <w:r w:rsidRPr="009434CE" w:rsidR="009434CE">
        <w:rPr>
          <w:rFonts w:ascii="Times New Roman" w:hAnsi="Times New Roman" w:cs="Times New Roman"/>
          <w:b/>
          <w:szCs w:val="24"/>
        </w:rPr>
        <w:t xml:space="preserve"> </w:t>
      </w:r>
      <w:r w:rsidRPr="009434CE" w:rsidR="009434CE">
        <w:rPr>
          <w:rFonts w:ascii="Times New Roman" w:hAnsi="Times New Roman" w:cs="Times New Roman"/>
          <w:b/>
          <w:szCs w:val="24"/>
          <w:lang w:val="sk-SK"/>
        </w:rPr>
        <w:t>čl. I</w:t>
      </w:r>
      <w:r w:rsidR="00401691">
        <w:rPr>
          <w:rFonts w:ascii="Times New Roman" w:hAnsi="Times New Roman" w:cs="Times New Roman"/>
          <w:b/>
          <w:szCs w:val="24"/>
          <w:lang w:val="sk-SK"/>
        </w:rPr>
        <w:t> bod 49</w:t>
      </w:r>
    </w:p>
    <w:p w:rsidR="009434CE" w:rsidRPr="00901501" w:rsidP="006732DF">
      <w:pPr>
        <w:pStyle w:val="BodyTextIndent3"/>
        <w:ind w:left="360" w:firstLine="348"/>
        <w:rPr>
          <w:rFonts w:ascii="Times New Roman" w:hAnsi="Times New Roman" w:cs="Times New Roman"/>
          <w:szCs w:val="24"/>
        </w:rPr>
      </w:pPr>
      <w:r w:rsidRPr="00901501" w:rsidR="006732DF">
        <w:rPr>
          <w:rFonts w:ascii="Times New Roman" w:hAnsi="Times New Roman" w:cs="Times New Roman"/>
          <w:szCs w:val="24"/>
          <w:lang w:val="sk-SK"/>
        </w:rPr>
        <w:t>V</w:t>
      </w:r>
      <w:r w:rsidRPr="00901501">
        <w:rPr>
          <w:rFonts w:ascii="Times New Roman" w:hAnsi="Times New Roman" w:cs="Times New Roman"/>
          <w:szCs w:val="24"/>
          <w:lang w:val="sk-SK"/>
        </w:rPr>
        <w:t xml:space="preserve"> bode 49 sa do navrhovaného § 122m dopĺňajú odseky 3 až 6, ktoré znejú:</w:t>
      </w:r>
    </w:p>
    <w:p w:rsidR="009434CE" w:rsidRPr="009434CE" w:rsidP="009434CE">
      <w:pPr>
        <w:autoSpaceDE/>
        <w:autoSpaceDN/>
        <w:ind w:left="708" w:firstLine="1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 xml:space="preserve">„(3) Banky, ktoré počítajú hodnotu rizikovo vážených expozícií použitím prístupu interných ratingov, musia mať do 31. decembra 2011 vlastné zdroje rovné alebo vyššie ako hodnoty uvedené v odsekoch </w:t>
      </w:r>
      <w:smartTag w:uri="urn:schemas-microsoft-com:office:smarttags" w:element="metricconverter">
        <w:smartTagPr>
          <w:attr w:name="ProductID" w:val="4 a"/>
        </w:smartTagPr>
        <w:r w:rsidRPr="009434CE">
          <w:rPr>
            <w:rFonts w:ascii="Times New Roman" w:hAnsi="Times New Roman" w:cs="Times New Roman"/>
          </w:rPr>
          <w:t>4 a</w:t>
        </w:r>
      </w:smartTag>
      <w:r w:rsidRPr="009434CE">
        <w:rPr>
          <w:rFonts w:ascii="Times New Roman" w:hAnsi="Times New Roman" w:cs="Times New Roman"/>
        </w:rPr>
        <w:t xml:space="preserve"> 5. Banky, ktoré používajú pokročilý prístup merania pre výpočet požiadaviek na vlastné zdroje na operačné riziko, musia mať do 31. decembra 2011 vlastné zdroje rovné alebo vyššie ako hodnoty uvedené v odsekoch 4 a 5.</w:t>
      </w:r>
    </w:p>
    <w:p w:rsidR="009434CE" w:rsidRPr="009434CE" w:rsidP="009434CE">
      <w:pPr>
        <w:autoSpaceDE/>
        <w:autoSpaceDN/>
        <w:ind w:left="708" w:firstLine="1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(4) Hodnota vlastných zdrojov podľa odseku 3 je 80 % z celkovej minimálnej požiadavky na vlastné zdroje podľa predpisov účinných k 31. decembru 2006.</w:t>
      </w:r>
    </w:p>
    <w:p w:rsidR="009434CE" w:rsidRPr="009434CE" w:rsidP="009434CE">
      <w:pPr>
        <w:autoSpaceDE/>
        <w:autoSpaceDN/>
        <w:ind w:left="708" w:firstLine="1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(5) Hodnota vlastných zdrojov podľa odseku 3 je 80 % z celkovej minimálnej požiadavky na vlastné zdroje podľa predpisov účinných k 31. marcu 2011, a to na základe predchádzajúceho súhlasu Národnej banky Slovenska, ak banka začala na výpočty svojich požiadaviek na vlastné zdroje používať prístup interných modelov alebo pokročilý prístup merania od 1. januára 2010 alebo neskôr.</w:t>
      </w:r>
    </w:p>
    <w:p w:rsidR="009434CE" w:rsidRPr="009434CE" w:rsidP="009434CE">
      <w:pPr>
        <w:autoSpaceDE/>
        <w:autoSpaceDN/>
        <w:ind w:left="708" w:firstLine="1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(6) Do 31. decembra 2012 expozíciami vážená priemerná strata v prípade zlyhania pre všetky retailové expozície, ktoré sú zabezpečené nehnuteľnosťami určenými na bývanie a nevyužívajú štátne záruky, nesmie byť nižšia ako 10 %.“.</w:t>
      </w:r>
    </w:p>
    <w:p w:rsidR="009434CE" w:rsidRPr="009434CE" w:rsidP="009434CE">
      <w:pPr>
        <w:autoSpaceDE/>
        <w:autoSpaceDN/>
        <w:jc w:val="both"/>
        <w:rPr>
          <w:rFonts w:ascii="Times New Roman" w:hAnsi="Times New Roman" w:cs="Times New Roman"/>
        </w:rPr>
      </w:pPr>
    </w:p>
    <w:p w:rsidR="009434CE" w:rsidRPr="009434CE" w:rsidP="009434CE">
      <w:pPr>
        <w:autoSpaceDE/>
        <w:autoSpaceDN/>
        <w:ind w:left="2836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>Transpozícia článku 1 bodu 16 smernice 2010/76/ES (čl. 152 ods. 5a až 5d smernice 2006/48/ES).</w:t>
      </w:r>
    </w:p>
    <w:p w:rsidR="009434CE" w:rsidP="009434CE">
      <w:pPr>
        <w:autoSpaceDE/>
        <w:autoSpaceDN/>
        <w:ind w:left="2836"/>
        <w:jc w:val="both"/>
        <w:rPr>
          <w:rFonts w:ascii="Times New Roman" w:hAnsi="Times New Roman" w:cs="Times New Roman"/>
        </w:rPr>
      </w:pPr>
      <w:r w:rsidRPr="009434CE">
        <w:rPr>
          <w:rFonts w:ascii="Times New Roman" w:hAnsi="Times New Roman" w:cs="Times New Roman"/>
        </w:rPr>
        <w:t xml:space="preserve">Transpozícia článku 1, bodu 17 smernice 2010/76/ES (čl. 154 ods. 5 smernice 2006/48/ES). Pôvodné znenie čl. 154 odseku 5 smernice 2006/48/ES v platnom znení zákona o bankách transponované v § </w:t>
      </w:r>
      <w:smartTag w:uri="urn:schemas-microsoft-com:office:smarttags" w:element="metricconverter">
        <w:smartTagPr>
          <w:attr w:name="ProductID" w:val="122f"/>
        </w:smartTagPr>
        <w:r w:rsidRPr="009434CE">
          <w:rPr>
            <w:rFonts w:ascii="Times New Roman" w:hAnsi="Times New Roman" w:cs="Times New Roman"/>
          </w:rPr>
          <w:t>122f</w:t>
        </w:r>
      </w:smartTag>
      <w:r w:rsidRPr="009434CE">
        <w:rPr>
          <w:rFonts w:ascii="Times New Roman" w:hAnsi="Times New Roman" w:cs="Times New Roman"/>
        </w:rPr>
        <w:t xml:space="preserve"> ods. 13 sa nahrádza novým znením s jediným rozdielom, a to posunutím lehoty tam určenej z 31. decembra 2010 na lehotu do 31. decembra 2012. Nakoľko tento zákon má byť účinný najskôr 1. marca 2011, nie je možné novelizovať § </w:t>
      </w:r>
      <w:smartTag w:uri="urn:schemas-microsoft-com:office:smarttags" w:element="metricconverter">
        <w:smartTagPr>
          <w:attr w:name="ProductID" w:val="122f"/>
        </w:smartTagPr>
        <w:r w:rsidRPr="009434CE">
          <w:rPr>
            <w:rFonts w:ascii="Times New Roman" w:hAnsi="Times New Roman" w:cs="Times New Roman"/>
          </w:rPr>
          <w:t>122f</w:t>
        </w:r>
      </w:smartTag>
      <w:r w:rsidRPr="009434CE">
        <w:rPr>
          <w:rFonts w:ascii="Times New Roman" w:hAnsi="Times New Roman" w:cs="Times New Roman"/>
        </w:rPr>
        <w:t xml:space="preserve"> ods. 13, ale je potrebné prijať nové prechodné ustanovenie v § 122m ods. 3; medzitým zanikne účinok § </w:t>
      </w:r>
      <w:smartTag w:uri="urn:schemas-microsoft-com:office:smarttags" w:element="metricconverter">
        <w:smartTagPr>
          <w:attr w:name="ProductID" w:val="122f"/>
        </w:smartTagPr>
        <w:r w:rsidRPr="009434CE">
          <w:rPr>
            <w:rFonts w:ascii="Times New Roman" w:hAnsi="Times New Roman" w:cs="Times New Roman"/>
          </w:rPr>
          <w:t>122f</w:t>
        </w:r>
      </w:smartTag>
      <w:r w:rsidRPr="009434CE">
        <w:rPr>
          <w:rFonts w:ascii="Times New Roman" w:hAnsi="Times New Roman" w:cs="Times New Roman"/>
        </w:rPr>
        <w:t xml:space="preserve"> ods. 13 zákona o bankách.</w:t>
      </w:r>
    </w:p>
    <w:p w:rsidR="008F35D7" w:rsidP="009434CE">
      <w:pPr>
        <w:autoSpaceDE/>
        <w:autoSpaceDN/>
        <w:ind w:left="2836"/>
        <w:jc w:val="both"/>
        <w:rPr>
          <w:rFonts w:ascii="Times New Roman" w:hAnsi="Times New Roman" w:cs="Times New Roman"/>
        </w:rPr>
      </w:pPr>
    </w:p>
    <w:p w:rsidR="008F35D7" w:rsidP="009434CE">
      <w:pPr>
        <w:autoSpaceDE/>
        <w:autoSpaceDN/>
        <w:ind w:left="2836"/>
        <w:jc w:val="both"/>
        <w:rPr>
          <w:rFonts w:ascii="Times New Roman" w:hAnsi="Times New Roman" w:cs="Times New Roman"/>
        </w:rPr>
      </w:pPr>
    </w:p>
    <w:p w:rsidR="00901501" w:rsidP="009434CE">
      <w:pPr>
        <w:autoSpaceDE/>
        <w:autoSpaceDN/>
        <w:ind w:left="2836"/>
        <w:jc w:val="both"/>
        <w:rPr>
          <w:rFonts w:ascii="Times New Roman" w:hAnsi="Times New Roman" w:cs="Times New Roman"/>
        </w:rPr>
      </w:pPr>
    </w:p>
    <w:p w:rsidR="00901501" w:rsidP="009434CE">
      <w:pPr>
        <w:autoSpaceDE/>
        <w:autoSpaceDN/>
        <w:ind w:left="2836"/>
        <w:jc w:val="both"/>
        <w:rPr>
          <w:rFonts w:ascii="Times New Roman" w:hAnsi="Times New Roman" w:cs="Times New Roman"/>
        </w:rPr>
      </w:pPr>
    </w:p>
    <w:p w:rsidR="00901501" w:rsidP="009434CE">
      <w:pPr>
        <w:autoSpaceDE/>
        <w:autoSpaceDN/>
        <w:ind w:left="2836"/>
        <w:jc w:val="both"/>
        <w:rPr>
          <w:rFonts w:ascii="Times New Roman" w:hAnsi="Times New Roman" w:cs="Times New Roman"/>
        </w:rPr>
      </w:pPr>
    </w:p>
    <w:p w:rsidR="00901501" w:rsidRPr="009434CE" w:rsidP="009434CE">
      <w:pPr>
        <w:autoSpaceDE/>
        <w:autoSpaceDN/>
        <w:ind w:left="2836"/>
        <w:jc w:val="both"/>
        <w:rPr>
          <w:rFonts w:ascii="Times New Roman" w:hAnsi="Times New Roman" w:cs="Times New Roman"/>
        </w:rPr>
      </w:pPr>
    </w:p>
    <w:p w:rsidR="00401691" w:rsidP="008F35D7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 w:cs="Times New Roman"/>
          <w:b/>
          <w:noProof/>
          <w:spacing w:val="5"/>
        </w:rPr>
      </w:pPr>
      <w:r w:rsidRPr="008030A9" w:rsidR="008F35D7">
        <w:rPr>
          <w:rFonts w:ascii="Times New Roman" w:hAnsi="Times New Roman" w:cs="Times New Roman"/>
          <w:b/>
          <w:noProof/>
          <w:spacing w:val="5"/>
        </w:rPr>
        <w:t>V čl. I</w:t>
      </w:r>
      <w:r>
        <w:rPr>
          <w:rFonts w:ascii="Times New Roman" w:hAnsi="Times New Roman" w:cs="Times New Roman"/>
          <w:b/>
          <w:noProof/>
          <w:spacing w:val="5"/>
        </w:rPr>
        <w:t xml:space="preserve"> bod – nový bod</w:t>
      </w:r>
    </w:p>
    <w:p w:rsidR="008F35D7" w:rsidRPr="00401691" w:rsidP="00401691">
      <w:pPr>
        <w:ind w:left="360" w:firstLine="348"/>
        <w:jc w:val="both"/>
        <w:rPr>
          <w:rFonts w:ascii="Times New Roman" w:hAnsi="Times New Roman" w:cs="Times New Roman"/>
          <w:noProof/>
          <w:spacing w:val="5"/>
        </w:rPr>
      </w:pPr>
      <w:r w:rsidRPr="00401691" w:rsidR="00401691">
        <w:rPr>
          <w:rFonts w:ascii="Times New Roman" w:hAnsi="Times New Roman" w:cs="Times New Roman"/>
          <w:noProof/>
          <w:spacing w:val="5"/>
        </w:rPr>
        <w:t>Z</w:t>
      </w:r>
      <w:r w:rsidRPr="00401691">
        <w:rPr>
          <w:rFonts w:ascii="Times New Roman" w:hAnsi="Times New Roman" w:cs="Times New Roman"/>
          <w:noProof/>
          <w:spacing w:val="5"/>
        </w:rPr>
        <w:t xml:space="preserve">a bod 49 </w:t>
      </w:r>
      <w:r w:rsidR="00901501">
        <w:rPr>
          <w:rFonts w:ascii="Times New Roman" w:hAnsi="Times New Roman" w:cs="Times New Roman"/>
          <w:noProof/>
          <w:spacing w:val="5"/>
        </w:rPr>
        <w:t xml:space="preserve">sa </w:t>
      </w:r>
      <w:r w:rsidRPr="00401691">
        <w:rPr>
          <w:rFonts w:ascii="Times New Roman" w:hAnsi="Times New Roman" w:cs="Times New Roman"/>
          <w:noProof/>
          <w:spacing w:val="5"/>
        </w:rPr>
        <w:t>vkladá nový bod 50, ktorý znie:</w:t>
      </w:r>
    </w:p>
    <w:p w:rsidR="008F35D7" w:rsidRPr="008030A9" w:rsidP="008F35D7">
      <w:pPr>
        <w:ind w:firstLine="708"/>
        <w:jc w:val="both"/>
        <w:rPr>
          <w:rFonts w:ascii="Times New Roman" w:hAnsi="Times New Roman" w:cs="Times New Roman"/>
          <w:noProof/>
          <w:spacing w:val="5"/>
        </w:rPr>
      </w:pPr>
      <w:r w:rsidRPr="008030A9">
        <w:rPr>
          <w:rFonts w:ascii="Times New Roman" w:hAnsi="Times New Roman" w:cs="Times New Roman"/>
          <w:noProof/>
          <w:spacing w:val="5"/>
        </w:rPr>
        <w:t>„50. Za § 123 sa vkladá § 123a, ktorý znie:</w:t>
      </w:r>
    </w:p>
    <w:p w:rsidR="008F35D7" w:rsidRPr="008030A9" w:rsidP="008F35D7">
      <w:pPr>
        <w:jc w:val="both"/>
        <w:rPr>
          <w:rFonts w:ascii="Times New Roman" w:hAnsi="Times New Roman" w:cs="Times New Roman"/>
          <w:noProof/>
          <w:spacing w:val="5"/>
        </w:rPr>
      </w:pPr>
    </w:p>
    <w:p w:rsidR="008F35D7" w:rsidRPr="008030A9" w:rsidP="008F35D7">
      <w:pPr>
        <w:jc w:val="center"/>
        <w:rPr>
          <w:rFonts w:ascii="Times New Roman" w:hAnsi="Times New Roman" w:cs="Times New Roman"/>
          <w:noProof/>
          <w:spacing w:val="5"/>
        </w:rPr>
      </w:pPr>
      <w:r w:rsidRPr="008030A9">
        <w:rPr>
          <w:rFonts w:ascii="Times New Roman" w:hAnsi="Times New Roman" w:cs="Times New Roman"/>
          <w:noProof/>
          <w:spacing w:val="5"/>
        </w:rPr>
        <w:t>„§123a</w:t>
      </w:r>
    </w:p>
    <w:p w:rsidR="008F35D7" w:rsidRPr="008030A9" w:rsidP="008F35D7">
      <w:pPr>
        <w:jc w:val="center"/>
        <w:rPr>
          <w:rFonts w:ascii="Times New Roman" w:hAnsi="Times New Roman" w:cs="Times New Roman"/>
          <w:noProof/>
          <w:spacing w:val="5"/>
        </w:rPr>
      </w:pPr>
    </w:p>
    <w:p w:rsidR="008F35D7" w:rsidRPr="008030A9" w:rsidP="008F35D7">
      <w:pPr>
        <w:ind w:left="708"/>
        <w:jc w:val="both"/>
        <w:rPr>
          <w:rFonts w:ascii="Times New Roman" w:hAnsi="Times New Roman" w:cs="Times New Roman"/>
          <w:color w:val="231F20"/>
        </w:rPr>
      </w:pPr>
      <w:r w:rsidRPr="008030A9">
        <w:rPr>
          <w:rFonts w:ascii="Times New Roman" w:hAnsi="Times New Roman" w:cs="Times New Roman"/>
          <w:spacing w:val="5"/>
        </w:rPr>
        <w:t xml:space="preserve">Zrušuje sa vyhláška </w:t>
      </w:r>
      <w:r w:rsidRPr="008030A9">
        <w:rPr>
          <w:rFonts w:ascii="Times New Roman" w:hAnsi="Times New Roman" w:cs="Times New Roman"/>
          <w:color w:val="231F20"/>
        </w:rPr>
        <w:t>Ministerstva financií Slovenskej republiky č. 290/2010 Z.</w:t>
      </w:r>
      <w:r>
        <w:rPr>
          <w:rFonts w:ascii="Times New Roman" w:hAnsi="Times New Roman" w:cs="Times New Roman"/>
          <w:color w:val="231F20"/>
        </w:rPr>
        <w:t xml:space="preserve"> </w:t>
      </w:r>
      <w:r w:rsidRPr="008030A9">
        <w:rPr>
          <w:rFonts w:ascii="Times New Roman" w:hAnsi="Times New Roman" w:cs="Times New Roman"/>
          <w:color w:val="231F20"/>
        </w:rPr>
        <w:t>z.  o rozsahu a spôsobe poskytovania platobných operácií v mene euro v rámci základného bankového produktu.“.“.</w:t>
      </w:r>
    </w:p>
    <w:p w:rsidR="008F35D7" w:rsidRPr="008030A9" w:rsidP="008F35D7">
      <w:pPr>
        <w:jc w:val="both"/>
        <w:rPr>
          <w:rFonts w:ascii="Times New Roman" w:hAnsi="Times New Roman" w:cs="Times New Roman"/>
          <w:spacing w:val="5"/>
        </w:rPr>
      </w:pPr>
    </w:p>
    <w:p w:rsidR="008F35D7" w:rsidRPr="008030A9" w:rsidP="008F35D7">
      <w:pPr>
        <w:ind w:left="708"/>
        <w:jc w:val="both"/>
        <w:rPr>
          <w:rFonts w:ascii="Times New Roman" w:hAnsi="Times New Roman" w:cs="Times New Roman"/>
          <w:noProof/>
          <w:spacing w:val="5"/>
        </w:rPr>
      </w:pPr>
      <w:r w:rsidRPr="008030A9">
        <w:rPr>
          <w:rFonts w:ascii="Times New Roman" w:hAnsi="Times New Roman" w:cs="Times New Roman"/>
          <w:noProof/>
          <w:spacing w:val="5"/>
        </w:rPr>
        <w:t>Doterajšie body sa prečíslujú.</w:t>
      </w:r>
    </w:p>
    <w:p w:rsidR="008F35D7" w:rsidRPr="008030A9" w:rsidP="008F35D7">
      <w:pPr>
        <w:ind w:left="360"/>
        <w:jc w:val="both"/>
        <w:rPr>
          <w:rFonts w:ascii="Times New Roman" w:hAnsi="Times New Roman" w:cs="Times New Roman"/>
          <w:b/>
          <w:bCs w:val="0"/>
          <w:noProof/>
          <w:spacing w:val="5"/>
        </w:rPr>
      </w:pPr>
    </w:p>
    <w:p w:rsidR="008F35D7" w:rsidP="006732DF">
      <w:pPr>
        <w:ind w:left="2832"/>
        <w:jc w:val="both"/>
        <w:rPr>
          <w:rFonts w:ascii="Times New Roman" w:hAnsi="Times New Roman" w:cs="Times New Roman"/>
        </w:rPr>
      </w:pPr>
      <w:r w:rsidRPr="008030A9">
        <w:rPr>
          <w:rFonts w:ascii="Times New Roman" w:hAnsi="Times New Roman" w:cs="Times New Roman"/>
          <w:spacing w:val="5"/>
        </w:rPr>
        <w:t xml:space="preserve">Cieľom navrhovanej právnej úpravy je zrušenie povinnosti bánk a pobočiek zahraničných bánk poskytovať bankové služby v rozsahu základného bankového produktu z dôvodu nevýhodnosti tohto produktu a nízkeho záujmu oň. </w:t>
      </w:r>
    </w:p>
    <w:p w:rsidR="009434CE" w:rsidP="000D14F9">
      <w:pPr>
        <w:rPr>
          <w:rFonts w:ascii="Times New Roman" w:hAnsi="Times New Roman" w:cs="Times New Roman"/>
          <w:b/>
          <w:bCs w:val="0"/>
        </w:rPr>
      </w:pPr>
    </w:p>
    <w:p w:rsidR="006A3C85" w:rsidP="000D14F9">
      <w:pPr>
        <w:rPr>
          <w:rFonts w:ascii="Times New Roman" w:hAnsi="Times New Roman" w:cs="Times New Roman"/>
          <w:b/>
          <w:bCs w:val="0"/>
        </w:rPr>
      </w:pPr>
    </w:p>
    <w:p w:rsidR="006732DF" w:rsidP="000D14F9">
      <w:pPr>
        <w:rPr>
          <w:rFonts w:ascii="Times New Roman" w:hAnsi="Times New Roman" w:cs="Times New Roman"/>
          <w:b/>
          <w:bCs w:val="0"/>
        </w:rPr>
      </w:pPr>
    </w:p>
    <w:p w:rsidR="006732DF" w:rsidRPr="006732DF" w:rsidP="006732DF">
      <w:pPr>
        <w:numPr>
          <w:ilvl w:val="0"/>
          <w:numId w:val="23"/>
        </w:numPr>
        <w:tabs>
          <w:tab w:val="left" w:pos="720"/>
          <w:tab w:val="left" w:pos="1155"/>
        </w:tabs>
        <w:jc w:val="both"/>
        <w:rPr>
          <w:rFonts w:ascii="Times New Roman" w:hAnsi="Times New Roman" w:cs="Times New Roman"/>
          <w:b/>
        </w:rPr>
      </w:pPr>
      <w:r w:rsidRPr="006732DF">
        <w:rPr>
          <w:rFonts w:ascii="Times New Roman" w:hAnsi="Times New Roman" w:cs="Times New Roman"/>
          <w:b/>
        </w:rPr>
        <w:t>K čl. II.</w:t>
        <w:tab/>
      </w:r>
    </w:p>
    <w:p w:rsidR="006732DF" w:rsidRPr="00D04354" w:rsidP="006732DF">
      <w:pPr>
        <w:ind w:left="705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V úvodnej vete čl. II  spojku „a“ za slovami „ zákona č. 492/2009 Z. z. „nahradiť čiarkou a za slová „zákona č. 129/2010 Z. z.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 xml:space="preserve">  vložiť slová „a zákona č. 505/2010 Z. z.“.</w:t>
      </w:r>
    </w:p>
    <w:p w:rsidR="006732DF" w:rsidRPr="00D04354" w:rsidP="006732DF">
      <w:pPr>
        <w:spacing w:line="360" w:lineRule="auto"/>
        <w:jc w:val="both"/>
        <w:rPr>
          <w:rFonts w:ascii="Times New Roman" w:hAnsi="Times New Roman" w:cs="Times New Roman"/>
        </w:rPr>
      </w:pPr>
    </w:p>
    <w:p w:rsidR="006732DF" w:rsidRPr="00D04354" w:rsidP="006732DF">
      <w:pPr>
        <w:ind w:left="2832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Ide o legislatívno-technickú úpravu – doplnenie ostatnej novelizácie zákona č. 566/2001 Z. z. zákonom č. 505/2010 Z. z., ktorý nadobudol účinnosť 30. decembra 2010</w:t>
      </w:r>
      <w:r>
        <w:rPr>
          <w:rFonts w:ascii="Times New Roman" w:hAnsi="Times New Roman" w:cs="Times New Roman"/>
        </w:rPr>
        <w:t>.</w:t>
      </w:r>
    </w:p>
    <w:p w:rsidR="006A3C85" w:rsidP="000D14F9">
      <w:pPr>
        <w:rPr>
          <w:rFonts w:ascii="Times New Roman" w:hAnsi="Times New Roman" w:cs="Times New Roman"/>
          <w:b/>
          <w:bCs w:val="0"/>
        </w:rPr>
      </w:pPr>
    </w:p>
    <w:p w:rsidR="006A3C85" w:rsidRPr="006A3C85" w:rsidP="006A3C85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6A3C85" w:rsidRPr="006A3C85" w:rsidP="006A3C85">
      <w:pPr>
        <w:autoSpaceDE/>
        <w:autoSpaceDN/>
        <w:jc w:val="both"/>
        <w:rPr>
          <w:rFonts w:ascii="Times New Roman" w:hAnsi="Times New Roman" w:cs="Times New Roman"/>
          <w:b/>
          <w:u w:val="single"/>
        </w:rPr>
      </w:pPr>
    </w:p>
    <w:p w:rsidR="00401691" w:rsidP="006A3C85">
      <w:pPr>
        <w:numPr>
          <w:ilvl w:val="0"/>
          <w:numId w:val="23"/>
        </w:numPr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  <w:b/>
          <w:bCs w:val="0"/>
        </w:rPr>
      </w:pPr>
      <w:r w:rsidR="006A3C85">
        <w:rPr>
          <w:rFonts w:ascii="Times New Roman" w:hAnsi="Times New Roman" w:cs="Times New Roman"/>
          <w:b/>
          <w:bCs w:val="0"/>
        </w:rPr>
        <w:t>K</w:t>
      </w:r>
      <w:r w:rsidRPr="006A3C85" w:rsidR="006A3C85">
        <w:rPr>
          <w:rFonts w:ascii="Times New Roman" w:hAnsi="Times New Roman" w:cs="Times New Roman"/>
          <w:b/>
          <w:bCs w:val="0"/>
        </w:rPr>
        <w:t> čl. II</w:t>
      </w:r>
      <w:r>
        <w:rPr>
          <w:rFonts w:ascii="Times New Roman" w:hAnsi="Times New Roman" w:cs="Times New Roman"/>
          <w:b/>
          <w:bCs w:val="0"/>
        </w:rPr>
        <w:t xml:space="preserve"> – nový bod</w:t>
      </w:r>
    </w:p>
    <w:p w:rsidR="006A3C85" w:rsidRPr="00401691" w:rsidP="00401691">
      <w:pPr>
        <w:autoSpaceDE/>
        <w:autoSpaceDN/>
        <w:ind w:left="360" w:firstLine="348"/>
        <w:jc w:val="both"/>
        <w:rPr>
          <w:rFonts w:ascii="Times New Roman" w:hAnsi="Times New Roman" w:cs="Times New Roman"/>
          <w:bCs w:val="0"/>
        </w:rPr>
      </w:pPr>
      <w:r w:rsidRPr="00401691" w:rsidR="00401691">
        <w:rPr>
          <w:rFonts w:ascii="Times New Roman" w:hAnsi="Times New Roman" w:cs="Times New Roman"/>
          <w:bCs w:val="0"/>
        </w:rPr>
        <w:t>Z</w:t>
      </w:r>
      <w:r w:rsidRPr="00401691">
        <w:rPr>
          <w:rFonts w:ascii="Times New Roman" w:hAnsi="Times New Roman" w:cs="Times New Roman"/>
          <w:bCs w:val="0"/>
        </w:rPr>
        <w:t xml:space="preserve">a pôvodný bod 21 </w:t>
      </w:r>
      <w:r w:rsidRPr="00401691" w:rsidR="00401691">
        <w:rPr>
          <w:rFonts w:ascii="Times New Roman" w:hAnsi="Times New Roman" w:cs="Times New Roman"/>
          <w:bCs w:val="0"/>
        </w:rPr>
        <w:t xml:space="preserve">sa </w:t>
      </w:r>
      <w:r w:rsidRPr="00401691">
        <w:rPr>
          <w:rFonts w:ascii="Times New Roman" w:hAnsi="Times New Roman" w:cs="Times New Roman"/>
          <w:bCs w:val="0"/>
        </w:rPr>
        <w:t>vkladá nový bod 22, ktorý znie:</w:t>
      </w:r>
    </w:p>
    <w:p w:rsidR="006A3C85" w:rsidRPr="006A3C85" w:rsidP="006A3C85">
      <w:pPr>
        <w:autoSpaceDE/>
        <w:autoSpaceDN/>
        <w:ind w:firstLine="709"/>
        <w:jc w:val="both"/>
        <w:rPr>
          <w:rFonts w:ascii="Times New Roman" w:hAnsi="Times New Roman" w:cs="Times New Roman"/>
        </w:rPr>
      </w:pPr>
      <w:r w:rsidRPr="006A3C85">
        <w:rPr>
          <w:rFonts w:ascii="Times New Roman" w:hAnsi="Times New Roman" w:cs="Times New Roman"/>
        </w:rPr>
        <w:t>„22. Za § 173l sa vkladá § 173m, ktorý vrátane nadpisu znie:</w:t>
      </w:r>
    </w:p>
    <w:p w:rsidR="006A3C85" w:rsidRPr="006A3C85" w:rsidP="006A3C85">
      <w:pPr>
        <w:autoSpaceDE/>
        <w:autoSpaceDN/>
        <w:jc w:val="both"/>
        <w:rPr>
          <w:rFonts w:ascii="Times New Roman" w:hAnsi="Times New Roman" w:cs="Times New Roman"/>
        </w:rPr>
      </w:pPr>
    </w:p>
    <w:p w:rsidR="006A3C85" w:rsidRPr="006A3C85" w:rsidP="006A3C85">
      <w:pPr>
        <w:autoSpaceDE/>
        <w:autoSpaceDN/>
        <w:jc w:val="center"/>
        <w:rPr>
          <w:rFonts w:ascii="Times New Roman" w:hAnsi="Times New Roman" w:cs="Times New Roman"/>
        </w:rPr>
      </w:pPr>
      <w:r w:rsidRPr="006A3C85">
        <w:rPr>
          <w:rFonts w:ascii="Times New Roman" w:hAnsi="Times New Roman" w:cs="Times New Roman"/>
        </w:rPr>
        <w:t>„§ 173m</w:t>
      </w:r>
    </w:p>
    <w:p w:rsidR="006A3C85" w:rsidRPr="006A3C85" w:rsidP="006A3C85">
      <w:pPr>
        <w:autoSpaceDE/>
        <w:autoSpaceDN/>
        <w:jc w:val="center"/>
        <w:rPr>
          <w:rFonts w:ascii="Times New Roman" w:hAnsi="Times New Roman" w:cs="Times New Roman"/>
        </w:rPr>
      </w:pPr>
      <w:r w:rsidRPr="006A3C85">
        <w:rPr>
          <w:rFonts w:ascii="Times New Roman" w:hAnsi="Times New Roman" w:cs="Times New Roman"/>
        </w:rPr>
        <w:t>Prechodné ustanovenia k úpravám účinným od 1. marca 2011</w:t>
      </w:r>
    </w:p>
    <w:p w:rsidR="006A3C85" w:rsidRPr="006A3C85" w:rsidP="006A3C85">
      <w:pPr>
        <w:autoSpaceDE/>
        <w:autoSpaceDN/>
        <w:jc w:val="both"/>
        <w:rPr>
          <w:rFonts w:ascii="Times New Roman" w:hAnsi="Times New Roman" w:cs="Times New Roman"/>
        </w:rPr>
      </w:pPr>
    </w:p>
    <w:p w:rsidR="006A3C85" w:rsidRPr="006A3C85" w:rsidP="006A3C85">
      <w:pPr>
        <w:autoSpaceDE/>
        <w:autoSpaceDN/>
        <w:spacing w:after="80"/>
        <w:ind w:firstLine="709"/>
        <w:jc w:val="both"/>
        <w:rPr>
          <w:rFonts w:ascii="Times New Roman" w:hAnsi="Times New Roman" w:cs="Times New Roman"/>
        </w:rPr>
      </w:pPr>
      <w:r w:rsidRPr="006A3C85">
        <w:rPr>
          <w:rFonts w:ascii="Times New Roman" w:hAnsi="Times New Roman" w:cs="Times New Roman"/>
        </w:rPr>
        <w:t xml:space="preserve">(1) Obchodníci s cennými papiermi, ktorí počítajú hodnotu rizikovo vážených expozícií použitím prístupu interných ratingov, musia mať do 31. decembra 2011 vlastné zdroje rovné alebo vyššie ako hodnoty uvedené v odsekoch </w:t>
      </w:r>
      <w:smartTag w:uri="urn:schemas-microsoft-com:office:smarttags" w:element="metricconverter">
        <w:smartTagPr>
          <w:attr w:name="ProductID" w:val="2 a"/>
        </w:smartTagPr>
        <w:r w:rsidRPr="006A3C85">
          <w:rPr>
            <w:rFonts w:ascii="Times New Roman" w:hAnsi="Times New Roman" w:cs="Times New Roman"/>
          </w:rPr>
          <w:t>2 a</w:t>
        </w:r>
      </w:smartTag>
      <w:r w:rsidRPr="006A3C85">
        <w:rPr>
          <w:rFonts w:ascii="Times New Roman" w:hAnsi="Times New Roman" w:cs="Times New Roman"/>
        </w:rPr>
        <w:t xml:space="preserve"> 3. Obchodníci s cennými papiermi, ktorí používajú pokročilý prístup merania pre výpočet požiadaviek na vlastné zdroje na operačné riziko, musia mať do 31. decembra 2011 vlastné zdroje rovné alebo vyššie ako hodnoty uvedené v odsekoch 2 a 3.</w:t>
      </w:r>
    </w:p>
    <w:p w:rsidR="006A3C85" w:rsidRPr="006A3C85" w:rsidP="006A3C85">
      <w:pPr>
        <w:autoSpaceDE/>
        <w:autoSpaceDN/>
        <w:spacing w:after="80"/>
        <w:ind w:firstLine="709"/>
        <w:jc w:val="both"/>
        <w:rPr>
          <w:rFonts w:ascii="Times New Roman" w:hAnsi="Times New Roman" w:cs="Times New Roman"/>
        </w:rPr>
      </w:pPr>
      <w:r w:rsidRPr="006A3C85">
        <w:rPr>
          <w:rFonts w:ascii="Times New Roman" w:hAnsi="Times New Roman" w:cs="Times New Roman"/>
        </w:rPr>
        <w:t>(2) Hodnota vlastných zdrojov podľa odseku 1 je 80 % z celkovej minimálnej požiadavky na vlastné zdroje podľa predpisov účinných k 31. decembru 2006.</w:t>
      </w:r>
    </w:p>
    <w:p w:rsidR="006A3C85" w:rsidRPr="006A3C85" w:rsidP="006A3C85">
      <w:pPr>
        <w:autoSpaceDE/>
        <w:autoSpaceDN/>
        <w:spacing w:after="80"/>
        <w:ind w:firstLine="709"/>
        <w:jc w:val="both"/>
        <w:rPr>
          <w:rFonts w:ascii="Times New Roman" w:hAnsi="Times New Roman" w:cs="Times New Roman"/>
        </w:rPr>
      </w:pPr>
      <w:r w:rsidRPr="006A3C85">
        <w:rPr>
          <w:rFonts w:ascii="Times New Roman" w:hAnsi="Times New Roman" w:cs="Times New Roman"/>
        </w:rPr>
        <w:t>(3) Hodnota vlastných zdrojov podľa odseku 1 je 80 % z celkovej minimálnej požiadavky na vlastné zdroje podľa predpisov účinných k 31. marcu 2011, a to na základe predchádzajúceho súhlasu Národnej banky Slovenska, ak obchodník s cennými papiermi začal na výpočty svojich požiadaviek na vlastné zdroje používať prístup interných modelov alebo pokročilý prístup merania od 1. januára 2010 alebo neskôr.</w:t>
      </w:r>
    </w:p>
    <w:p w:rsidR="006A3C85" w:rsidRPr="006A3C85" w:rsidP="006A3C85">
      <w:pPr>
        <w:autoSpaceDE/>
        <w:autoSpaceDN/>
        <w:ind w:firstLine="709"/>
        <w:jc w:val="both"/>
        <w:rPr>
          <w:rFonts w:ascii="Times New Roman" w:hAnsi="Times New Roman" w:cs="Times New Roman"/>
        </w:rPr>
      </w:pPr>
      <w:r w:rsidRPr="006A3C85">
        <w:rPr>
          <w:rFonts w:ascii="Times New Roman" w:hAnsi="Times New Roman" w:cs="Times New Roman"/>
        </w:rPr>
        <w:t>(4) Do 31. decembra 2012 expozíciami vážená priemerná strata v prípade zlyhania pre všetky retailové expozície, ktoré sú zabezpečené nehnuteľnosťami určenými na bývanie a nevyužívajú štátne záruky, nesmie byť nižšia ako 10 %.“.“.</w:t>
      </w:r>
    </w:p>
    <w:p w:rsidR="006A3C85" w:rsidRPr="006A3C85" w:rsidP="006A3C85">
      <w:pPr>
        <w:autoSpaceDE/>
        <w:autoSpaceDN/>
        <w:jc w:val="both"/>
        <w:rPr>
          <w:rFonts w:ascii="Times New Roman" w:hAnsi="Times New Roman" w:cs="Times New Roman"/>
        </w:rPr>
      </w:pPr>
    </w:p>
    <w:p w:rsidR="006A3C85" w:rsidRPr="006A3C85" w:rsidP="006A3C85">
      <w:pPr>
        <w:autoSpaceDE/>
        <w:autoSpaceDN/>
        <w:ind w:firstLine="709"/>
        <w:jc w:val="both"/>
        <w:rPr>
          <w:rFonts w:ascii="Times New Roman" w:hAnsi="Times New Roman" w:cs="Times New Roman"/>
        </w:rPr>
      </w:pPr>
      <w:r w:rsidRPr="006A3C85">
        <w:rPr>
          <w:rFonts w:ascii="Times New Roman" w:hAnsi="Times New Roman" w:cs="Times New Roman"/>
        </w:rPr>
        <w:t>Ostatné body sa prečíslujú.</w:t>
      </w:r>
    </w:p>
    <w:p w:rsidR="006A3C85" w:rsidRPr="006A3C85" w:rsidP="006A3C85">
      <w:pPr>
        <w:autoSpaceDE/>
        <w:autoSpaceDN/>
        <w:jc w:val="both"/>
        <w:rPr>
          <w:rFonts w:ascii="Times New Roman" w:hAnsi="Times New Roman" w:cs="Times New Roman"/>
        </w:rPr>
      </w:pPr>
    </w:p>
    <w:p w:rsidR="006A3C85" w:rsidRPr="006A3C85" w:rsidP="006A3C85">
      <w:pPr>
        <w:autoSpaceDE/>
        <w:autoSpaceDN/>
        <w:ind w:left="2836"/>
        <w:jc w:val="both"/>
        <w:rPr>
          <w:rFonts w:ascii="Times New Roman" w:hAnsi="Times New Roman" w:cs="Times New Roman"/>
        </w:rPr>
      </w:pPr>
      <w:r w:rsidRPr="006A3C85">
        <w:rPr>
          <w:rFonts w:ascii="Times New Roman" w:hAnsi="Times New Roman" w:cs="Times New Roman"/>
        </w:rPr>
        <w:t>Transpozícia článku 1 bodu 16 smernice 2010/76/ES (čl. 152 ods. 5a až 5d smernice 2006/48/ES) v spojení s článkom 43 smernice 2006/49/ES. Na účely smernice 2006/49/ES sa uplatňuje aj celý článok 154 smernice 2006/48/ES (článok 17 ods. 2 smernice 2006/49/ES). Preto sa zmena textu v článku 154 ods. 5 smernice 2006/48/ES zohľadňuje aj v tomto zákone.</w:t>
      </w:r>
    </w:p>
    <w:p w:rsidR="006A3C85" w:rsidRPr="006A3C85" w:rsidP="006A3C85">
      <w:pPr>
        <w:autoSpaceDE/>
        <w:autoSpaceDN/>
        <w:ind w:left="2836"/>
        <w:jc w:val="both"/>
        <w:rPr>
          <w:rFonts w:ascii="Times New Roman" w:hAnsi="Times New Roman" w:cs="Times New Roman"/>
        </w:rPr>
      </w:pPr>
      <w:r w:rsidRPr="006A3C85">
        <w:rPr>
          <w:rFonts w:ascii="Times New Roman" w:hAnsi="Times New Roman" w:cs="Times New Roman"/>
        </w:rPr>
        <w:t xml:space="preserve">Transpozícia článku 1, bodu 17 smernice 2010/76/ES (čl. 154 ods. 5 smernice 2006/48/ES). Pôvodné znenie čl. 154 odseku 5 smernice 2006/48/ES v platnom znení zákona o CP transponované v § </w:t>
      </w:r>
      <w:smartTag w:uri="urn:schemas-microsoft-com:office:smarttags" w:element="metricconverter">
        <w:smartTagPr>
          <w:attr w:name="ProductID" w:val="173f"/>
        </w:smartTagPr>
        <w:r w:rsidRPr="006A3C85">
          <w:rPr>
            <w:rFonts w:ascii="Times New Roman" w:hAnsi="Times New Roman" w:cs="Times New Roman"/>
          </w:rPr>
          <w:t>173f</w:t>
        </w:r>
      </w:smartTag>
      <w:r w:rsidRPr="006A3C85">
        <w:rPr>
          <w:rFonts w:ascii="Times New Roman" w:hAnsi="Times New Roman" w:cs="Times New Roman"/>
        </w:rPr>
        <w:t xml:space="preserve"> ods. 18 sa nahrádza novým znením s jediným rozdielom, a to posunutím lehoty tam určenej z 31. decembra 2010 na lehotu do 31. decembra 2012. Nakoľko tento zákon má byť účinný najskôr 1. marca 2011, nie je možné novelizovať § </w:t>
      </w:r>
      <w:smartTag w:uri="urn:schemas-microsoft-com:office:smarttags" w:element="metricconverter">
        <w:smartTagPr>
          <w:attr w:name="ProductID" w:val="173f"/>
        </w:smartTagPr>
        <w:r w:rsidRPr="006A3C85">
          <w:rPr>
            <w:rFonts w:ascii="Times New Roman" w:hAnsi="Times New Roman" w:cs="Times New Roman"/>
          </w:rPr>
          <w:t>173f</w:t>
        </w:r>
      </w:smartTag>
      <w:r w:rsidRPr="006A3C85">
        <w:rPr>
          <w:rFonts w:ascii="Times New Roman" w:hAnsi="Times New Roman" w:cs="Times New Roman"/>
        </w:rPr>
        <w:t xml:space="preserve"> ods. 18, ale je potrebné prijať nové prechodné ustanovenie v § 173m ods. 1; medzitým zanikne účinok § </w:t>
      </w:r>
      <w:smartTag w:uri="urn:schemas-microsoft-com:office:smarttags" w:element="metricconverter">
        <w:smartTagPr>
          <w:attr w:name="ProductID" w:val="173f"/>
        </w:smartTagPr>
        <w:r w:rsidRPr="006A3C85">
          <w:rPr>
            <w:rFonts w:ascii="Times New Roman" w:hAnsi="Times New Roman" w:cs="Times New Roman"/>
          </w:rPr>
          <w:t>173f</w:t>
        </w:r>
      </w:smartTag>
      <w:r w:rsidRPr="006A3C85">
        <w:rPr>
          <w:rFonts w:ascii="Times New Roman" w:hAnsi="Times New Roman" w:cs="Times New Roman"/>
        </w:rPr>
        <w:t xml:space="preserve"> ods. 18 zákona o CP.</w:t>
      </w:r>
    </w:p>
    <w:p w:rsidR="006A3C85" w:rsidP="006A3C85">
      <w:pPr>
        <w:autoSpaceDE/>
        <w:autoSpaceDN/>
        <w:jc w:val="both"/>
        <w:rPr>
          <w:rFonts w:ascii="Times New Roman" w:hAnsi="Times New Roman" w:cs="Times New Roman"/>
        </w:rPr>
      </w:pPr>
    </w:p>
    <w:p w:rsidR="006732DF" w:rsidP="006A3C85">
      <w:pPr>
        <w:autoSpaceDE/>
        <w:autoSpaceDN/>
        <w:jc w:val="both"/>
        <w:rPr>
          <w:rFonts w:ascii="Times New Roman" w:hAnsi="Times New Roman" w:cs="Times New Roman"/>
        </w:rPr>
      </w:pPr>
    </w:p>
    <w:p w:rsidR="006A3C85" w:rsidP="006A3C85">
      <w:pPr>
        <w:autoSpaceDE/>
        <w:autoSpaceDN/>
        <w:jc w:val="both"/>
        <w:rPr>
          <w:rFonts w:ascii="Times New Roman" w:hAnsi="Times New Roman" w:cs="Times New Roman"/>
        </w:rPr>
      </w:pPr>
    </w:p>
    <w:p w:rsidR="006732DF" w:rsidRPr="006732DF" w:rsidP="006732DF">
      <w:pPr>
        <w:numPr>
          <w:ilvl w:val="0"/>
          <w:numId w:val="23"/>
        </w:numPr>
        <w:tabs>
          <w:tab w:val="left" w:pos="720"/>
        </w:tabs>
        <w:ind w:left="714" w:hanging="357"/>
        <w:jc w:val="both"/>
        <w:rPr>
          <w:rFonts w:ascii="Times New Roman" w:hAnsi="Times New Roman" w:cs="Times New Roman"/>
          <w:b/>
        </w:rPr>
      </w:pPr>
      <w:r w:rsidRPr="006732DF">
        <w:rPr>
          <w:rFonts w:ascii="Times New Roman" w:hAnsi="Times New Roman" w:cs="Times New Roman"/>
          <w:b/>
        </w:rPr>
        <w:t>K čl. III</w:t>
      </w:r>
    </w:p>
    <w:p w:rsidR="006732DF" w:rsidRPr="00D04354" w:rsidP="006732DF">
      <w:pPr>
        <w:spacing w:line="360" w:lineRule="auto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</w:t>
      </w:r>
      <w:r w:rsidRPr="00D04354">
        <w:rPr>
          <w:rFonts w:ascii="Times New Roman" w:hAnsi="Times New Roman" w:cs="Times New Roman"/>
        </w:rPr>
        <w:t>V čl. III slová „1. marca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 xml:space="preserve"> nahradiť slovami „1. apríla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>.</w:t>
      </w:r>
    </w:p>
    <w:p w:rsidR="006732DF" w:rsidRPr="00D04354" w:rsidP="006732DF">
      <w:pPr>
        <w:spacing w:line="360" w:lineRule="auto"/>
        <w:jc w:val="both"/>
        <w:rPr>
          <w:rFonts w:ascii="Times New Roman" w:hAnsi="Times New Roman" w:cs="Times New Roman"/>
        </w:rPr>
      </w:pPr>
    </w:p>
    <w:p w:rsidR="00401691" w:rsidRPr="00D04354" w:rsidP="00401691">
      <w:pPr>
        <w:ind w:left="2832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>o zreálnenie navrhovanej účinnosti zákona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>vo väzbe na harmonogram schôdzí Národnej rady Slovenskej republiky rešpektujúc legisvakančné lehoty a v neposlednom rade o potrebu dôsledného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 xml:space="preserve">rešpektovania ústavných právomocí prezidenta Slovenskej republiky  (čl. 102 písm. o) </w:t>
      </w:r>
      <w:r>
        <w:rPr>
          <w:rFonts w:ascii="Times New Roman" w:hAnsi="Times New Roman" w:cs="Times New Roman"/>
        </w:rPr>
        <w:t xml:space="preserve"> Ústavy Slovenskej republiky).</w:t>
      </w:r>
    </w:p>
    <w:p w:rsidR="006732DF" w:rsidP="006732DF">
      <w:pPr>
        <w:spacing w:line="360" w:lineRule="auto"/>
        <w:ind w:left="2124"/>
        <w:jc w:val="both"/>
        <w:rPr>
          <w:rFonts w:ascii="Times New Roman" w:hAnsi="Times New Roman" w:cs="Times New Roman"/>
        </w:rPr>
      </w:pPr>
    </w:p>
    <w:p w:rsidR="006A3C85" w:rsidP="000D14F9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01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01501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01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901501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5"/>
  </w:num>
  <w:num w:numId="6">
    <w:abstractNumId w:val="4"/>
  </w:num>
  <w:num w:numId="7">
    <w:abstractNumId w:val="10"/>
  </w:num>
  <w:num w:numId="8">
    <w:abstractNumId w:val="17"/>
  </w:num>
  <w:num w:numId="9">
    <w:abstractNumId w:val="18"/>
  </w:num>
  <w:num w:numId="10">
    <w:abstractNumId w:val="1"/>
  </w:num>
  <w:num w:numId="11">
    <w:abstractNumId w:val="11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7"/>
  </w:num>
  <w:num w:numId="20">
    <w:abstractNumId w:val="14"/>
  </w:num>
  <w:num w:numId="21">
    <w:abstractNumId w:val="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67F0B"/>
    <w:rsid w:val="000D14F9"/>
    <w:rsid w:val="00143F10"/>
    <w:rsid w:val="001852E1"/>
    <w:rsid w:val="001D6BE4"/>
    <w:rsid w:val="002B6101"/>
    <w:rsid w:val="003371B9"/>
    <w:rsid w:val="00370DA7"/>
    <w:rsid w:val="00401691"/>
    <w:rsid w:val="00450C55"/>
    <w:rsid w:val="004A12F3"/>
    <w:rsid w:val="004D71D6"/>
    <w:rsid w:val="00500C97"/>
    <w:rsid w:val="00522678"/>
    <w:rsid w:val="00595842"/>
    <w:rsid w:val="006437A1"/>
    <w:rsid w:val="006732DF"/>
    <w:rsid w:val="006A3C85"/>
    <w:rsid w:val="006C72E6"/>
    <w:rsid w:val="00776A60"/>
    <w:rsid w:val="007C6EC6"/>
    <w:rsid w:val="008030A9"/>
    <w:rsid w:val="00830899"/>
    <w:rsid w:val="008458BA"/>
    <w:rsid w:val="0089148D"/>
    <w:rsid w:val="008F35D7"/>
    <w:rsid w:val="00901501"/>
    <w:rsid w:val="009434CE"/>
    <w:rsid w:val="00985280"/>
    <w:rsid w:val="00990B21"/>
    <w:rsid w:val="009E58D6"/>
    <w:rsid w:val="00A73ECD"/>
    <w:rsid w:val="00A8165F"/>
    <w:rsid w:val="00AC22E2"/>
    <w:rsid w:val="00B614DE"/>
    <w:rsid w:val="00BD37D8"/>
    <w:rsid w:val="00BD7172"/>
    <w:rsid w:val="00C059CD"/>
    <w:rsid w:val="00C37D3C"/>
    <w:rsid w:val="00CA7FA7"/>
    <w:rsid w:val="00CF7721"/>
    <w:rsid w:val="00D04354"/>
    <w:rsid w:val="00E13467"/>
    <w:rsid w:val="00E20A99"/>
    <w:rsid w:val="00EC5F3F"/>
    <w:rsid w:val="00ED3C5E"/>
    <w:rsid w:val="00F15963"/>
    <w:rsid w:val="00F6286E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633</TotalTime>
  <Pages>1</Pages>
  <Words>2635</Words>
  <Characters>15023</Characters>
  <Application>Microsoft Office Word</Application>
  <DocSecurity>0</DocSecurity>
  <Lines>0</Lines>
  <Paragraphs>0</Paragraphs>
  <ScaleCrop>false</ScaleCrop>
  <Company>Kancelária NR SR</Company>
  <LinksUpToDate>false</LinksUpToDate>
  <CharactersWithSpaces>17623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250</cp:revision>
  <cp:lastPrinted>2009-09-28T09:08:00Z</cp:lastPrinted>
  <dcterms:created xsi:type="dcterms:W3CDTF">2003-06-05T11:59:00Z</dcterms:created>
  <dcterms:modified xsi:type="dcterms:W3CDTF">2011-01-28T09:29:00Z</dcterms:modified>
</cp:coreProperties>
</file>