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A16EB" w:rsidP="001C5852">
      <w:pPr>
        <w:bidi w:val="0"/>
        <w:jc w:val="center"/>
        <w:rPr>
          <w:rFonts w:ascii="Times New Roman" w:hAnsi="Times New Roman"/>
          <w:b/>
        </w:rPr>
      </w:pPr>
    </w:p>
    <w:p w:rsidR="006A60D1" w:rsidRPr="00A53D1C" w:rsidP="006A60D1">
      <w:pPr>
        <w:bidi w:val="0"/>
        <w:rPr>
          <w:rFonts w:ascii="Times New Roman" w:hAnsi="Times New Roman"/>
          <w:b/>
        </w:rPr>
      </w:pPr>
      <w:r w:rsidRPr="00A53D1C">
        <w:rPr>
          <w:rFonts w:ascii="Times New Roman" w:hAnsi="Times New Roman"/>
          <w:b/>
        </w:rPr>
        <w:t>Osobitná časť</w:t>
      </w:r>
    </w:p>
    <w:p w:rsidR="006A60D1" w:rsidP="006A60D1">
      <w:pPr>
        <w:bidi w:val="0"/>
        <w:rPr>
          <w:rFonts w:ascii="Times New Roman" w:hAnsi="Times New Roman"/>
          <w:b/>
        </w:rPr>
      </w:pPr>
    </w:p>
    <w:p w:rsidR="002D187E" w:rsidRPr="00A53D1C" w:rsidP="006A60D1">
      <w:pPr>
        <w:bidi w:val="0"/>
        <w:rPr>
          <w:rFonts w:ascii="Times New Roman" w:hAnsi="Times New Roman"/>
          <w:b/>
        </w:rPr>
      </w:pPr>
    </w:p>
    <w:p w:rsidR="006A60D1" w:rsidRPr="00A53D1C" w:rsidP="006A60D1">
      <w:pPr>
        <w:bidi w:val="0"/>
        <w:jc w:val="both"/>
        <w:rPr>
          <w:rFonts w:ascii="Times New Roman" w:hAnsi="Times New Roman"/>
          <w:b/>
        </w:rPr>
      </w:pPr>
      <w:r w:rsidRPr="00A53D1C">
        <w:rPr>
          <w:rFonts w:ascii="Times New Roman" w:hAnsi="Times New Roman"/>
          <w:b/>
        </w:rPr>
        <w:t>K Čl. I</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1</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 nahradením pojmu „mimoriadna udalosť“ pojmom „ohrozenie verejného zdravia“.</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2</w:t>
      </w:r>
    </w:p>
    <w:p w:rsidR="006A60D1" w:rsidRPr="00A53D1C" w:rsidP="006A60D1">
      <w:pPr>
        <w:bidi w:val="0"/>
        <w:ind w:firstLine="708"/>
        <w:jc w:val="both"/>
        <w:rPr>
          <w:rFonts w:ascii="Times New Roman" w:hAnsi="Times New Roman"/>
        </w:rPr>
      </w:pPr>
      <w:r w:rsidRPr="00A53D1C">
        <w:rPr>
          <w:rFonts w:ascii="Times New Roman" w:hAnsi="Times New Roman"/>
        </w:rPr>
        <w:t xml:space="preserve">Definuje sa ohrozenie verejného zdravia ako každé, nepredvídané a nekontrolované ohrozenie verejného zdravia chemickými, biologickými alebo fyzikálnymi faktormi vrátane takého ohrozenia verejného zdravia, ktoré má medzinárodný dosah. </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 xml:space="preserve">K bodu 3 </w:t>
      </w:r>
    </w:p>
    <w:p w:rsidR="006A60D1" w:rsidRPr="00A53D1C" w:rsidP="006A60D1">
      <w:pPr>
        <w:bidi w:val="0"/>
        <w:ind w:firstLine="708"/>
        <w:jc w:val="both"/>
        <w:rPr>
          <w:rFonts w:ascii="Times New Roman" w:hAnsi="Times New Roman"/>
        </w:rPr>
      </w:pPr>
      <w:r w:rsidRPr="00A53D1C">
        <w:rPr>
          <w:rFonts w:ascii="Times New Roman" w:hAnsi="Times New Roman"/>
        </w:rPr>
        <w:t xml:space="preserve">Z dôvodu systematického usporiadania zákona č. 355/2007 Z.z. sa definície pojmov radiačná udalosť, radiačná nehoda a radiačná havária, ktoré boli pôvodne v § 49,  presúvajú do základných pojmov v § 2 uvedeného zákona a zároveň sa definície uvedených pojmov precizujú. </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4</w:t>
      </w:r>
    </w:p>
    <w:p w:rsidR="006A60D1" w:rsidRPr="00A53D1C" w:rsidP="006A60D1">
      <w:pPr>
        <w:bidi w:val="0"/>
        <w:ind w:firstLine="708"/>
        <w:jc w:val="both"/>
        <w:rPr>
          <w:rFonts w:ascii="Times New Roman" w:hAnsi="Times New Roman"/>
        </w:rPr>
      </w:pPr>
      <w:r w:rsidRPr="00A53D1C">
        <w:rPr>
          <w:rFonts w:ascii="Times New Roman" w:hAnsi="Times New Roman"/>
        </w:rPr>
        <w:t>Ide o legislatívno-technickú úpravu z dôvodu zmeny názvu Ministerstva dopravy, pôšt a telekomunikácii Slovenskej republiky na Ministerstvo dopravy, výstavby a regionálneho rozvoja Slovenskej republiky.</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5</w:t>
      </w:r>
    </w:p>
    <w:p w:rsidR="006A60D1" w:rsidRPr="00A53D1C" w:rsidP="006A60D1">
      <w:pPr>
        <w:bidi w:val="0"/>
        <w:ind w:firstLine="708"/>
        <w:jc w:val="both"/>
        <w:rPr>
          <w:rFonts w:ascii="Times New Roman" w:hAnsi="Times New Roman"/>
        </w:rPr>
      </w:pPr>
      <w:r w:rsidRPr="00A53D1C">
        <w:rPr>
          <w:rFonts w:ascii="Times New Roman" w:hAnsi="Times New Roman"/>
        </w:rPr>
        <w:t>Premietnutie úloh Úradu verejného zdravotníctva SR ustanovených v bode 18 (§ 48 ods. 3) pri ohrození verejného zdravia do ustanovení upravujúcich jeho pôsobnosť.</w:t>
      </w:r>
    </w:p>
    <w:p w:rsidR="006A60D1" w:rsidRPr="00A53D1C" w:rsidP="006A60D1">
      <w:pPr>
        <w:bidi w:val="0"/>
        <w:ind w:firstLine="708"/>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6</w:t>
      </w:r>
    </w:p>
    <w:p w:rsidR="006A60D1" w:rsidRPr="00A53D1C" w:rsidP="006A60D1">
      <w:pPr>
        <w:bidi w:val="0"/>
        <w:ind w:firstLine="708"/>
        <w:jc w:val="both"/>
        <w:rPr>
          <w:rFonts w:ascii="Times New Roman" w:hAnsi="Times New Roman"/>
        </w:rPr>
      </w:pPr>
      <w:r w:rsidRPr="00A53D1C">
        <w:rPr>
          <w:rFonts w:ascii="Times New Roman" w:hAnsi="Times New Roman"/>
        </w:rPr>
        <w:t>Premietnutie nariaďovania opatrení pri ohrození verejného zdravia ustanovených v bode 18 (§ 48 ods. 4) do ustanovení upravujúcich pôsobnosť Úradu verejného zdravotníctva SR.</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7</w:t>
      </w:r>
    </w:p>
    <w:p w:rsidR="006A60D1" w:rsidRPr="00A53D1C" w:rsidP="006A60D1">
      <w:pPr>
        <w:bidi w:val="0"/>
        <w:ind w:firstLine="708"/>
        <w:jc w:val="both"/>
        <w:rPr>
          <w:rFonts w:ascii="Times New Roman" w:hAnsi="Times New Roman"/>
        </w:rPr>
      </w:pPr>
      <w:r w:rsidRPr="00A53D1C">
        <w:rPr>
          <w:rFonts w:ascii="Times New Roman" w:hAnsi="Times New Roman"/>
        </w:rPr>
        <w:t xml:space="preserve">Cieľom tohto ustanovenia je zjednotiť postup Úradu verejného zdravotníctva SR  a zložiek civilnej ochrany obyvateľstva v čase najvyššieho ohrozenia verejného zdravia. V uvedenom čase môže Úrad verejného zdravotníctva SR len navrhovať príslušnému orgánu civilnej ochrany opatrenia na elimináciu tohto stavu a podávať mu návrh na vyhlásenie mimoriadnej situácie podľa zákona NR SR č. 42/1994 Z.z.. </w:t>
      </w:r>
    </w:p>
    <w:p w:rsidR="006A60D1"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8</w:t>
      </w:r>
    </w:p>
    <w:p w:rsidR="006A60D1" w:rsidRPr="00A53D1C" w:rsidP="006A60D1">
      <w:pPr>
        <w:bidi w:val="0"/>
        <w:ind w:firstLine="708"/>
        <w:jc w:val="both"/>
        <w:rPr>
          <w:rFonts w:ascii="Times New Roman" w:hAnsi="Times New Roman"/>
          <w:u w:val="single"/>
        </w:rPr>
      </w:pPr>
      <w:r w:rsidRPr="00A53D1C">
        <w:rPr>
          <w:rFonts w:ascii="Times New Roman" w:hAnsi="Times New Roman"/>
        </w:rPr>
        <w:t xml:space="preserve">Podľa článku 4 Medzinárodných zdravotných predpisov (2005) každý členský štát musí určiť alebo zriadiť Národný ohniskový bod. Navrhuje sa zriadenie tohto bodu na Úrade verejného zdravotníctva SR a zároveň sa presne špecifikuje jeho pôsobnosť. </w:t>
      </w:r>
    </w:p>
    <w:p w:rsidR="006A60D1" w:rsidRPr="00A53D1C" w:rsidP="006A60D1">
      <w:pPr>
        <w:bidi w:val="0"/>
        <w:jc w:val="both"/>
        <w:rPr>
          <w:rFonts w:ascii="Times New Roman" w:hAnsi="Times New Roman"/>
          <w:vertAlign w:val="superscript"/>
        </w:rPr>
      </w:pPr>
    </w:p>
    <w:p w:rsidR="006A60D1" w:rsidRPr="00A53D1C" w:rsidP="006A60D1">
      <w:pPr>
        <w:bidi w:val="0"/>
        <w:jc w:val="both"/>
        <w:rPr>
          <w:rFonts w:ascii="Times New Roman" w:hAnsi="Times New Roman"/>
          <w:b/>
        </w:rPr>
      </w:pPr>
      <w:r w:rsidRPr="00A53D1C">
        <w:rPr>
          <w:rFonts w:ascii="Times New Roman" w:hAnsi="Times New Roman"/>
          <w:b/>
        </w:rPr>
        <w:t>K bodu 9</w:t>
      </w:r>
    </w:p>
    <w:p w:rsidR="006A60D1" w:rsidRPr="00A53D1C" w:rsidP="006A60D1">
      <w:pPr>
        <w:bidi w:val="0"/>
        <w:ind w:firstLine="708"/>
        <w:jc w:val="both"/>
        <w:rPr>
          <w:rFonts w:ascii="Times New Roman" w:hAnsi="Times New Roman"/>
        </w:rPr>
      </w:pPr>
      <w:r w:rsidRPr="00A53D1C">
        <w:rPr>
          <w:rFonts w:ascii="Times New Roman" w:hAnsi="Times New Roman"/>
        </w:rPr>
        <w:t>Ide o legislatívno-technickú úpravu z dôvodu zmeny názvu Ministerstva dopravy, pôšt a telekomunikácii Slovenskej republiky na Ministerstvo dopravy, výstavby a regionálneho rozvoja Slovenskej republiky, zmeny názvu Ministerstva školstva Slovenskej republiky na Ministerstvo školstva, vedy, výskumu a športu Slovenskej republiky a zmeny názvu Ministerstva pôdohospodárstva, životného prostredia a regionálneho rozvoja Slovenskej republiky na Ministerstvo pôdohospodárstva a rozvoja vidieka Slovenskej republiky.</w:t>
      </w:r>
    </w:p>
    <w:p w:rsidR="006A60D1" w:rsidRPr="00A53D1C" w:rsidP="006A60D1">
      <w:pPr>
        <w:bidi w:val="0"/>
        <w:jc w:val="both"/>
        <w:rPr>
          <w:rFonts w:ascii="Times New Roman" w:hAnsi="Times New Roman"/>
          <w:b/>
        </w:rPr>
      </w:pPr>
    </w:p>
    <w:p w:rsidR="006A60D1" w:rsidRPr="00A53D1C" w:rsidP="006A60D1">
      <w:pPr>
        <w:bidi w:val="0"/>
        <w:jc w:val="both"/>
        <w:rPr>
          <w:rFonts w:ascii="Times New Roman" w:hAnsi="Times New Roman"/>
          <w:b/>
        </w:rPr>
      </w:pPr>
      <w:r w:rsidRPr="00A53D1C">
        <w:rPr>
          <w:rFonts w:ascii="Times New Roman" w:hAnsi="Times New Roman"/>
          <w:b/>
        </w:rPr>
        <w:t>K bodu 10</w:t>
      </w:r>
    </w:p>
    <w:p w:rsidR="006A60D1" w:rsidRPr="00A53D1C" w:rsidP="006A60D1">
      <w:pPr>
        <w:bidi w:val="0"/>
        <w:ind w:firstLine="708"/>
        <w:jc w:val="both"/>
        <w:rPr>
          <w:rFonts w:ascii="Times New Roman" w:hAnsi="Times New Roman"/>
        </w:rPr>
      </w:pPr>
      <w:r w:rsidRPr="00A53D1C">
        <w:rPr>
          <w:rFonts w:ascii="Times New Roman" w:hAnsi="Times New Roman"/>
        </w:rPr>
        <w:t>Premietnutie úloh regionálneho úradu verejného zdravotníctva pri ohrození verejného zdravia ustanovených v bode 18 (§ 48 ods. 3) do ustanovení upravujúcich jeho pôsobnosť.</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11</w:t>
      </w:r>
    </w:p>
    <w:p w:rsidR="006A60D1" w:rsidRPr="00A53D1C" w:rsidP="006A60D1">
      <w:pPr>
        <w:bidi w:val="0"/>
        <w:ind w:firstLine="708"/>
        <w:jc w:val="both"/>
        <w:rPr>
          <w:rFonts w:ascii="Times New Roman" w:hAnsi="Times New Roman"/>
        </w:rPr>
      </w:pPr>
      <w:r w:rsidRPr="00A53D1C">
        <w:rPr>
          <w:rFonts w:ascii="Times New Roman" w:hAnsi="Times New Roman"/>
        </w:rPr>
        <w:t>Premietnutie nariaďovania opatrení pri ohrození verejného zdravia ustanovených v bode 18 (§ 48 ods. 4) do ustanovení upravujúcich pôsobnosť regionálneho úradu verejného zdravotníctva.</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12</w:t>
      </w:r>
    </w:p>
    <w:p w:rsidR="006A60D1" w:rsidRPr="00A53D1C" w:rsidP="006A60D1">
      <w:pPr>
        <w:bidi w:val="0"/>
        <w:ind w:firstLine="708"/>
        <w:jc w:val="both"/>
        <w:rPr>
          <w:rFonts w:ascii="Times New Roman" w:hAnsi="Times New Roman"/>
        </w:rPr>
      </w:pPr>
      <w:r w:rsidRPr="00A53D1C">
        <w:rPr>
          <w:rFonts w:ascii="Times New Roman" w:hAnsi="Times New Roman"/>
        </w:rPr>
        <w:t xml:space="preserve">Cieľom tohto ustanovenia je zjednotiť postup regionálneho úradu verejného zdravotníctva  a zložiek civilnej ochrany obyvateľstva v čase najvyššieho ohrozenia verejného zdravia. V uvedenom čase môže regionálny úrad verejného zdravotníctva len navrhovať príslušnému orgánu civilnej ochrany opatrenia na elimináciu tohto stavu a podávať mu návrh na vyhlásenie mimoriadnej situácie podľa zákona NR SR č. 42/1994 Z.z.. </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13</w:t>
      </w:r>
    </w:p>
    <w:p w:rsidR="006A60D1" w:rsidRPr="00A53D1C" w:rsidP="006A60D1">
      <w:pPr>
        <w:bidi w:val="0"/>
        <w:ind w:firstLine="708"/>
        <w:jc w:val="both"/>
        <w:rPr>
          <w:rFonts w:ascii="Times New Roman" w:hAnsi="Times New Roman"/>
        </w:rPr>
      </w:pPr>
      <w:r w:rsidRPr="00A53D1C">
        <w:rPr>
          <w:rFonts w:ascii="Times New Roman" w:hAnsi="Times New Roman"/>
        </w:rPr>
        <w:t>V navrhovanom ustanovení sa vymedzuje pôsobnosť regionálneho úradu verejného zdravotníctva pri vypracúvaní plánu ochrany obyvateľstva.</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14</w:t>
      </w:r>
    </w:p>
    <w:p w:rsidR="006A60D1" w:rsidRPr="00A53D1C" w:rsidP="006A60D1">
      <w:pPr>
        <w:bidi w:val="0"/>
        <w:jc w:val="both"/>
        <w:rPr>
          <w:rFonts w:ascii="Times New Roman" w:hAnsi="Times New Roman"/>
        </w:rPr>
      </w:pPr>
      <w:r w:rsidRPr="00A53D1C">
        <w:rPr>
          <w:rFonts w:ascii="Times New Roman" w:hAnsi="Times New Roman"/>
        </w:rPr>
        <w:tab/>
        <w:t>Spresňuje sa pôsobnosť orgánov verejného zdravotníctva mimo rezortu zdravotníctva v súvislosti s plnením úloh pri ohrození verejného zdravia.</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15</w:t>
      </w:r>
    </w:p>
    <w:p w:rsidR="006A60D1" w:rsidRPr="00A53D1C" w:rsidP="006A60D1">
      <w:pPr>
        <w:bidi w:val="0"/>
        <w:ind w:firstLine="708"/>
        <w:jc w:val="both"/>
        <w:rPr>
          <w:rFonts w:ascii="Times New Roman" w:hAnsi="Times New Roman"/>
          <w:u w:val="single"/>
        </w:rPr>
      </w:pPr>
      <w:r w:rsidRPr="00A53D1C">
        <w:rPr>
          <w:rFonts w:ascii="Times New Roman" w:hAnsi="Times New Roman"/>
        </w:rPr>
        <w:t>Dopĺňa sa pôsobnosť orgánov verejného zdravotníctva mimo rezortu zdravotníctva o poskytovanie súčinnosti Úradu verejného zdravotníctva SR pri plnení jeho úloh ako kontaktného miesta v SR. Novou kompetenciou týchto orgánov je nariaďovanie opatrení v čase ohrozenia verejného zdravia.</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16</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 použitím legislatívnej skratky Ministerstva zdravotníctva Slovenskej republiky v § 3 ods. 1 písm. a).</w:t>
      </w:r>
    </w:p>
    <w:p w:rsidR="006A60D1" w:rsidRPr="00A53D1C" w:rsidP="006A60D1">
      <w:pPr>
        <w:bidi w:val="0"/>
        <w:jc w:val="both"/>
        <w:rPr>
          <w:rFonts w:ascii="Times New Roman" w:hAnsi="Times New Roman"/>
          <w:b/>
        </w:rPr>
      </w:pPr>
    </w:p>
    <w:p w:rsidR="006A60D1" w:rsidRPr="00A53D1C" w:rsidP="006A60D1">
      <w:pPr>
        <w:bidi w:val="0"/>
        <w:jc w:val="both"/>
        <w:rPr>
          <w:rFonts w:ascii="Times New Roman" w:hAnsi="Times New Roman"/>
          <w:b/>
        </w:rPr>
      </w:pPr>
      <w:r w:rsidRPr="00A53D1C">
        <w:rPr>
          <w:rFonts w:ascii="Times New Roman" w:hAnsi="Times New Roman"/>
          <w:b/>
        </w:rPr>
        <w:t>K bodu 17</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 bodom 18.</w:t>
      </w:r>
    </w:p>
    <w:p w:rsidR="006A60D1" w:rsidRPr="00A53D1C" w:rsidP="006A60D1">
      <w:pPr>
        <w:bidi w:val="0"/>
        <w:ind w:firstLine="708"/>
        <w:jc w:val="both"/>
        <w:rPr>
          <w:rFonts w:ascii="Times New Roman" w:hAnsi="Times New Roman"/>
          <w:u w:val="single"/>
        </w:rPr>
      </w:pPr>
      <w:r w:rsidRPr="00A53D1C">
        <w:rPr>
          <w:rFonts w:ascii="Times New Roman" w:hAnsi="Times New Roman"/>
          <w:u w:val="single"/>
        </w:rPr>
        <w:t xml:space="preserve"> </w:t>
      </w:r>
    </w:p>
    <w:p w:rsidR="006A60D1" w:rsidRPr="00A53D1C" w:rsidP="006A60D1">
      <w:pPr>
        <w:bidi w:val="0"/>
        <w:jc w:val="both"/>
        <w:rPr>
          <w:rFonts w:ascii="Times New Roman" w:hAnsi="Times New Roman"/>
          <w:b/>
        </w:rPr>
      </w:pPr>
      <w:r w:rsidRPr="00A53D1C">
        <w:rPr>
          <w:rFonts w:ascii="Times New Roman" w:hAnsi="Times New Roman"/>
          <w:b/>
        </w:rPr>
        <w:t>K bodu 18</w:t>
      </w:r>
    </w:p>
    <w:p w:rsidR="006A60D1" w:rsidRPr="00A53D1C" w:rsidP="006A60D1">
      <w:pPr>
        <w:bidi w:val="0"/>
        <w:ind w:firstLine="708"/>
        <w:jc w:val="both"/>
        <w:rPr>
          <w:rFonts w:ascii="Times New Roman" w:hAnsi="Times New Roman"/>
        </w:rPr>
      </w:pPr>
      <w:r w:rsidRPr="00A53D1C">
        <w:rPr>
          <w:rFonts w:ascii="Times New Roman" w:hAnsi="Times New Roman"/>
        </w:rPr>
        <w:t>Podľa zákona NR SR č. 42/1994 Z.z. o civilnej ochrane obyvateľstva sa mimoriadnou udalosťou rozumie živelná pohroma, havária, katastrofa alebo teroristický útok. Len v prípade uvedených skutočností sú orgány civilnej ochrany obyvateľstva oprávnené použiť sily a prostriedky stanovené týmto zákonom. Ak by došlo k ohrozeniu zdravia chemickými, biologickými, či fyzikálnymi faktormi v značnom rozsahu, neboli by príslušné orgány kompetentné nariaďovať opatrenia a mobilizovať ostatné zložky civilnej ochrany. Eliminovať tento stav by mohli len orgány verejného zdravotníctva, čo by bolo vzhľadom na závažnosť situácie nedostatočné. Pojem „mimoriadna udalosť“ sa navrhuje nahradiť pojmom „ohrozenie verejného zdravia“, pričom jeho definícia bola len rozšírená o medzinárodný dosah tak, ako to vyžadujú Medzinárodné zdravotné predpisy (2005). Stav ohrozenia je rozdelený na stav ohrozenia verejného zdravia a na ohrozenie verejného zdravia 2. stupňa. Ak ohrozenie verejného zdravia nie je možné odstrániť prostredníctvom opatrení orgánov verejného zdravotníctva podľa zákona č. 355/2007 Z.z. a tento stav si vyžaduje kooperáciu so zložkami civilnej ochrany je v pôsobnosti regionálneho úradu verejného zdravotníctva alebo Úradu verejného zdravotníctva SR podávať príslušnému orgánu návrh na vyhlásenie mimoriadnej situácie a návrh na vykonanie opatrení. Od podania návrhu na vyhlásenie mimoriadnej situácie výlučnú rozhodovaciu právomoc v tejto veci preberajú príslušné orgány podľa zákona NR SR č. 42/1994 Z. z..</w:t>
      </w:r>
    </w:p>
    <w:p w:rsidR="006A60D1" w:rsidRPr="00A53D1C" w:rsidP="006A60D1">
      <w:pPr>
        <w:bidi w:val="0"/>
        <w:ind w:firstLine="708"/>
        <w:jc w:val="both"/>
        <w:rPr>
          <w:rFonts w:ascii="Times New Roman" w:hAnsi="Times New Roman"/>
        </w:rPr>
      </w:pPr>
      <w:r w:rsidRPr="00A53D1C">
        <w:rPr>
          <w:rFonts w:ascii="Times New Roman" w:hAnsi="Times New Roman"/>
        </w:rPr>
        <w:t>Úlohy definované v § 48 ods. 3 a opatrenia definované v § 48 ods. 4 vychádzajú z platnej právnej úpravy – preberajú sa bez podstatných zmien.</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19</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 bodom 18.</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20</w:t>
      </w:r>
    </w:p>
    <w:p w:rsidR="006A60D1" w:rsidRPr="00A53D1C" w:rsidP="006A60D1">
      <w:pPr>
        <w:bidi w:val="0"/>
        <w:ind w:firstLine="708"/>
        <w:jc w:val="both"/>
        <w:rPr>
          <w:rFonts w:ascii="Times New Roman" w:hAnsi="Times New Roman"/>
        </w:rPr>
      </w:pPr>
      <w:r w:rsidRPr="00A53D1C">
        <w:rPr>
          <w:rFonts w:ascii="Times New Roman" w:hAnsi="Times New Roman"/>
        </w:rPr>
        <w:t>Ide o úpravu nadväzujúcu na bod 2 (zavedenie pojmu  „ohrozenie verejného zdravia“) a legislatívno-technickú úpravu súvisiacu s bodom 18 (§ 48 ods. 5) a s bodom 3 (presunutie pojmov „radiačná udalosť“, „radiačná nehoda“ a „radiačná havária“ medzi základné pojmy).</w:t>
      </w:r>
    </w:p>
    <w:p w:rsidR="006A60D1" w:rsidRPr="00A53D1C" w:rsidP="006A60D1">
      <w:pPr>
        <w:bidi w:val="0"/>
        <w:ind w:firstLine="708"/>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21</w:t>
      </w:r>
    </w:p>
    <w:p w:rsidR="006A60D1" w:rsidRPr="00A53D1C" w:rsidP="006A60D1">
      <w:pPr>
        <w:bidi w:val="0"/>
        <w:ind w:firstLine="708"/>
        <w:jc w:val="both"/>
        <w:rPr>
          <w:rFonts w:ascii="Times New Roman" w:hAnsi="Times New Roman"/>
        </w:rPr>
      </w:pPr>
      <w:r w:rsidRPr="00A53D1C">
        <w:rPr>
          <w:rFonts w:ascii="Times New Roman" w:hAnsi="Times New Roman"/>
        </w:rPr>
        <w:t>Terminologické zosúladenie ustanovenia s uvádzacou vetou.</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22</w:t>
      </w:r>
    </w:p>
    <w:p w:rsidR="006A60D1" w:rsidRPr="00A53D1C" w:rsidP="006A60D1">
      <w:pPr>
        <w:bidi w:val="0"/>
        <w:ind w:firstLine="708"/>
        <w:jc w:val="both"/>
        <w:rPr>
          <w:rFonts w:ascii="Times New Roman" w:hAnsi="Times New Roman"/>
          <w:u w:val="single"/>
        </w:rPr>
      </w:pPr>
      <w:r w:rsidRPr="00A53D1C">
        <w:rPr>
          <w:rFonts w:ascii="Times New Roman" w:hAnsi="Times New Roman"/>
        </w:rPr>
        <w:t xml:space="preserve">Nakoľko protiepidemické komisie nie sú právnym subjektom, nemôžu nariaďovať opatrenia, ale len ich navrhovať. </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23</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v súvislosti s bodom 18.</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24</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v súvislosti s bodom 18.</w:t>
      </w: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bodu 25</w:t>
      </w:r>
    </w:p>
    <w:p w:rsidR="006A60D1" w:rsidRPr="00A53D1C" w:rsidP="006A60D1">
      <w:pPr>
        <w:bidi w:val="0"/>
        <w:ind w:firstLine="708"/>
        <w:jc w:val="both"/>
        <w:rPr>
          <w:rFonts w:ascii="Times New Roman" w:hAnsi="Times New Roman"/>
        </w:rPr>
      </w:pPr>
      <w:r w:rsidRPr="00A53D1C">
        <w:rPr>
          <w:rFonts w:ascii="Times New Roman" w:hAnsi="Times New Roman"/>
        </w:rPr>
        <w:t xml:space="preserve">Legislatívno-technická úprava v nadväznosti na bod 18. </w:t>
      </w:r>
    </w:p>
    <w:p w:rsidR="006A60D1" w:rsidRPr="00A53D1C" w:rsidP="006A60D1">
      <w:pPr>
        <w:bidi w:val="0"/>
        <w:ind w:firstLine="708"/>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26</w:t>
      </w:r>
    </w:p>
    <w:p w:rsidR="006A60D1" w:rsidRPr="00A53D1C" w:rsidP="006A60D1">
      <w:pPr>
        <w:bidi w:val="0"/>
        <w:ind w:firstLine="708"/>
        <w:jc w:val="both"/>
        <w:rPr>
          <w:rFonts w:ascii="Times New Roman" w:hAnsi="Times New Roman"/>
        </w:rPr>
      </w:pPr>
      <w:r w:rsidRPr="00A53D1C">
        <w:rPr>
          <w:rFonts w:ascii="Times New Roman" w:hAnsi="Times New Roman"/>
        </w:rPr>
        <w:t xml:space="preserve">Legislatívno-technická úprava v nadväznosti na bod 23. </w:t>
      </w:r>
    </w:p>
    <w:p w:rsidR="006A60D1" w:rsidP="006A60D1">
      <w:pPr>
        <w:bidi w:val="0"/>
        <w:jc w:val="both"/>
        <w:rPr>
          <w:rFonts w:ascii="Times New Roman" w:hAnsi="Times New Roman"/>
          <w:b/>
        </w:rPr>
      </w:pPr>
    </w:p>
    <w:p w:rsidR="006A60D1" w:rsidRPr="00A53D1C" w:rsidP="006A60D1">
      <w:pPr>
        <w:bidi w:val="0"/>
        <w:jc w:val="both"/>
        <w:rPr>
          <w:rFonts w:ascii="Times New Roman" w:hAnsi="Times New Roman"/>
          <w:b/>
        </w:rPr>
      </w:pPr>
      <w:r w:rsidRPr="00A53D1C">
        <w:rPr>
          <w:rFonts w:ascii="Times New Roman" w:hAnsi="Times New Roman"/>
          <w:b/>
        </w:rPr>
        <w:t>K bodu 27</w:t>
      </w:r>
    </w:p>
    <w:p w:rsidR="006A60D1" w:rsidRPr="00A53D1C" w:rsidP="006A60D1">
      <w:pPr>
        <w:bidi w:val="0"/>
        <w:jc w:val="both"/>
        <w:rPr>
          <w:rFonts w:ascii="Times New Roman" w:hAnsi="Times New Roman"/>
        </w:rPr>
      </w:pPr>
      <w:r w:rsidRPr="00A53D1C">
        <w:rPr>
          <w:rFonts w:ascii="Times New Roman" w:hAnsi="Times New Roman"/>
        </w:rPr>
        <w:tab/>
        <w:t>Legislatívno-technická úprava v súvislosti s bodom 20.</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28</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so zosúladením s Legislatívnymi pravidlami vlády SR.</w:t>
      </w:r>
    </w:p>
    <w:p w:rsidR="006A60D1" w:rsidP="006A60D1">
      <w:pPr>
        <w:bidi w:val="0"/>
        <w:ind w:firstLine="708"/>
        <w:jc w:val="both"/>
        <w:rPr>
          <w:rFonts w:ascii="Times New Roman" w:hAnsi="Times New Roman"/>
          <w:b/>
        </w:rPr>
      </w:pPr>
    </w:p>
    <w:p w:rsidR="002D187E" w:rsidP="006A60D1">
      <w:pPr>
        <w:bidi w:val="0"/>
        <w:ind w:firstLine="708"/>
        <w:jc w:val="both"/>
        <w:rPr>
          <w:rFonts w:ascii="Times New Roman" w:hAnsi="Times New Roman"/>
          <w:b/>
        </w:rPr>
      </w:pPr>
    </w:p>
    <w:p w:rsidR="002D187E" w:rsidRPr="00A53D1C" w:rsidP="006A60D1">
      <w:pPr>
        <w:bidi w:val="0"/>
        <w:ind w:firstLine="708"/>
        <w:jc w:val="both"/>
        <w:rPr>
          <w:rFonts w:ascii="Times New Roman" w:hAnsi="Times New Roman"/>
          <w:b/>
        </w:rPr>
      </w:pPr>
    </w:p>
    <w:p w:rsidR="006A60D1" w:rsidRPr="002D187E" w:rsidP="006A60D1">
      <w:pPr>
        <w:bidi w:val="0"/>
        <w:jc w:val="both"/>
        <w:rPr>
          <w:rFonts w:ascii="Times New Roman" w:hAnsi="Times New Roman"/>
          <w:b/>
        </w:rPr>
      </w:pPr>
      <w:r w:rsidRPr="002D187E">
        <w:rPr>
          <w:rFonts w:ascii="Times New Roman" w:hAnsi="Times New Roman"/>
          <w:b/>
        </w:rPr>
        <w:t>K bodu 29</w:t>
      </w:r>
    </w:p>
    <w:p w:rsidR="006A60D1" w:rsidP="006A60D1">
      <w:pPr>
        <w:bidi w:val="0"/>
        <w:ind w:firstLine="708"/>
        <w:jc w:val="both"/>
        <w:rPr>
          <w:rFonts w:ascii="Times New Roman" w:hAnsi="Times New Roman"/>
        </w:rPr>
      </w:pPr>
      <w:r w:rsidRPr="002D187E">
        <w:rPr>
          <w:rFonts w:ascii="Times New Roman" w:hAnsi="Times New Roman"/>
        </w:rPr>
        <w:t>Legislatívno-technická úprava súvisiaca so zosúladením s Legislatívnymi pravidlami vlády SR.</w:t>
      </w:r>
    </w:p>
    <w:p w:rsidR="002D187E" w:rsidP="006A60D1">
      <w:pPr>
        <w:bidi w:val="0"/>
        <w:ind w:firstLine="708"/>
        <w:jc w:val="both"/>
        <w:rPr>
          <w:rFonts w:ascii="Times New Roman" w:hAnsi="Times New Roman"/>
        </w:rPr>
      </w:pPr>
    </w:p>
    <w:p w:rsidR="002D187E" w:rsidRPr="00A53D1C" w:rsidP="006A60D1">
      <w:pPr>
        <w:bidi w:val="0"/>
        <w:ind w:firstLine="708"/>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Čl. II</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1</w:t>
      </w:r>
    </w:p>
    <w:p w:rsidR="006A60D1" w:rsidRPr="00A53D1C" w:rsidP="006A60D1">
      <w:pPr>
        <w:bidi w:val="0"/>
        <w:ind w:firstLine="708"/>
        <w:jc w:val="both"/>
        <w:rPr>
          <w:rFonts w:ascii="Times New Roman" w:hAnsi="Times New Roman"/>
        </w:rPr>
      </w:pPr>
      <w:r w:rsidRPr="00A53D1C">
        <w:rPr>
          <w:rFonts w:ascii="Times New Roman" w:hAnsi="Times New Roman"/>
        </w:rPr>
        <w:t>Podľa zákona NR SR č. 42/1994 Z.z. o civilnej ochrane obyvateľstva v znení zákona č. 445/2008 Z.z. sa mimoriadnou udalosťou rozumie živelná pohroma, havária, katastrofa alebo teroristický útok. Len v prípade uvedených skutočností sú orgány civilnej ochrany obyvateľstva oprávnené použiť sily a prostriedky stanovené týmto zákonom. Ak by došlo k ohrozeniu zdravia chemickými, biologickými, či fyzikálnymi faktormi v značnom rozsahu neboli by príslušné orgány kompetentné nariaďovať opatrenia a mobilizovať ostatné zložky civilnej ochrany. Eliminovať tento stav by mohli len orgány verejného zdravotníctva, čo by bolo vzhľadom na závažnosť situácie nedostatočné. Z uvedeného dôvodu sa navrhuje, aby mimoriadnou udalosťou bolo aj ohrozenie verejného zdravia II. stupňa v nadväznosti na navrhovanú úpravu v čl. I bod 18 (vymedzenie ohrozenia verejného zdravia II. stupňa v § 48 ods. 2).</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2</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so zosúladením s Legislatívnymi pravidlami vlády SR.</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3</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so zosúladením s Legislatívnymi pravidlami vlády SR.</w:t>
      </w:r>
    </w:p>
    <w:p w:rsidR="006A60D1" w:rsidP="006A60D1">
      <w:pPr>
        <w:bidi w:val="0"/>
        <w:jc w:val="both"/>
        <w:rPr>
          <w:rFonts w:ascii="Times New Roman" w:hAnsi="Times New Roman"/>
        </w:rPr>
      </w:pPr>
    </w:p>
    <w:p w:rsidR="002D187E" w:rsidRPr="00A53D1C" w:rsidP="006A60D1">
      <w:pPr>
        <w:bidi w:val="0"/>
        <w:jc w:val="both"/>
        <w:rPr>
          <w:rFonts w:ascii="Times New Roman" w:hAnsi="Times New Roman"/>
        </w:rPr>
      </w:pPr>
    </w:p>
    <w:p w:rsidR="006A60D1" w:rsidRPr="00A53D1C" w:rsidP="006A60D1">
      <w:pPr>
        <w:bidi w:val="0"/>
        <w:jc w:val="both"/>
        <w:rPr>
          <w:rFonts w:ascii="Times New Roman" w:hAnsi="Times New Roman"/>
          <w:u w:val="single"/>
        </w:rPr>
      </w:pPr>
    </w:p>
    <w:p w:rsidR="006A60D1" w:rsidRPr="00A53D1C" w:rsidP="006A60D1">
      <w:pPr>
        <w:bidi w:val="0"/>
        <w:jc w:val="both"/>
        <w:rPr>
          <w:rFonts w:ascii="Times New Roman" w:hAnsi="Times New Roman"/>
          <w:b/>
        </w:rPr>
      </w:pPr>
      <w:r w:rsidRPr="00A53D1C">
        <w:rPr>
          <w:rFonts w:ascii="Times New Roman" w:hAnsi="Times New Roman"/>
          <w:b/>
        </w:rPr>
        <w:t>K Čl. III</w:t>
      </w:r>
    </w:p>
    <w:p w:rsidR="006A60D1" w:rsidRPr="00A53D1C" w:rsidP="006A60D1">
      <w:pPr>
        <w:bidi w:val="0"/>
        <w:jc w:val="both"/>
        <w:rPr>
          <w:rFonts w:ascii="Times New Roman" w:hAnsi="Times New Roman"/>
          <w:b/>
        </w:rPr>
      </w:pPr>
    </w:p>
    <w:p w:rsidR="006A60D1" w:rsidRPr="00A53D1C" w:rsidP="006A60D1">
      <w:pPr>
        <w:bidi w:val="0"/>
        <w:jc w:val="both"/>
        <w:rPr>
          <w:rFonts w:ascii="Times New Roman" w:hAnsi="Times New Roman"/>
          <w:b/>
        </w:rPr>
      </w:pPr>
      <w:r w:rsidRPr="00A53D1C">
        <w:rPr>
          <w:rFonts w:ascii="Times New Roman" w:hAnsi="Times New Roman"/>
          <w:b/>
        </w:rPr>
        <w:t>K bodu 1</w:t>
      </w:r>
    </w:p>
    <w:p w:rsidR="006A60D1" w:rsidRPr="00A53D1C" w:rsidP="006A60D1">
      <w:pPr>
        <w:bidi w:val="0"/>
        <w:ind w:firstLine="708"/>
        <w:jc w:val="both"/>
        <w:rPr>
          <w:rFonts w:ascii="Times New Roman" w:hAnsi="Times New Roman"/>
        </w:rPr>
      </w:pPr>
      <w:r w:rsidRPr="00A53D1C">
        <w:rPr>
          <w:rFonts w:ascii="Times New Roman" w:hAnsi="Times New Roman"/>
        </w:rPr>
        <w:t xml:space="preserve">Doterajšia právna úprava nedáva možnosť, aby záchranná zdravotná služba mohla prepraviť osobu, ktorá predstavuje možný zdroj rýchlo sa šíriacej a život ohrozujúcej nákazy, pokiaľ tejto osobe už nezlyhávajú vitálne funkcie. Situáciu je nutné riešiť vzhľadom na prevenciu šírenia nákazy a ako aj pre riešenie situácie vyplývajúcej z implementácie Medzinárodných zdravotných predpisov v praxi. Zároveň sa umožní konať všetkým poskytovateľom zdravotnej starostlivosti v rámci poskytnutia neodkladnej starostlivosti. </w:t>
      </w:r>
    </w:p>
    <w:p w:rsidR="006A60D1" w:rsidRPr="00A53D1C" w:rsidP="006A60D1">
      <w:pPr>
        <w:bidi w:val="0"/>
        <w:jc w:val="both"/>
        <w:rPr>
          <w:rFonts w:ascii="Times New Roman" w:hAnsi="Times New Roman"/>
          <w:b/>
        </w:rPr>
      </w:pPr>
    </w:p>
    <w:p w:rsidR="006A60D1" w:rsidRPr="00A53D1C" w:rsidP="006A60D1">
      <w:pPr>
        <w:bidi w:val="0"/>
        <w:jc w:val="both"/>
        <w:rPr>
          <w:rFonts w:ascii="Times New Roman" w:hAnsi="Times New Roman"/>
          <w:b/>
        </w:rPr>
      </w:pPr>
      <w:r w:rsidRPr="00A53D1C">
        <w:rPr>
          <w:rFonts w:ascii="Times New Roman" w:hAnsi="Times New Roman"/>
          <w:b/>
        </w:rPr>
        <w:t>K bodu 2</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so zosúladením s Legislatívnymi pravidlami vlády SR.</w:t>
      </w:r>
    </w:p>
    <w:p w:rsidR="006A60D1" w:rsidRPr="00A53D1C" w:rsidP="006A60D1">
      <w:pPr>
        <w:bidi w:val="0"/>
        <w:jc w:val="both"/>
        <w:rPr>
          <w:rFonts w:ascii="Times New Roman" w:hAnsi="Times New Roman"/>
        </w:rPr>
      </w:pPr>
    </w:p>
    <w:p w:rsidR="006A60D1" w:rsidRPr="00A53D1C" w:rsidP="006A60D1">
      <w:pPr>
        <w:bidi w:val="0"/>
        <w:jc w:val="both"/>
        <w:rPr>
          <w:rFonts w:ascii="Times New Roman" w:hAnsi="Times New Roman"/>
          <w:b/>
        </w:rPr>
      </w:pPr>
      <w:r w:rsidRPr="00A53D1C">
        <w:rPr>
          <w:rFonts w:ascii="Times New Roman" w:hAnsi="Times New Roman"/>
          <w:b/>
        </w:rPr>
        <w:t>K bodu 3</w:t>
      </w:r>
    </w:p>
    <w:p w:rsidR="006A60D1" w:rsidRPr="00A53D1C" w:rsidP="006A60D1">
      <w:pPr>
        <w:bidi w:val="0"/>
        <w:ind w:firstLine="708"/>
        <w:jc w:val="both"/>
        <w:rPr>
          <w:rFonts w:ascii="Times New Roman" w:hAnsi="Times New Roman"/>
        </w:rPr>
      </w:pPr>
      <w:r w:rsidRPr="00A53D1C">
        <w:rPr>
          <w:rFonts w:ascii="Times New Roman" w:hAnsi="Times New Roman"/>
        </w:rPr>
        <w:t>Legislatívno-technická úprava súvisiaca so zosúladením s Legislatívnymi pravidlami vlády SR.</w:t>
      </w:r>
    </w:p>
    <w:p w:rsidR="006A60D1" w:rsidP="006A60D1">
      <w:pPr>
        <w:bidi w:val="0"/>
        <w:jc w:val="both"/>
        <w:rPr>
          <w:rFonts w:ascii="Times New Roman" w:hAnsi="Times New Roman"/>
          <w:b/>
        </w:rPr>
      </w:pPr>
    </w:p>
    <w:p w:rsidR="002D187E" w:rsidP="006A60D1">
      <w:pPr>
        <w:bidi w:val="0"/>
        <w:jc w:val="both"/>
        <w:rPr>
          <w:rFonts w:ascii="Times New Roman" w:hAnsi="Times New Roman"/>
          <w:b/>
        </w:rPr>
      </w:pPr>
    </w:p>
    <w:p w:rsidR="006A60D1" w:rsidRPr="00A53D1C" w:rsidP="006A60D1">
      <w:pPr>
        <w:bidi w:val="0"/>
        <w:jc w:val="both"/>
        <w:rPr>
          <w:rFonts w:ascii="Times New Roman" w:hAnsi="Times New Roman"/>
        </w:rPr>
      </w:pPr>
      <w:r w:rsidRPr="00A53D1C">
        <w:rPr>
          <w:rFonts w:ascii="Times New Roman" w:hAnsi="Times New Roman"/>
          <w:b/>
        </w:rPr>
        <w:tab/>
      </w:r>
    </w:p>
    <w:p w:rsidR="006A60D1" w:rsidRPr="00A53D1C" w:rsidP="006A60D1">
      <w:pPr>
        <w:bidi w:val="0"/>
        <w:jc w:val="both"/>
        <w:rPr>
          <w:rFonts w:ascii="Times New Roman" w:hAnsi="Times New Roman"/>
        </w:rPr>
      </w:pPr>
      <w:r w:rsidRPr="00A53D1C">
        <w:rPr>
          <w:rFonts w:ascii="Times New Roman" w:hAnsi="Times New Roman"/>
          <w:b/>
        </w:rPr>
        <w:t>K Čl. IV</w:t>
      </w:r>
    </w:p>
    <w:p w:rsidR="006A60D1" w:rsidRPr="00520569" w:rsidP="006A60D1">
      <w:pPr>
        <w:bidi w:val="0"/>
        <w:ind w:firstLine="708"/>
        <w:jc w:val="both"/>
        <w:rPr>
          <w:rFonts w:ascii="Times New Roman" w:hAnsi="Times New Roman"/>
        </w:rPr>
      </w:pPr>
      <w:r w:rsidRPr="00A53D1C">
        <w:rPr>
          <w:rFonts w:ascii="Times New Roman" w:hAnsi="Times New Roman"/>
        </w:rPr>
        <w:t>Dátum účinnosti sa ustanovuje s prihliadnutím na predpokladanú dĺžku legislatívneho procesu.</w:t>
      </w:r>
    </w:p>
    <w:p w:rsidR="006A60D1" w:rsidP="006A60D1">
      <w:pPr>
        <w:bidi w:val="0"/>
        <w:spacing w:before="100" w:beforeAutospacing="1" w:after="100" w:afterAutospacing="1"/>
        <w:jc w:val="both"/>
        <w:rPr>
          <w:rFonts w:ascii="Times New Roman" w:hAnsi="Times New Roman"/>
        </w:rPr>
      </w:pPr>
    </w:p>
    <w:p w:rsidR="00103C30" w:rsidP="006A60D1">
      <w:pPr>
        <w:bidi w:val="0"/>
        <w:spacing w:before="100" w:beforeAutospacing="1" w:after="100" w:afterAutospacing="1"/>
        <w:jc w:val="both"/>
        <w:rPr>
          <w:rFonts w:ascii="Times New Roman" w:hAnsi="Times New Roman"/>
        </w:rPr>
      </w:pPr>
      <w:r w:rsidR="006A60D1">
        <w:rPr>
          <w:rFonts w:ascii="Times New Roman" w:hAnsi="Times New Roman"/>
        </w:rPr>
        <w:t>V Bratislave 1</w:t>
      </w:r>
      <w:r w:rsidR="00157B7F">
        <w:rPr>
          <w:rFonts w:ascii="Times New Roman" w:hAnsi="Times New Roman"/>
        </w:rPr>
        <w:t>9</w:t>
      </w:r>
      <w:r w:rsidR="006A60D1">
        <w:rPr>
          <w:rFonts w:ascii="Times New Roman" w:hAnsi="Times New Roman"/>
        </w:rPr>
        <w:t>. januára 2011</w:t>
      </w:r>
    </w:p>
    <w:p w:rsidR="006A60D1" w:rsidP="006A60D1">
      <w:pPr>
        <w:bidi w:val="0"/>
        <w:spacing w:before="100" w:beforeAutospacing="1" w:after="100" w:afterAutospacing="1"/>
        <w:jc w:val="both"/>
        <w:rPr>
          <w:rFonts w:ascii="Times New Roman" w:hAnsi="Times New Roman"/>
        </w:rPr>
      </w:pPr>
    </w:p>
    <w:p w:rsidR="006A60D1" w:rsidP="006A60D1">
      <w:pPr>
        <w:bidi w:val="0"/>
        <w:spacing w:before="100" w:beforeAutospacing="1" w:after="100" w:afterAutospacing="1"/>
        <w:jc w:val="both"/>
        <w:rPr>
          <w:rFonts w:ascii="Times New Roman" w:hAnsi="Times New Roman"/>
        </w:rPr>
      </w:pPr>
    </w:p>
    <w:p w:rsidR="006A60D1" w:rsidP="006A60D1">
      <w:pPr>
        <w:bidi w:val="0"/>
        <w:ind w:left="290" w:firstLine="3958"/>
        <w:jc w:val="both"/>
        <w:rPr>
          <w:rFonts w:ascii="Times New Roman" w:hAnsi="Times New Roman"/>
          <w:b/>
        </w:rPr>
      </w:pPr>
      <w:r>
        <w:rPr>
          <w:rFonts w:ascii="Times New Roman" w:hAnsi="Times New Roman"/>
          <w:b/>
        </w:rPr>
        <w:t>Iveta Radičová, v.r.</w:t>
      </w:r>
    </w:p>
    <w:p w:rsidR="006A60D1" w:rsidRPr="006A60D1" w:rsidP="006A60D1">
      <w:pPr>
        <w:bidi w:val="0"/>
        <w:ind w:left="290" w:firstLine="3958"/>
        <w:jc w:val="both"/>
        <w:rPr>
          <w:rFonts w:ascii="Times New Roman" w:hAnsi="Times New Roman"/>
        </w:rPr>
      </w:pPr>
      <w:r w:rsidRPr="006A60D1">
        <w:rPr>
          <w:rFonts w:ascii="Times New Roman" w:hAnsi="Times New Roman"/>
        </w:rPr>
        <w:t>predsedníčka vlády</w:t>
      </w:r>
    </w:p>
    <w:p w:rsidR="006A60D1" w:rsidRPr="006A60D1" w:rsidP="006A60D1">
      <w:pPr>
        <w:bidi w:val="0"/>
        <w:ind w:left="290" w:firstLine="3958"/>
        <w:jc w:val="both"/>
        <w:rPr>
          <w:rFonts w:ascii="Times New Roman" w:hAnsi="Times New Roman"/>
        </w:rPr>
      </w:pPr>
      <w:r w:rsidRPr="006A60D1">
        <w:rPr>
          <w:rFonts w:ascii="Times New Roman" w:hAnsi="Times New Roman"/>
        </w:rPr>
        <w:t>Slovenskej republiky</w:t>
      </w:r>
    </w:p>
    <w:p w:rsidR="006A60D1" w:rsidP="006A60D1">
      <w:pPr>
        <w:bidi w:val="0"/>
        <w:ind w:firstLine="3958"/>
        <w:jc w:val="both"/>
        <w:rPr>
          <w:rFonts w:ascii="Times New Roman" w:hAnsi="Times New Roman"/>
          <w:b/>
        </w:rPr>
      </w:pPr>
    </w:p>
    <w:p w:rsidR="006A60D1" w:rsidP="006A60D1">
      <w:pPr>
        <w:bidi w:val="0"/>
        <w:ind w:firstLine="3958"/>
        <w:jc w:val="both"/>
        <w:rPr>
          <w:rFonts w:ascii="Times New Roman" w:hAnsi="Times New Roman"/>
          <w:b/>
        </w:rPr>
      </w:pPr>
    </w:p>
    <w:p w:rsidR="006A60D1" w:rsidP="006A60D1">
      <w:pPr>
        <w:bidi w:val="0"/>
        <w:ind w:firstLine="3958"/>
        <w:jc w:val="both"/>
        <w:rPr>
          <w:rFonts w:ascii="Times New Roman" w:hAnsi="Times New Roman"/>
          <w:b/>
        </w:rPr>
      </w:pPr>
    </w:p>
    <w:p w:rsidR="006A60D1" w:rsidP="006A60D1">
      <w:pPr>
        <w:bidi w:val="0"/>
        <w:ind w:firstLine="3958"/>
        <w:jc w:val="both"/>
        <w:rPr>
          <w:rFonts w:ascii="Times New Roman" w:hAnsi="Times New Roman"/>
          <w:b/>
        </w:rPr>
      </w:pPr>
    </w:p>
    <w:p w:rsidR="006A60D1" w:rsidP="006A60D1">
      <w:pPr>
        <w:bidi w:val="0"/>
        <w:ind w:left="290" w:firstLine="3958"/>
        <w:jc w:val="both"/>
        <w:rPr>
          <w:rFonts w:ascii="Times New Roman" w:hAnsi="Times New Roman"/>
          <w:b/>
        </w:rPr>
      </w:pPr>
      <w:r>
        <w:rPr>
          <w:rFonts w:ascii="Times New Roman" w:hAnsi="Times New Roman"/>
          <w:b/>
        </w:rPr>
        <w:t>Ivan Uhliarik, v.r.</w:t>
      </w:r>
    </w:p>
    <w:p w:rsidR="006A60D1" w:rsidRPr="006A60D1" w:rsidP="006A60D1">
      <w:pPr>
        <w:bidi w:val="0"/>
        <w:ind w:left="290" w:firstLine="3958"/>
        <w:jc w:val="both"/>
        <w:rPr>
          <w:rFonts w:ascii="Times New Roman" w:hAnsi="Times New Roman"/>
        </w:rPr>
      </w:pPr>
      <w:r w:rsidRPr="006A60D1">
        <w:rPr>
          <w:rFonts w:ascii="Times New Roman" w:hAnsi="Times New Roman"/>
        </w:rPr>
        <w:t>minister zdravotníctva</w:t>
      </w:r>
    </w:p>
    <w:p w:rsidR="006A60D1" w:rsidRPr="006A60D1" w:rsidP="006A60D1">
      <w:pPr>
        <w:bidi w:val="0"/>
        <w:ind w:left="290" w:firstLine="3958"/>
        <w:jc w:val="both"/>
        <w:rPr>
          <w:rFonts w:ascii="Times New Roman" w:hAnsi="Times New Roman"/>
        </w:rPr>
      </w:pPr>
      <w:r w:rsidRPr="006A60D1">
        <w:rPr>
          <w:rFonts w:ascii="Times New Roman" w:hAnsi="Times New Roman"/>
        </w:rPr>
        <w:t>Slovenskej republiky</w:t>
      </w:r>
    </w:p>
    <w:p w:rsidR="006A60D1" w:rsidRPr="006A60D1" w:rsidP="006A60D1">
      <w:pPr>
        <w:bidi w:val="0"/>
        <w:spacing w:before="100" w:beforeAutospacing="1" w:after="100" w:afterAutospacing="1"/>
        <w:ind w:firstLine="3960"/>
        <w:jc w:val="both"/>
        <w:rPr>
          <w:rFonts w:ascii="Times New Roman" w:hAnsi="Times New Roman"/>
          <w:b/>
        </w:rPr>
      </w:pPr>
    </w:p>
    <w:p w:rsidR="00103C30" w:rsidRPr="00520569" w:rsidP="00194A7B">
      <w:pPr>
        <w:bidi w:val="0"/>
        <w:spacing w:before="100" w:beforeAutospacing="1" w:after="100" w:afterAutospacing="1"/>
        <w:ind w:firstLine="708"/>
        <w:jc w:val="both"/>
        <w:rPr>
          <w:rFonts w:ascii="Times New Roman" w:hAnsi="Times New Roman"/>
        </w:rPr>
      </w:pPr>
    </w:p>
    <w:p w:rsidR="00103C30" w:rsidRPr="00520569" w:rsidP="00194A7B">
      <w:pPr>
        <w:bidi w:val="0"/>
        <w:spacing w:before="100" w:beforeAutospacing="1" w:after="100" w:afterAutospacing="1"/>
        <w:ind w:firstLine="708"/>
        <w:jc w:val="both"/>
        <w:rPr>
          <w:rFonts w:ascii="Times New Roman" w:hAnsi="Times New Roman"/>
        </w:rPr>
      </w:pPr>
    </w:p>
    <w:p w:rsidR="00103C30" w:rsidRPr="00520569" w:rsidP="00194A7B">
      <w:pPr>
        <w:bidi w:val="0"/>
        <w:spacing w:before="100" w:beforeAutospacing="1" w:after="100" w:afterAutospacing="1"/>
        <w:ind w:firstLine="708"/>
        <w:jc w:val="both"/>
        <w:rPr>
          <w:rFonts w:ascii="Times New Roman" w:hAnsi="Times New Roman"/>
        </w:rPr>
      </w:pPr>
    </w:p>
    <w:p w:rsidR="00103C30" w:rsidRPr="00520569" w:rsidP="00194A7B">
      <w:pPr>
        <w:bidi w:val="0"/>
        <w:spacing w:before="100" w:beforeAutospacing="1" w:after="100" w:afterAutospacing="1"/>
        <w:ind w:firstLine="708"/>
        <w:jc w:val="both"/>
        <w:rPr>
          <w:rFonts w:ascii="Times New Roman" w:hAnsi="Times New Roman"/>
        </w:rPr>
      </w:pPr>
    </w:p>
    <w:p w:rsidR="00103C30" w:rsidRPr="00520569" w:rsidP="00194A7B">
      <w:pPr>
        <w:bidi w:val="0"/>
        <w:spacing w:before="100" w:beforeAutospacing="1" w:after="100" w:afterAutospacing="1"/>
        <w:ind w:firstLine="708"/>
        <w:jc w:val="both"/>
        <w:rPr>
          <w:rFonts w:ascii="Times New Roman" w:hAnsi="Times New Roman"/>
        </w:rPr>
      </w:pPr>
    </w:p>
    <w:p w:rsidR="00103C30" w:rsidRPr="00520569" w:rsidP="00194A7B">
      <w:pPr>
        <w:bidi w:val="0"/>
        <w:spacing w:before="100" w:beforeAutospacing="1" w:after="100" w:afterAutospacing="1"/>
        <w:ind w:firstLine="708"/>
        <w:jc w:val="both"/>
        <w:rPr>
          <w:rFonts w:ascii="Times New Roman" w:hAnsi="Times New Roman"/>
        </w:rPr>
      </w:pPr>
    </w:p>
    <w:p w:rsidR="00103C30" w:rsidRPr="00520569" w:rsidP="00194A7B">
      <w:pPr>
        <w:bidi w:val="0"/>
        <w:spacing w:before="100" w:beforeAutospacing="1" w:after="100" w:afterAutospacing="1"/>
        <w:ind w:firstLine="708"/>
        <w:jc w:val="both"/>
        <w:rPr>
          <w:rFonts w:ascii="Times New Roman" w:hAnsi="Times New Roman"/>
        </w:rPr>
      </w:pPr>
    </w:p>
    <w:p w:rsidR="00103C30" w:rsidRPr="00520569" w:rsidP="00194A7B">
      <w:pPr>
        <w:bidi w:val="0"/>
        <w:spacing w:before="100" w:beforeAutospacing="1" w:after="100" w:afterAutospacing="1"/>
        <w:ind w:firstLine="708"/>
        <w:jc w:val="both"/>
        <w:rPr>
          <w:rFonts w:ascii="Times New Roman" w:hAnsi="Times New Roman"/>
        </w:rPr>
      </w:pPr>
    </w:p>
    <w:p w:rsidR="00F42CAD" w:rsidRPr="00520569" w:rsidP="00F42CAD">
      <w:pPr>
        <w:bidi w:val="0"/>
        <w:jc w:val="both"/>
        <w:rPr>
          <w:rFonts w:ascii="Times New Roman" w:hAnsi="Times New Roman"/>
          <w:b/>
          <w:bCs/>
        </w:rPr>
      </w:pPr>
    </w:p>
    <w:p w:rsidR="00F42CAD" w:rsidRPr="00520569" w:rsidP="00F42CAD">
      <w:pPr>
        <w:bidi w:val="0"/>
        <w:jc w:val="both"/>
        <w:rPr>
          <w:rFonts w:ascii="Times New Roman" w:hAnsi="Times New Roman"/>
          <w:bCs/>
        </w:rPr>
      </w:pPr>
    </w:p>
    <w:p w:rsidR="00F42CAD" w:rsidRPr="00520569" w:rsidP="00F42CAD">
      <w:pPr>
        <w:bidi w:val="0"/>
        <w:jc w:val="both"/>
        <w:rPr>
          <w:rFonts w:ascii="Times New Roman" w:hAnsi="Times New Roman"/>
        </w:rPr>
      </w:pPr>
    </w:p>
    <w:p w:rsidR="00F42CAD" w:rsidRPr="00520569" w:rsidP="000A16EB">
      <w:pPr>
        <w:bidi w:val="0"/>
        <w:spacing w:before="100" w:beforeAutospacing="1" w:after="100" w:afterAutospacing="1"/>
        <w:ind w:firstLine="708"/>
        <w:rPr>
          <w:rFonts w:ascii="Times New Roman" w:hAnsi="Times New Roman"/>
        </w:rPr>
      </w:pPr>
    </w:p>
    <w:sectPr w:rsidSect="005546DE">
      <w:footerReference w:type="even" r:id="rId4"/>
      <w:pgSz w:w="11906" w:h="16838" w:code="9"/>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81F" w:rsidP="00632E6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39081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C2F60"/>
    <w:multiLevelType w:val="hybridMultilevel"/>
    <w:tmpl w:val="C490526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1B67C09"/>
    <w:multiLevelType w:val="hybridMultilevel"/>
    <w:tmpl w:val="B75A91E6"/>
    <w:lvl w:ilvl="0">
      <w:start w:val="1"/>
      <w:numFmt w:val="lowerLetter"/>
      <w:lvlText w:val="%1)"/>
      <w:lvlJc w:val="left"/>
      <w:pPr>
        <w:tabs>
          <w:tab w:val="num" w:pos="700"/>
        </w:tabs>
        <w:ind w:left="680" w:hanging="340"/>
      </w:pPr>
      <w:rPr>
        <w:rFonts w:cs="Times New Roman" w:hint="default"/>
        <w:rtl w:val="0"/>
        <w:cs w:val="0"/>
      </w:rPr>
    </w:lvl>
    <w:lvl w:ilvl="1">
      <w:start w:val="0"/>
      <w:numFmt w:val="bullet"/>
      <w:lvlText w:val="-"/>
      <w:lvlJc w:val="left"/>
      <w:pPr>
        <w:tabs>
          <w:tab w:val="num" w:pos="1780"/>
        </w:tabs>
        <w:ind w:left="1780" w:hanging="360"/>
      </w:pPr>
      <w:rPr>
        <w:rFonts w:ascii="Times New Roman" w:eastAsia="Times New Roman" w:hAnsi="Times New Roman" w:hint="default"/>
      </w:rPr>
    </w:lvl>
    <w:lvl w:ilvl="2">
      <w:start w:val="1"/>
      <w:numFmt w:val="lowerRoman"/>
      <w:lvlText w:val="%3."/>
      <w:lvlJc w:val="right"/>
      <w:pPr>
        <w:tabs>
          <w:tab w:val="num" w:pos="2500"/>
        </w:tabs>
        <w:ind w:left="2500" w:hanging="180"/>
      </w:pPr>
      <w:rPr>
        <w:rFonts w:cs="Times New Roman"/>
        <w:rtl w:val="0"/>
        <w:cs w:val="0"/>
      </w:rPr>
    </w:lvl>
    <w:lvl w:ilvl="3">
      <w:start w:val="1"/>
      <w:numFmt w:val="decimal"/>
      <w:lvlText w:val="%4."/>
      <w:lvlJc w:val="left"/>
      <w:pPr>
        <w:tabs>
          <w:tab w:val="num" w:pos="3220"/>
        </w:tabs>
        <w:ind w:left="3220" w:hanging="360"/>
      </w:pPr>
      <w:rPr>
        <w:rFonts w:cs="Times New Roman"/>
        <w:rtl w:val="0"/>
        <w:cs w:val="0"/>
      </w:rPr>
    </w:lvl>
    <w:lvl w:ilvl="4">
      <w:start w:val="1"/>
      <w:numFmt w:val="lowerLetter"/>
      <w:lvlText w:val="%5."/>
      <w:lvlJc w:val="left"/>
      <w:pPr>
        <w:tabs>
          <w:tab w:val="num" w:pos="3940"/>
        </w:tabs>
        <w:ind w:left="3940" w:hanging="360"/>
      </w:pPr>
      <w:rPr>
        <w:rFonts w:cs="Times New Roman"/>
        <w:rtl w:val="0"/>
        <w:cs w:val="0"/>
      </w:rPr>
    </w:lvl>
    <w:lvl w:ilvl="5">
      <w:start w:val="1"/>
      <w:numFmt w:val="lowerRoman"/>
      <w:lvlText w:val="%6."/>
      <w:lvlJc w:val="right"/>
      <w:pPr>
        <w:tabs>
          <w:tab w:val="num" w:pos="4660"/>
        </w:tabs>
        <w:ind w:left="4660" w:hanging="180"/>
      </w:pPr>
      <w:rPr>
        <w:rFonts w:cs="Times New Roman"/>
        <w:rtl w:val="0"/>
        <w:cs w:val="0"/>
      </w:rPr>
    </w:lvl>
    <w:lvl w:ilvl="6">
      <w:start w:val="1"/>
      <w:numFmt w:val="decimal"/>
      <w:lvlText w:val="%7."/>
      <w:lvlJc w:val="left"/>
      <w:pPr>
        <w:tabs>
          <w:tab w:val="num" w:pos="5380"/>
        </w:tabs>
        <w:ind w:left="5380" w:hanging="360"/>
      </w:pPr>
      <w:rPr>
        <w:rFonts w:cs="Times New Roman"/>
        <w:rtl w:val="0"/>
        <w:cs w:val="0"/>
      </w:rPr>
    </w:lvl>
    <w:lvl w:ilvl="7">
      <w:start w:val="1"/>
      <w:numFmt w:val="lowerLetter"/>
      <w:lvlText w:val="%8."/>
      <w:lvlJc w:val="left"/>
      <w:pPr>
        <w:tabs>
          <w:tab w:val="num" w:pos="6100"/>
        </w:tabs>
        <w:ind w:left="6100" w:hanging="360"/>
      </w:pPr>
      <w:rPr>
        <w:rFonts w:cs="Times New Roman"/>
        <w:rtl w:val="0"/>
        <w:cs w:val="0"/>
      </w:rPr>
    </w:lvl>
    <w:lvl w:ilvl="8">
      <w:start w:val="1"/>
      <w:numFmt w:val="lowerRoman"/>
      <w:lvlText w:val="%9."/>
      <w:lvlJc w:val="right"/>
      <w:pPr>
        <w:tabs>
          <w:tab w:val="num" w:pos="6820"/>
        </w:tabs>
        <w:ind w:left="6820" w:hanging="180"/>
      </w:pPr>
      <w:rPr>
        <w:rFonts w:cs="Times New Roman"/>
        <w:rtl w:val="0"/>
        <w:cs w:val="0"/>
      </w:rPr>
    </w:lvl>
  </w:abstractNum>
  <w:abstractNum w:abstractNumId="2">
    <w:nsid w:val="41DF5C16"/>
    <w:multiLevelType w:val="hybridMultilevel"/>
    <w:tmpl w:val="0C0EBC68"/>
    <w:lvl w:ilvl="0">
      <w:start w:val="1"/>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Letter"/>
      <w:lvlText w:val="%3)"/>
      <w:lvlJc w:val="left"/>
      <w:pPr>
        <w:tabs>
          <w:tab w:val="num" w:pos="2340"/>
        </w:tabs>
        <w:ind w:left="2340" w:hanging="360"/>
      </w:pPr>
      <w:rPr>
        <w:rFonts w:cs="Times New Roman"/>
        <w:rtl w:val="0"/>
        <w:cs w:val="0"/>
      </w:rPr>
    </w:lvl>
    <w:lvl w:ilvl="3">
      <w:start w:val="0"/>
      <w:numFmt w:val="bullet"/>
      <w:lvlText w:val="-"/>
      <w:lvlJc w:val="left"/>
      <w:pPr>
        <w:tabs>
          <w:tab w:val="num" w:pos="2880"/>
        </w:tabs>
        <w:ind w:left="2880" w:hanging="360"/>
      </w:p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AD51204"/>
    <w:multiLevelType w:val="hybridMultilevel"/>
    <w:tmpl w:val="613835BC"/>
    <w:lvl w:ilvl="0">
      <w:start w:val="1"/>
      <w:numFmt w:val="decimal"/>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DFE534C"/>
    <w:multiLevelType w:val="hybridMultilevel"/>
    <w:tmpl w:val="8786C6C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6">
    <w:nsid w:val="79627E14"/>
    <w:multiLevelType w:val="hybridMultilevel"/>
    <w:tmpl w:val="3742404E"/>
    <w:lvl w:ilvl="0">
      <w:start w:val="1"/>
      <w:numFmt w:val="decimal"/>
      <w:lvlText w:val="%1."/>
      <w:lvlJc w:val="left"/>
      <w:pPr>
        <w:tabs>
          <w:tab w:val="num" w:pos="360"/>
        </w:tabs>
        <w:ind w:left="340" w:hanging="340"/>
      </w:pPr>
      <w:rPr>
        <w:rFonts w:cs="Times New Roman" w:hint="default"/>
        <w:rtl w:val="0"/>
        <w:cs w:val="0"/>
      </w:rPr>
    </w:lvl>
    <w:lvl w:ilvl="1">
      <w:start w:val="1"/>
      <w:numFmt w:val="bullet"/>
      <w:lvlText w:val="-"/>
      <w:lvlJc w:val="left"/>
      <w:pPr>
        <w:tabs>
          <w:tab w:val="num" w:pos="1440"/>
        </w:tabs>
        <w:ind w:left="1420" w:hanging="340"/>
      </w:pPr>
      <w:rPr>
        <w:rFonts w:ascii="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6"/>
  </w:num>
  <w:num w:numId="2">
    <w:abstractNumId w:val="1"/>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E23AA9"/>
    <w:rsid w:val="000914FC"/>
    <w:rsid w:val="000A16EB"/>
    <w:rsid w:val="000A39A1"/>
    <w:rsid w:val="000B0230"/>
    <w:rsid w:val="000F20F4"/>
    <w:rsid w:val="00103C30"/>
    <w:rsid w:val="001040E6"/>
    <w:rsid w:val="00135819"/>
    <w:rsid w:val="00157B7F"/>
    <w:rsid w:val="00194A7B"/>
    <w:rsid w:val="0019738E"/>
    <w:rsid w:val="001C5852"/>
    <w:rsid w:val="001F72AD"/>
    <w:rsid w:val="00211245"/>
    <w:rsid w:val="00215258"/>
    <w:rsid w:val="002523CA"/>
    <w:rsid w:val="0026209B"/>
    <w:rsid w:val="0029171D"/>
    <w:rsid w:val="00291BFF"/>
    <w:rsid w:val="002D187E"/>
    <w:rsid w:val="0033366D"/>
    <w:rsid w:val="00345BC6"/>
    <w:rsid w:val="003768A1"/>
    <w:rsid w:val="0039081F"/>
    <w:rsid w:val="004150CC"/>
    <w:rsid w:val="004A71F3"/>
    <w:rsid w:val="004B00DC"/>
    <w:rsid w:val="004D0B3A"/>
    <w:rsid w:val="004E10E1"/>
    <w:rsid w:val="004E71BD"/>
    <w:rsid w:val="004F1B83"/>
    <w:rsid w:val="004F6845"/>
    <w:rsid w:val="00502275"/>
    <w:rsid w:val="00520569"/>
    <w:rsid w:val="00541733"/>
    <w:rsid w:val="005546DE"/>
    <w:rsid w:val="00624704"/>
    <w:rsid w:val="00632E65"/>
    <w:rsid w:val="00635EC4"/>
    <w:rsid w:val="0066419C"/>
    <w:rsid w:val="006727CF"/>
    <w:rsid w:val="006A4D08"/>
    <w:rsid w:val="006A60D1"/>
    <w:rsid w:val="006F08C3"/>
    <w:rsid w:val="00795C90"/>
    <w:rsid w:val="007A145F"/>
    <w:rsid w:val="007C213B"/>
    <w:rsid w:val="007D1FFD"/>
    <w:rsid w:val="008027B8"/>
    <w:rsid w:val="008132AC"/>
    <w:rsid w:val="00831137"/>
    <w:rsid w:val="00880987"/>
    <w:rsid w:val="008D136A"/>
    <w:rsid w:val="00910EA4"/>
    <w:rsid w:val="00934FE7"/>
    <w:rsid w:val="0095413F"/>
    <w:rsid w:val="009778D0"/>
    <w:rsid w:val="009C365B"/>
    <w:rsid w:val="00A137BE"/>
    <w:rsid w:val="00A16C70"/>
    <w:rsid w:val="00A53D1C"/>
    <w:rsid w:val="00AA0E6A"/>
    <w:rsid w:val="00AA30B3"/>
    <w:rsid w:val="00AA5699"/>
    <w:rsid w:val="00B54340"/>
    <w:rsid w:val="00BF0B82"/>
    <w:rsid w:val="00C54449"/>
    <w:rsid w:val="00C87262"/>
    <w:rsid w:val="00C915A3"/>
    <w:rsid w:val="00CE03AC"/>
    <w:rsid w:val="00CE52A1"/>
    <w:rsid w:val="00D06511"/>
    <w:rsid w:val="00D06635"/>
    <w:rsid w:val="00D54E06"/>
    <w:rsid w:val="00D6266C"/>
    <w:rsid w:val="00D95F63"/>
    <w:rsid w:val="00DA4EFA"/>
    <w:rsid w:val="00DB1DF1"/>
    <w:rsid w:val="00DB6562"/>
    <w:rsid w:val="00DC040C"/>
    <w:rsid w:val="00E23AA9"/>
    <w:rsid w:val="00E41A74"/>
    <w:rsid w:val="00E41C05"/>
    <w:rsid w:val="00E72573"/>
    <w:rsid w:val="00E9271C"/>
    <w:rsid w:val="00EC26CD"/>
    <w:rsid w:val="00EE4C2C"/>
    <w:rsid w:val="00F06CD3"/>
    <w:rsid w:val="00F1145D"/>
    <w:rsid w:val="00F42CAD"/>
    <w:rsid w:val="00F96EE1"/>
    <w:rsid w:val="00F97444"/>
    <w:rsid w:val="00FD29C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AA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D06635"/>
    <w:pPr>
      <w:keepNext/>
      <w:spacing w:before="240" w:after="60"/>
      <w:jc w:val="left"/>
      <w:outlineLvl w:val="0"/>
    </w:pPr>
    <w:rPr>
      <w:rFonts w:ascii="Cambria" w:hAnsi="Cambria"/>
      <w:b/>
      <w:bCs/>
      <w:kern w:val="32"/>
      <w:sz w:val="32"/>
      <w:szCs w:val="32"/>
    </w:rPr>
  </w:style>
  <w:style w:type="paragraph" w:styleId="Heading4">
    <w:name w:val="heading 4"/>
    <w:basedOn w:val="Normal"/>
    <w:next w:val="Normal"/>
    <w:link w:val="Nadpis4Char"/>
    <w:qFormat/>
    <w:rsid w:val="00E41C05"/>
    <w:pPr>
      <w:keepNext/>
      <w:spacing w:before="240" w:after="60"/>
      <w:jc w:val="left"/>
      <w:outlineLvl w:val="3"/>
    </w:pPr>
    <w:rPr>
      <w:b/>
      <w:bCs/>
      <w:sz w:val="28"/>
      <w:szCs w:val="28"/>
      <w:lang w:eastAsia="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rsid w:val="00E23AA9"/>
    <w:pPr>
      <w:jc w:val="both"/>
    </w:pPr>
    <w:rPr>
      <w:b/>
      <w:bCs/>
    </w:rPr>
  </w:style>
  <w:style w:type="paragraph" w:styleId="BodyText3">
    <w:name w:val="Body Text 3"/>
    <w:basedOn w:val="Normal"/>
    <w:rsid w:val="00E23AA9"/>
    <w:pPr>
      <w:spacing w:after="120"/>
      <w:jc w:val="left"/>
    </w:pPr>
    <w:rPr>
      <w:sz w:val="16"/>
      <w:szCs w:val="16"/>
    </w:rPr>
  </w:style>
  <w:style w:type="paragraph" w:styleId="BodyTextIndent">
    <w:name w:val="Body Text Indent"/>
    <w:basedOn w:val="Normal"/>
    <w:rsid w:val="00E41C05"/>
    <w:pPr>
      <w:spacing w:after="120"/>
      <w:ind w:left="283"/>
      <w:jc w:val="left"/>
    </w:pPr>
  </w:style>
  <w:style w:type="paragraph" w:styleId="BalloonText">
    <w:name w:val="Balloon Text"/>
    <w:basedOn w:val="Normal"/>
    <w:semiHidden/>
    <w:rsid w:val="00CE52A1"/>
    <w:pPr>
      <w:jc w:val="left"/>
    </w:pPr>
    <w:rPr>
      <w:rFonts w:ascii="Tahoma" w:hAnsi="Tahoma" w:cs="Tahoma"/>
      <w:sz w:val="16"/>
      <w:szCs w:val="16"/>
    </w:rPr>
  </w:style>
  <w:style w:type="paragraph" w:styleId="NormalWeb">
    <w:name w:val="Normal (Web)"/>
    <w:basedOn w:val="Normal"/>
    <w:rsid w:val="007A145F"/>
    <w:pPr>
      <w:spacing w:before="100" w:beforeAutospacing="1" w:after="100" w:afterAutospacing="1"/>
      <w:jc w:val="left"/>
    </w:pPr>
    <w:rPr>
      <w:lang w:val="en-US"/>
    </w:rPr>
  </w:style>
  <w:style w:type="character" w:customStyle="1" w:styleId="Nadpis1Char">
    <w:name w:val="Nadpis 1 Char"/>
    <w:basedOn w:val="DefaultParagraphFont"/>
    <w:link w:val="Heading1"/>
    <w:locked/>
    <w:rsid w:val="00D06635"/>
    <w:rPr>
      <w:rFonts w:ascii="Cambria" w:hAnsi="Cambria" w:cs="Times New Roman"/>
      <w:b/>
      <w:bCs/>
      <w:kern w:val="32"/>
      <w:sz w:val="32"/>
      <w:szCs w:val="32"/>
      <w:rtl w:val="0"/>
      <w:cs w:val="0"/>
    </w:rPr>
  </w:style>
  <w:style w:type="character" w:customStyle="1" w:styleId="Nadpis4Char">
    <w:name w:val="Nadpis 4 Char"/>
    <w:basedOn w:val="DefaultParagraphFont"/>
    <w:link w:val="Heading4"/>
    <w:locked/>
    <w:rsid w:val="006A60D1"/>
    <w:rPr>
      <w:rFonts w:cs="Times New Roman"/>
      <w:b/>
      <w:bCs/>
      <w:sz w:val="28"/>
      <w:szCs w:val="28"/>
      <w:rtl w:val="0"/>
      <w:cs w:val="0"/>
      <w:lang w:val="sk-SK" w:eastAsia="cs-CZ" w:bidi="ar-SA"/>
    </w:rPr>
  </w:style>
  <w:style w:type="paragraph" w:styleId="Footer">
    <w:name w:val="footer"/>
    <w:basedOn w:val="Normal"/>
    <w:rsid w:val="005546DE"/>
    <w:pPr>
      <w:tabs>
        <w:tab w:val="center" w:pos="4536"/>
        <w:tab w:val="right" w:pos="9072"/>
      </w:tabs>
      <w:jc w:val="left"/>
    </w:pPr>
  </w:style>
  <w:style w:type="character" w:styleId="PageNumber">
    <w:name w:val="page number"/>
    <w:basedOn w:val="DefaultParagraphFont"/>
    <w:rsid w:val="005546DE"/>
    <w:rPr>
      <w:rFonts w:cs="Times New Roman"/>
      <w:rtl w:val="0"/>
      <w:cs w:val="0"/>
    </w:rPr>
  </w:style>
  <w:style w:type="paragraph" w:styleId="Header">
    <w:name w:val="header"/>
    <w:basedOn w:val="Normal"/>
    <w:rsid w:val="002D187E"/>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1222</Words>
  <Characters>7689</Characters>
  <Application>Microsoft Office Word</Application>
  <DocSecurity>0</DocSecurity>
  <Lines>0</Lines>
  <Paragraphs>0</Paragraphs>
  <ScaleCrop>false</ScaleCrop>
  <Company>UVZ SR</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 - osobitná časť</dc:title>
  <dc:creator>MZ SR</dc:creator>
  <cp:lastModifiedBy>GaspJarm</cp:lastModifiedBy>
  <cp:revision>2</cp:revision>
  <cp:lastPrinted>2010-12-10T09:17:00Z</cp:lastPrinted>
  <dcterms:created xsi:type="dcterms:W3CDTF">2011-02-02T18:31:00Z</dcterms:created>
  <dcterms:modified xsi:type="dcterms:W3CDTF">2011-02-02T18:31:00Z</dcterms:modified>
</cp:coreProperties>
</file>