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64245" w:rsidRPr="004663BA">
      <w:pPr>
        <w:bidi w:val="0"/>
        <w:jc w:val="both"/>
        <w:outlineLvl w:val="0"/>
        <w:rPr>
          <w:rFonts w:ascii="Times New Roman" w:hAnsi="Times New Roman"/>
          <w:sz w:val="20"/>
          <w:szCs w:val="20"/>
        </w:rPr>
      </w:pPr>
    </w:p>
    <w:p w:rsidR="00864245" w:rsidRPr="004663BA" w:rsidP="00326D33">
      <w:pPr>
        <w:bidi w:val="0"/>
        <w:jc w:val="center"/>
        <w:outlineLvl w:val="0"/>
        <w:rPr>
          <w:rFonts w:ascii="Times New Roman" w:hAnsi="Times New Roman"/>
          <w:b/>
          <w:bCs/>
          <w:sz w:val="20"/>
          <w:szCs w:val="20"/>
        </w:rPr>
      </w:pPr>
      <w:r w:rsidRPr="004663BA">
        <w:rPr>
          <w:rFonts w:ascii="Times New Roman" w:hAnsi="Times New Roman"/>
          <w:b/>
          <w:bCs/>
          <w:sz w:val="20"/>
          <w:szCs w:val="20"/>
        </w:rPr>
        <w:t>Tabuľka zhody (Table of Concordance)</w:t>
      </w:r>
    </w:p>
    <w:p w:rsidR="00864245" w:rsidRPr="004663BA" w:rsidP="00326D33">
      <w:pPr>
        <w:tabs>
          <w:tab w:val="left" w:pos="5245"/>
        </w:tabs>
        <w:bidi w:val="0"/>
        <w:jc w:val="both"/>
        <w:rPr>
          <w:rFonts w:ascii="Times New Roman" w:hAnsi="Times New Roman"/>
          <w:b/>
          <w:bCs/>
          <w:sz w:val="20"/>
          <w:szCs w:val="20"/>
        </w:rPr>
      </w:pPr>
    </w:p>
    <w:tbl>
      <w:tblPr>
        <w:tblStyle w:val="TableNormal"/>
        <w:tblW w:w="14387"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Pr>
      <w:tblGrid>
        <w:gridCol w:w="4748"/>
        <w:gridCol w:w="9639"/>
      </w:tblGrid>
      <w:tr>
        <w:tblPrEx>
          <w:tblW w:w="14387"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PrEx>
        <w:tc>
          <w:tcPr>
            <w:tcW w:w="4748"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rsidP="00326D33">
            <w:pPr>
              <w:tabs>
                <w:tab w:val="left" w:pos="5245"/>
              </w:tabs>
              <w:bidi w:val="0"/>
              <w:jc w:val="both"/>
              <w:rPr>
                <w:rFonts w:ascii="Times New Roman" w:hAnsi="Times New Roman"/>
                <w:b/>
                <w:bCs/>
                <w:sz w:val="20"/>
                <w:szCs w:val="20"/>
              </w:rPr>
            </w:pPr>
            <w:r w:rsidRPr="004663BA">
              <w:rPr>
                <w:rFonts w:ascii="Times New Roman" w:hAnsi="Times New Roman"/>
                <w:b/>
                <w:bCs/>
                <w:sz w:val="20"/>
                <w:szCs w:val="20"/>
              </w:rPr>
              <w:t>Právny predpis EÚ</w:t>
            </w:r>
          </w:p>
        </w:tc>
        <w:tc>
          <w:tcPr>
            <w:tcW w:w="9639"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rsidP="00326D33">
            <w:pPr>
              <w:tabs>
                <w:tab w:val="left" w:pos="5245"/>
              </w:tabs>
              <w:bidi w:val="0"/>
              <w:jc w:val="both"/>
              <w:rPr>
                <w:rFonts w:ascii="Times New Roman" w:hAnsi="Times New Roman"/>
                <w:b/>
                <w:bCs/>
                <w:sz w:val="20"/>
                <w:szCs w:val="20"/>
              </w:rPr>
            </w:pPr>
            <w:r w:rsidRPr="004663BA">
              <w:rPr>
                <w:rFonts w:ascii="Times New Roman" w:hAnsi="Times New Roman"/>
                <w:b/>
                <w:bCs/>
                <w:sz w:val="20"/>
                <w:szCs w:val="20"/>
              </w:rPr>
              <w:t>Právny predpis SR</w:t>
            </w:r>
          </w:p>
        </w:tc>
      </w:tr>
      <w:tr>
        <w:tblPrEx>
          <w:tblW w:w="14387" w:type="dxa"/>
          <w:tblInd w:w="-68" w:type="dxa"/>
          <w:tblLayout w:type="fixed"/>
          <w:tblCellMar>
            <w:left w:w="70" w:type="dxa"/>
            <w:right w:w="70" w:type="dxa"/>
          </w:tblCellMar>
        </w:tblPrEx>
        <w:tc>
          <w:tcPr>
            <w:tcW w:w="4748"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rsidP="00B42141">
            <w:pPr>
              <w:autoSpaceDE w:val="0"/>
              <w:autoSpaceDN w:val="0"/>
              <w:bidi w:val="0"/>
              <w:adjustRightInd w:val="0"/>
              <w:rPr>
                <w:rFonts w:ascii="Times New Roman" w:hAnsi="Times New Roman"/>
                <w:b/>
                <w:bCs/>
                <w:sz w:val="20"/>
                <w:szCs w:val="20"/>
                <w:lang w:eastAsia="sk-SK"/>
              </w:rPr>
            </w:pPr>
            <w:r w:rsidRPr="004663BA">
              <w:rPr>
                <w:rFonts w:ascii="Times New Roman" w:hAnsi="Times New Roman"/>
                <w:b/>
                <w:bCs/>
                <w:sz w:val="20"/>
                <w:szCs w:val="20"/>
                <w:lang w:eastAsia="sk-SK"/>
              </w:rPr>
              <w:t xml:space="preserve">SMERNICA EURÓPSKEHO PARLAMENTU A RADY </w:t>
            </w:r>
            <w:r>
              <w:rPr>
                <w:rFonts w:ascii="Times New Roman" w:hAnsi="Times New Roman"/>
                <w:b/>
                <w:bCs/>
                <w:sz w:val="20"/>
                <w:szCs w:val="20"/>
                <w:lang w:eastAsia="sk-SK"/>
              </w:rPr>
              <w:t>2009/29</w:t>
            </w:r>
            <w:r w:rsidRPr="004663BA">
              <w:rPr>
                <w:rFonts w:ascii="Times New Roman" w:hAnsi="Times New Roman"/>
                <w:b/>
                <w:bCs/>
                <w:sz w:val="20"/>
                <w:szCs w:val="20"/>
                <w:lang w:eastAsia="sk-SK"/>
              </w:rPr>
              <w:t>/ES</w:t>
            </w:r>
          </w:p>
          <w:p w:rsidR="00864245" w:rsidRPr="004663BA" w:rsidP="00B42141">
            <w:pPr>
              <w:autoSpaceDE w:val="0"/>
              <w:autoSpaceDN w:val="0"/>
              <w:bidi w:val="0"/>
              <w:adjustRightInd w:val="0"/>
              <w:rPr>
                <w:rFonts w:ascii="Times New Roman" w:hAnsi="Times New Roman"/>
                <w:b/>
                <w:bCs/>
                <w:sz w:val="20"/>
                <w:szCs w:val="20"/>
                <w:lang w:eastAsia="sk-SK"/>
              </w:rPr>
            </w:pPr>
            <w:r w:rsidRPr="004663BA">
              <w:rPr>
                <w:rFonts w:ascii="Times New Roman" w:hAnsi="Times New Roman"/>
                <w:b/>
                <w:bCs/>
                <w:sz w:val="20"/>
                <w:szCs w:val="20"/>
                <w:lang w:eastAsia="sk-SK"/>
              </w:rPr>
              <w:t xml:space="preserve">z </w:t>
            </w:r>
            <w:r>
              <w:rPr>
                <w:rFonts w:ascii="Times New Roman" w:hAnsi="Times New Roman"/>
                <w:b/>
                <w:bCs/>
                <w:sz w:val="20"/>
                <w:szCs w:val="20"/>
                <w:lang w:eastAsia="sk-SK"/>
              </w:rPr>
              <w:t>23</w:t>
            </w:r>
            <w:r w:rsidRPr="004663BA">
              <w:rPr>
                <w:rFonts w:ascii="Times New Roman" w:hAnsi="Times New Roman"/>
                <w:b/>
                <w:bCs/>
                <w:sz w:val="20"/>
                <w:szCs w:val="20"/>
                <w:lang w:eastAsia="sk-SK"/>
              </w:rPr>
              <w:t xml:space="preserve">. </w:t>
            </w:r>
            <w:r>
              <w:rPr>
                <w:rFonts w:ascii="Times New Roman" w:hAnsi="Times New Roman"/>
                <w:b/>
                <w:bCs/>
                <w:sz w:val="20"/>
                <w:szCs w:val="20"/>
                <w:lang w:eastAsia="sk-SK"/>
              </w:rPr>
              <w:t>apríla</w:t>
            </w:r>
            <w:r w:rsidRPr="004663BA">
              <w:rPr>
                <w:rFonts w:ascii="Times New Roman" w:hAnsi="Times New Roman"/>
                <w:b/>
                <w:bCs/>
                <w:sz w:val="20"/>
                <w:szCs w:val="20"/>
                <w:lang w:eastAsia="sk-SK"/>
              </w:rPr>
              <w:t xml:space="preserve"> 200</w:t>
            </w:r>
            <w:r>
              <w:rPr>
                <w:rFonts w:ascii="Times New Roman" w:hAnsi="Times New Roman"/>
                <w:b/>
                <w:bCs/>
                <w:sz w:val="20"/>
                <w:szCs w:val="20"/>
                <w:lang w:eastAsia="sk-SK"/>
              </w:rPr>
              <w:t>9</w:t>
            </w:r>
            <w:r w:rsidRPr="004663BA">
              <w:rPr>
                <w:rFonts w:ascii="Times New Roman" w:hAnsi="Times New Roman"/>
                <w:b/>
                <w:bCs/>
                <w:sz w:val="20"/>
                <w:szCs w:val="20"/>
                <w:lang w:eastAsia="sk-SK"/>
              </w:rPr>
              <w:t>,</w:t>
            </w:r>
          </w:p>
          <w:p w:rsidR="00864245" w:rsidRPr="004663BA" w:rsidP="00B42141">
            <w:pPr>
              <w:autoSpaceDE w:val="0"/>
              <w:autoSpaceDN w:val="0"/>
              <w:bidi w:val="0"/>
              <w:adjustRightInd w:val="0"/>
              <w:rPr>
                <w:rFonts w:ascii="Times New Roman" w:hAnsi="Times New Roman"/>
                <w:sz w:val="20"/>
                <w:szCs w:val="20"/>
                <w:lang w:eastAsia="sk-SK"/>
              </w:rPr>
            </w:pPr>
            <w:r w:rsidRPr="004663BA">
              <w:rPr>
                <w:rFonts w:ascii="Times New Roman" w:hAnsi="Times New Roman"/>
                <w:b/>
                <w:bCs/>
                <w:sz w:val="20"/>
                <w:szCs w:val="20"/>
                <w:lang w:eastAsia="sk-SK"/>
              </w:rPr>
              <w:t xml:space="preserve">ktorou sa mení a dopĺňa smernica 2003/87/ES </w:t>
            </w:r>
            <w:r>
              <w:rPr>
                <w:rFonts w:ascii="Times New Roman" w:hAnsi="Times New Roman"/>
                <w:b/>
                <w:bCs/>
                <w:sz w:val="20"/>
                <w:szCs w:val="20"/>
                <w:lang w:eastAsia="sk-SK"/>
              </w:rPr>
              <w:t>s cieľom zlepšiť a rozšíriť schému Spoločenstva na obchodovanie s emisnými kvótami skleníkových plynov</w:t>
            </w:r>
          </w:p>
          <w:p w:rsidR="00864245" w:rsidRPr="004663BA" w:rsidP="00326D33">
            <w:pPr>
              <w:tabs>
                <w:tab w:val="left" w:pos="5245"/>
              </w:tabs>
              <w:bidi w:val="0"/>
              <w:jc w:val="both"/>
              <w:rPr>
                <w:rFonts w:ascii="Times New Roman" w:hAnsi="Times New Roman"/>
                <w:b/>
                <w:bCs/>
                <w:sz w:val="20"/>
                <w:szCs w:val="20"/>
              </w:rPr>
            </w:pPr>
          </w:p>
        </w:tc>
        <w:tc>
          <w:tcPr>
            <w:tcW w:w="9639"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rsidP="00326D33">
            <w:pPr>
              <w:pStyle w:val="Zkladntext"/>
              <w:tabs>
                <w:tab w:val="left" w:pos="5245"/>
              </w:tabs>
              <w:bidi w:val="0"/>
              <w:rPr>
                <w:rFonts w:ascii="Times New Roman" w:hAnsi="Times New Roman"/>
                <w:sz w:val="20"/>
                <w:szCs w:val="20"/>
                <w:lang w:val="sk-SK"/>
              </w:rPr>
            </w:pPr>
            <w:r>
              <w:rPr>
                <w:rFonts w:ascii="Times New Roman" w:hAnsi="Times New Roman"/>
                <w:sz w:val="20"/>
                <w:szCs w:val="20"/>
                <w:lang w:val="sk-SK"/>
              </w:rPr>
              <w:t>Návrh zákona, ktorým sa mení a dopĺňa zákon</w:t>
            </w:r>
            <w:r w:rsidRPr="00D03838">
              <w:rPr>
                <w:rFonts w:ascii="Times New Roman" w:hAnsi="Times New Roman"/>
                <w:sz w:val="20"/>
                <w:szCs w:val="20"/>
                <w:lang w:val="sk-SK"/>
              </w:rPr>
              <w:t xml:space="preserve"> č. 572/2004 Z.</w:t>
            </w:r>
            <w:r>
              <w:rPr>
                <w:rFonts w:ascii="Times New Roman" w:hAnsi="Times New Roman"/>
                <w:sz w:val="20"/>
                <w:szCs w:val="20"/>
                <w:lang w:val="sk-SK"/>
              </w:rPr>
              <w:t xml:space="preserve"> </w:t>
            </w:r>
            <w:r w:rsidRPr="00D03838">
              <w:rPr>
                <w:rFonts w:ascii="Times New Roman" w:hAnsi="Times New Roman"/>
                <w:sz w:val="20"/>
                <w:szCs w:val="20"/>
                <w:lang w:val="sk-SK"/>
              </w:rPr>
              <w:t>z. o obchodovaní s emisnými kvótami</w:t>
            </w:r>
            <w:r>
              <w:rPr>
                <w:rFonts w:ascii="Times New Roman" w:hAnsi="Times New Roman"/>
                <w:sz w:val="20"/>
                <w:szCs w:val="20"/>
                <w:lang w:val="sk-SK"/>
              </w:rPr>
              <w:t xml:space="preserve"> a o zmene a doplnení niektorých zákonov v znení neskorších predpisov</w:t>
            </w:r>
          </w:p>
          <w:p w:rsidR="00864245" w:rsidRPr="004663BA" w:rsidP="00326D33">
            <w:pPr>
              <w:pStyle w:val="Textpoznpodcarou"/>
              <w:tabs>
                <w:tab w:val="left" w:pos="5245"/>
              </w:tabs>
              <w:bidi w:val="0"/>
              <w:rPr>
                <w:rFonts w:ascii="Times New Roman" w:hAnsi="Times New Roman"/>
                <w:b/>
                <w:bCs/>
                <w:lang w:val="sk-SK"/>
              </w:rPr>
            </w:pPr>
          </w:p>
        </w:tc>
      </w:tr>
    </w:tbl>
    <w:p w:rsidR="00864245" w:rsidRPr="004663BA">
      <w:pPr>
        <w:bidi w:val="0"/>
        <w:jc w:val="both"/>
        <w:rPr>
          <w:rFonts w:ascii="Times New Roman" w:hAnsi="Times New Roman"/>
          <w:sz w:val="20"/>
          <w:szCs w:val="20"/>
        </w:rPr>
      </w:pPr>
    </w:p>
    <w:tbl>
      <w:tblPr>
        <w:tblStyle w:val="TableNormal"/>
        <w:tblW w:w="14387"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Pr>
      <w:tblGrid>
        <w:gridCol w:w="637"/>
        <w:gridCol w:w="4111"/>
        <w:gridCol w:w="709"/>
        <w:gridCol w:w="709"/>
        <w:gridCol w:w="607"/>
        <w:gridCol w:w="5913"/>
        <w:gridCol w:w="709"/>
        <w:gridCol w:w="992"/>
      </w:tblGrid>
      <w:tr>
        <w:tblPrEx>
          <w:tblW w:w="14387"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rsidP="00B42141">
            <w:pPr>
              <w:bidi w:val="0"/>
              <w:rPr>
                <w:rFonts w:ascii="Times New Roman" w:hAnsi="Times New Roman"/>
                <w:sz w:val="20"/>
                <w:szCs w:val="20"/>
              </w:rPr>
            </w:pPr>
            <w:r w:rsidRPr="004663BA">
              <w:rPr>
                <w:rFonts w:ascii="Times New Roman" w:hAnsi="Times New Roman"/>
                <w:sz w:val="20"/>
                <w:szCs w:val="20"/>
              </w:rPr>
              <w:t>1</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pPr>
              <w:pStyle w:val="FootnoteText"/>
              <w:bidi w:val="0"/>
              <w:jc w:val="both"/>
              <w:rPr>
                <w:rFonts w:ascii="Times New Roman" w:hAnsi="Times New Roman"/>
                <w:sz w:val="20"/>
                <w:szCs w:val="20"/>
              </w:rPr>
            </w:pPr>
            <w:r w:rsidRPr="004663BA">
              <w:rPr>
                <w:rFonts w:ascii="Times New Roman" w:hAnsi="Times New Roman"/>
                <w:sz w:val="20"/>
                <w:szCs w:val="20"/>
              </w:rPr>
              <w:t>2</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pPr>
              <w:bidi w:val="0"/>
              <w:jc w:val="both"/>
              <w:rPr>
                <w:rFonts w:ascii="Times New Roman" w:hAnsi="Times New Roman"/>
                <w:sz w:val="20"/>
                <w:szCs w:val="20"/>
              </w:rPr>
            </w:pPr>
            <w:r w:rsidRPr="004663BA">
              <w:rPr>
                <w:rFonts w:ascii="Times New Roman" w:hAnsi="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pPr>
              <w:bidi w:val="0"/>
              <w:jc w:val="both"/>
              <w:rPr>
                <w:rFonts w:ascii="Times New Roman" w:hAnsi="Times New Roman"/>
                <w:sz w:val="20"/>
                <w:szCs w:val="20"/>
              </w:rPr>
            </w:pPr>
            <w:r w:rsidRPr="004663BA">
              <w:rPr>
                <w:rFonts w:ascii="Times New Roman" w:hAnsi="Times New Roman"/>
                <w:sz w:val="20"/>
                <w:szCs w:val="20"/>
              </w:rPr>
              <w:t>4</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pPr>
              <w:bidi w:val="0"/>
              <w:jc w:val="both"/>
              <w:rPr>
                <w:rFonts w:ascii="Times New Roman" w:hAnsi="Times New Roman"/>
                <w:sz w:val="20"/>
                <w:szCs w:val="20"/>
              </w:rPr>
            </w:pPr>
            <w:r w:rsidRPr="004663BA">
              <w:rPr>
                <w:rFonts w:ascii="Times New Roman" w:hAnsi="Times New Roman"/>
                <w:sz w:val="20"/>
                <w:szCs w:val="20"/>
              </w:rPr>
              <w:t>5</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pPr>
              <w:bidi w:val="0"/>
              <w:jc w:val="both"/>
              <w:rPr>
                <w:rFonts w:ascii="Times New Roman" w:hAnsi="Times New Roman"/>
                <w:sz w:val="20"/>
                <w:szCs w:val="20"/>
              </w:rPr>
            </w:pPr>
            <w:r w:rsidRPr="004663BA">
              <w:rPr>
                <w:rFonts w:ascii="Times New Roman" w:hAnsi="Times New Roman"/>
                <w:sz w:val="20"/>
                <w:szCs w:val="20"/>
              </w:rPr>
              <w:t>6</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pPr>
              <w:bidi w:val="0"/>
              <w:jc w:val="both"/>
              <w:rPr>
                <w:rFonts w:ascii="Times New Roman" w:hAnsi="Times New Roman"/>
                <w:sz w:val="20"/>
                <w:szCs w:val="20"/>
              </w:rPr>
            </w:pPr>
            <w:r w:rsidRPr="004663BA">
              <w:rPr>
                <w:rFonts w:ascii="Times New Roman" w:hAnsi="Times New Roman"/>
                <w:sz w:val="20"/>
                <w:szCs w:val="20"/>
              </w:rPr>
              <w:t>7</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pPr>
              <w:bidi w:val="0"/>
              <w:jc w:val="both"/>
              <w:rPr>
                <w:rFonts w:ascii="Times New Roman" w:hAnsi="Times New Roman"/>
                <w:sz w:val="20"/>
                <w:szCs w:val="20"/>
              </w:rPr>
            </w:pPr>
            <w:r w:rsidRPr="004663BA">
              <w:rPr>
                <w:rFonts w:ascii="Times New Roman" w:hAnsi="Times New Roman"/>
                <w:sz w:val="20"/>
                <w:szCs w:val="20"/>
              </w:rPr>
              <w:t>8</w:t>
            </w: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rsidP="00B42141">
            <w:pPr>
              <w:bidi w:val="0"/>
              <w:rPr>
                <w:rFonts w:ascii="Times New Roman" w:hAnsi="Times New Roman"/>
                <w:sz w:val="20"/>
                <w:szCs w:val="20"/>
              </w:rPr>
            </w:pPr>
            <w:r w:rsidRPr="004663BA">
              <w:rPr>
                <w:rFonts w:ascii="Times New Roman" w:hAnsi="Times New Roman"/>
                <w:sz w:val="20"/>
                <w:szCs w:val="20"/>
              </w:rPr>
              <w:t>Čl</w:t>
            </w:r>
            <w:r>
              <w:rPr>
                <w:rFonts w:ascii="Times New Roman" w:hAnsi="Times New Roman"/>
                <w:sz w:val="20"/>
                <w:szCs w:val="20"/>
              </w:rPr>
              <w:t>.</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pPr>
              <w:bidi w:val="0"/>
              <w:jc w:val="both"/>
              <w:rPr>
                <w:rFonts w:ascii="Times New Roman" w:hAnsi="Times New Roman"/>
                <w:sz w:val="20"/>
                <w:szCs w:val="20"/>
              </w:rPr>
            </w:pPr>
          </w:p>
          <w:p w:rsidR="00864245" w:rsidRPr="004663BA">
            <w:pPr>
              <w:bidi w:val="0"/>
              <w:jc w:val="both"/>
              <w:rPr>
                <w:rFonts w:ascii="Times New Roman" w:hAnsi="Times New Roman"/>
                <w:sz w:val="20"/>
                <w:szCs w:val="20"/>
              </w:rPr>
            </w:pPr>
            <w:r w:rsidRPr="004663BA">
              <w:rPr>
                <w:rFonts w:ascii="Times New Roman" w:hAnsi="Times New Roman"/>
                <w:sz w:val="20"/>
                <w:szCs w:val="20"/>
              </w:rPr>
              <w:t>Text</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pPr>
              <w:bidi w:val="0"/>
              <w:jc w:val="both"/>
              <w:rPr>
                <w:rFonts w:ascii="Times New Roman" w:hAnsi="Times New Roman"/>
                <w:sz w:val="20"/>
                <w:szCs w:val="20"/>
              </w:rPr>
            </w:pPr>
            <w:r w:rsidRPr="004663BA">
              <w:rPr>
                <w:rFonts w:ascii="Times New Roman" w:hAnsi="Times New Roman"/>
                <w:sz w:val="20"/>
                <w:szCs w:val="20"/>
              </w:rPr>
              <w:t>Sp. transp.</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pPr>
              <w:bidi w:val="0"/>
              <w:jc w:val="both"/>
              <w:rPr>
                <w:rFonts w:ascii="Times New Roman" w:hAnsi="Times New Roman"/>
                <w:sz w:val="20"/>
                <w:szCs w:val="20"/>
              </w:rPr>
            </w:pPr>
            <w:r w:rsidRPr="004663BA">
              <w:rPr>
                <w:rFonts w:ascii="Times New Roman" w:hAnsi="Times New Roman"/>
                <w:sz w:val="20"/>
                <w:szCs w:val="20"/>
              </w:rPr>
              <w:t>Číslo</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pPr>
              <w:bidi w:val="0"/>
              <w:jc w:val="both"/>
              <w:rPr>
                <w:rFonts w:ascii="Times New Roman" w:hAnsi="Times New Roman"/>
                <w:sz w:val="20"/>
                <w:szCs w:val="20"/>
              </w:rPr>
            </w:pPr>
            <w:r w:rsidRPr="004663BA">
              <w:rPr>
                <w:rFonts w:ascii="Times New Roman" w:hAnsi="Times New Roman"/>
                <w:sz w:val="20"/>
                <w:szCs w:val="20"/>
              </w:rPr>
              <w:t>§</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pPr>
              <w:bidi w:val="0"/>
              <w:jc w:val="both"/>
              <w:rPr>
                <w:rFonts w:ascii="Times New Roman" w:hAnsi="Times New Roman"/>
                <w:sz w:val="20"/>
                <w:szCs w:val="20"/>
              </w:rPr>
            </w:pPr>
          </w:p>
          <w:p w:rsidR="00864245" w:rsidRPr="004663BA">
            <w:pPr>
              <w:bidi w:val="0"/>
              <w:jc w:val="both"/>
              <w:rPr>
                <w:rFonts w:ascii="Times New Roman" w:hAnsi="Times New Roman"/>
                <w:sz w:val="20"/>
                <w:szCs w:val="20"/>
              </w:rPr>
            </w:pPr>
            <w:r w:rsidRPr="004663BA">
              <w:rPr>
                <w:rFonts w:ascii="Times New Roman" w:hAnsi="Times New Roman"/>
                <w:sz w:val="20"/>
                <w:szCs w:val="20"/>
              </w:rPr>
              <w:t xml:space="preserve">Text </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pPr>
              <w:pStyle w:val="Heading3"/>
              <w:bidi w:val="0"/>
              <w:jc w:val="both"/>
              <w:rPr>
                <w:rFonts w:ascii="Times New Roman" w:hAnsi="Times New Roman"/>
                <w:b w:val="0"/>
                <w:bCs w:val="0"/>
                <w:color w:val="auto"/>
              </w:rPr>
            </w:pPr>
            <w:r w:rsidRPr="004663BA">
              <w:rPr>
                <w:rFonts w:ascii="Times New Roman" w:hAnsi="Times New Roman"/>
                <w:b w:val="0"/>
                <w:bCs w:val="0"/>
                <w:color w:val="auto"/>
              </w:rPr>
              <w:t>Zhoda</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pPr>
              <w:bidi w:val="0"/>
              <w:jc w:val="both"/>
              <w:rPr>
                <w:rFonts w:ascii="Times New Roman" w:hAnsi="Times New Roman"/>
                <w:sz w:val="20"/>
                <w:szCs w:val="20"/>
              </w:rPr>
            </w:pPr>
            <w:r w:rsidRPr="004663BA">
              <w:rPr>
                <w:rFonts w:ascii="Times New Roman" w:hAnsi="Times New Roman"/>
                <w:sz w:val="20"/>
                <w:szCs w:val="20"/>
              </w:rPr>
              <w:t>Poznámky</w:t>
            </w:r>
          </w:p>
        </w:tc>
      </w:tr>
      <w:tr>
        <w:tblPrEx>
          <w:tblW w:w="14387" w:type="dxa"/>
          <w:tblInd w:w="-68" w:type="dxa"/>
          <w:tblLayout w:type="fixed"/>
          <w:tblCellMar>
            <w:left w:w="70" w:type="dxa"/>
            <w:right w:w="70" w:type="dxa"/>
          </w:tblCellMar>
        </w:tblPrEx>
        <w:trPr>
          <w:trHeight w:val="1120"/>
        </w:trPr>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864245" w:rsidP="00B42141">
            <w:pPr>
              <w:bidi w:val="0"/>
              <w:rPr>
                <w:rFonts w:ascii="Times New Roman" w:hAnsi="Times New Roman"/>
                <w:sz w:val="20"/>
                <w:szCs w:val="20"/>
              </w:rPr>
            </w:pPr>
            <w:r>
              <w:rPr>
                <w:rFonts w:ascii="Times New Roman" w:hAnsi="Times New Roman"/>
                <w:sz w:val="20"/>
                <w:szCs w:val="20"/>
              </w:rPr>
              <w:t xml:space="preserve">1 </w:t>
            </w:r>
          </w:p>
          <w:p w:rsidR="00864245" w:rsidRPr="004663BA" w:rsidP="00B42141">
            <w:pPr>
              <w:bidi w:val="0"/>
              <w:rPr>
                <w:rFonts w:ascii="Times New Roman" w:hAnsi="Times New Roman"/>
                <w:sz w:val="20"/>
                <w:szCs w:val="20"/>
              </w:rPr>
            </w:pPr>
            <w:r>
              <w:rPr>
                <w:rFonts w:ascii="Times New Roman" w:hAnsi="Times New Roman"/>
                <w:sz w:val="20"/>
                <w:szCs w:val="20"/>
              </w:rPr>
              <w:t>(10)</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577AD" w:rsidP="004577AD">
            <w:pPr>
              <w:pStyle w:val="Point0"/>
              <w:bidi w:val="0"/>
              <w:spacing w:before="0" w:line="240" w:lineRule="auto"/>
              <w:ind w:left="214" w:hanging="284"/>
              <w:rPr>
                <w:rFonts w:ascii="Times New Roman" w:hAnsi="Times New Roman"/>
                <w:sz w:val="20"/>
                <w:szCs w:val="20"/>
              </w:rPr>
            </w:pPr>
            <w:r w:rsidRPr="004577AD">
              <w:rPr>
                <w:rFonts w:ascii="Times New Roman" w:hAnsi="Times New Roman"/>
                <w:sz w:val="20"/>
                <w:szCs w:val="20"/>
              </w:rPr>
              <w:t>vkladá sa tento článok:</w:t>
            </w:r>
          </w:p>
          <w:p w:rsidR="00864245" w:rsidRPr="004577AD" w:rsidP="004577AD">
            <w:pPr>
              <w:pStyle w:val="Text1"/>
              <w:bidi w:val="0"/>
              <w:spacing w:before="0" w:line="240" w:lineRule="auto"/>
              <w:ind w:left="214" w:hanging="284"/>
              <w:rPr>
                <w:rFonts w:ascii="Times New Roman" w:hAnsi="Times New Roman"/>
                <w:sz w:val="20"/>
                <w:szCs w:val="20"/>
              </w:rPr>
            </w:pPr>
            <w:r w:rsidRPr="004577AD">
              <w:rPr>
                <w:rFonts w:ascii="Times New Roman" w:hAnsi="Times New Roman"/>
                <w:sz w:val="20"/>
                <w:szCs w:val="20"/>
              </w:rPr>
              <w:t>„Článok 9a</w:t>
              <w:br/>
              <w:t>Úprava množstva kvót pre celé Spoločenstvo</w:t>
            </w:r>
          </w:p>
          <w:p w:rsidR="00864245" w:rsidRPr="004577AD" w:rsidP="004577AD">
            <w:pPr>
              <w:pStyle w:val="Point1"/>
              <w:bidi w:val="0"/>
              <w:spacing w:before="0" w:line="240" w:lineRule="auto"/>
              <w:ind w:left="214" w:hanging="284"/>
              <w:rPr>
                <w:rFonts w:ascii="Times New Roman" w:hAnsi="Times New Roman"/>
                <w:sz w:val="20"/>
                <w:szCs w:val="20"/>
              </w:rPr>
            </w:pPr>
            <w:r w:rsidRPr="004577AD">
              <w:rPr>
                <w:rFonts w:ascii="Times New Roman" w:hAnsi="Times New Roman"/>
                <w:sz w:val="20"/>
                <w:szCs w:val="20"/>
              </w:rPr>
              <w:t>1.</w:t>
              <w:tab/>
              <w:t>V prípade zariadení, ktoré boli začlenené do schémy Spoločenstva v období rokov 2008 až 2012 podľa článku 24 ods. 1, sa množstvo kvót, ktoré sa majú vydať od 1. januára 2013, upraví tak, aby vyjadrovalo priemerné ročné množstvo kvót vydaných pre tieto zariadenia v období ich začlenenia do schémy, upravené o lineárny koeficient uvedený v článku 9.</w:t>
            </w:r>
          </w:p>
          <w:p w:rsidR="00864245" w:rsidRPr="004577AD" w:rsidP="004577AD">
            <w:pPr>
              <w:pStyle w:val="Point1"/>
              <w:bidi w:val="0"/>
              <w:spacing w:before="0" w:line="240" w:lineRule="auto"/>
              <w:ind w:left="214" w:hanging="284"/>
              <w:rPr>
                <w:rFonts w:ascii="Times New Roman" w:hAnsi="Times New Roman"/>
                <w:b/>
                <w:bCs/>
                <w:sz w:val="20"/>
                <w:szCs w:val="20"/>
              </w:rPr>
            </w:pPr>
            <w:r w:rsidRPr="004577AD">
              <w:rPr>
                <w:rFonts w:ascii="Times New Roman" w:hAnsi="Times New Roman"/>
                <w:sz w:val="20"/>
                <w:szCs w:val="20"/>
              </w:rPr>
              <w:t>2.</w:t>
              <w:tab/>
            </w:r>
            <w:r w:rsidRPr="004577AD">
              <w:rPr>
                <w:rFonts w:ascii="Times New Roman" w:hAnsi="Times New Roman"/>
                <w:b/>
                <w:bCs/>
                <w:sz w:val="20"/>
                <w:szCs w:val="20"/>
              </w:rPr>
              <w:t>V prípade zariadení, ktoré vykonávajú činnosti uvedené v prílohe I a ktoré sú do schémy Spoločenstva začlenené len od roku 2013, členské štáty zabezpečia, aby prevádzkovatelia takýchto zariadení predkladali príslušným orgánom riadne podložené a nezávisle overené údaje o emisiách s cieľom zohľadniť ich pri úprave množstva kvót pre celé Spoločenstvo, ktoré sa majú vydať.</w:t>
            </w:r>
          </w:p>
          <w:p w:rsidR="00864245" w:rsidRPr="004577AD" w:rsidP="004577AD">
            <w:pPr>
              <w:pStyle w:val="QuotedText"/>
              <w:bidi w:val="0"/>
              <w:spacing w:before="0" w:line="240" w:lineRule="auto"/>
              <w:ind w:left="214" w:hanging="284"/>
              <w:rPr>
                <w:rFonts w:ascii="Times New Roman" w:hAnsi="Times New Roman"/>
                <w:b/>
                <w:bCs/>
                <w:sz w:val="20"/>
                <w:szCs w:val="20"/>
              </w:rPr>
            </w:pPr>
            <w:r w:rsidRPr="004577AD">
              <w:rPr>
                <w:rFonts w:ascii="Times New Roman" w:hAnsi="Times New Roman"/>
                <w:b/>
                <w:bCs/>
                <w:sz w:val="20"/>
                <w:szCs w:val="20"/>
              </w:rPr>
              <w:t>Všetky takéto údaje sa predložia relevantnému príslušnému orgánu do 30. apríla 2010 v súlade s ustanoveniami prijatými podľa článku 14 ods. 1.</w:t>
            </w:r>
          </w:p>
          <w:p w:rsidR="00864245" w:rsidRPr="004577AD" w:rsidP="004577AD">
            <w:pPr>
              <w:pStyle w:val="QuotedText"/>
              <w:bidi w:val="0"/>
              <w:spacing w:before="0" w:line="240" w:lineRule="auto"/>
              <w:ind w:left="214" w:hanging="284"/>
              <w:rPr>
                <w:rFonts w:ascii="Times New Roman" w:hAnsi="Times New Roman"/>
                <w:b/>
                <w:bCs/>
                <w:sz w:val="20"/>
                <w:szCs w:val="20"/>
              </w:rPr>
            </w:pPr>
            <w:r w:rsidRPr="004577AD">
              <w:rPr>
                <w:rFonts w:ascii="Times New Roman" w:hAnsi="Times New Roman"/>
                <w:b/>
                <w:bCs/>
                <w:sz w:val="20"/>
                <w:szCs w:val="20"/>
              </w:rPr>
              <w:br w:type="page"/>
              <w:t>Ak sú predložené údaje riadne podložené, príslušný orgán ich oznámi Komisii do 30. júna 2010 a množstvo kvót, ktoré sa má vydať, upravené o lineárny koeficient uvedený v článku 9, sa zodpovedajúcim spôsobom upraví. V prípade zariadení produkujúcich iné skleníkové plyny než CO</w:t>
            </w:r>
            <w:r w:rsidRPr="004577AD">
              <w:rPr>
                <w:rFonts w:ascii="Times New Roman" w:hAnsi="Times New Roman"/>
                <w:b/>
                <w:bCs/>
                <w:sz w:val="20"/>
                <w:szCs w:val="20"/>
                <w:vertAlign w:val="subscript"/>
              </w:rPr>
              <w:t xml:space="preserve">2 </w:t>
            </w:r>
            <w:r w:rsidRPr="004577AD">
              <w:rPr>
                <w:rFonts w:ascii="Times New Roman" w:hAnsi="Times New Roman"/>
                <w:b/>
                <w:bCs/>
                <w:sz w:val="20"/>
                <w:szCs w:val="20"/>
              </w:rPr>
              <w:t>môže príslušný orgán oznámiť nižší objem emisií v súlade potenciálom zníženia emisií uvedených zariadení.</w:t>
            </w:r>
          </w:p>
          <w:p w:rsidR="00864245" w:rsidRPr="004577AD" w:rsidP="004577AD">
            <w:pPr>
              <w:pStyle w:val="Point1"/>
              <w:bidi w:val="0"/>
              <w:spacing w:before="0" w:line="240" w:lineRule="auto"/>
              <w:ind w:left="214" w:hanging="284"/>
              <w:rPr>
                <w:rFonts w:ascii="Times New Roman" w:hAnsi="Times New Roman"/>
                <w:sz w:val="20"/>
                <w:szCs w:val="20"/>
              </w:rPr>
            </w:pPr>
            <w:r w:rsidRPr="004577AD">
              <w:rPr>
                <w:rFonts w:ascii="Times New Roman" w:hAnsi="Times New Roman"/>
                <w:sz w:val="20"/>
                <w:szCs w:val="20"/>
              </w:rPr>
              <w:t>3.</w:t>
              <w:tab/>
              <w:t>Komisia uverejní upravené množstvá uvedené v odsekoch 1 a 2 do 30. septembra 2010.</w:t>
            </w:r>
          </w:p>
          <w:p w:rsidR="00864245" w:rsidRPr="004577AD" w:rsidP="004577AD">
            <w:pPr>
              <w:pStyle w:val="Point1"/>
              <w:bidi w:val="0"/>
              <w:spacing w:before="0" w:line="240" w:lineRule="auto"/>
              <w:ind w:left="214" w:hanging="284"/>
              <w:rPr>
                <w:rFonts w:ascii="Times New Roman" w:hAnsi="Times New Roman"/>
                <w:sz w:val="20"/>
                <w:szCs w:val="20"/>
              </w:rPr>
            </w:pPr>
            <w:r w:rsidRPr="004577AD">
              <w:rPr>
                <w:rFonts w:ascii="Times New Roman" w:hAnsi="Times New Roman"/>
                <w:sz w:val="20"/>
                <w:szCs w:val="20"/>
              </w:rPr>
              <w:t>4.</w:t>
              <w:tab/>
              <w:t>V prípade zariadení, ktoré sú vylúčené zo schémy Spoločenstva v súlade s článkom 27, množstvo kvót pre celé Spoločenstvo, ktoré sa majú vydať od 1. januára 2013, sa upraví smerom nadol tak, aby vyjadrovalo priemerné ročné overené emisie z týchto zariadení v období rokov 2008 až 2010 upravené o lineárny koeficient uvedený v článku 9.“;</w:t>
            </w:r>
          </w:p>
          <w:p w:rsidR="00864245" w:rsidRPr="004577AD" w:rsidP="004577AD">
            <w:pPr>
              <w:autoSpaceDE w:val="0"/>
              <w:autoSpaceDN w:val="0"/>
              <w:bidi w:val="0"/>
              <w:adjustRightInd w:val="0"/>
              <w:spacing w:after="120"/>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rsidRPr="004663BA">
            <w:pPr>
              <w:bidi w:val="0"/>
              <w:jc w:val="both"/>
              <w:rPr>
                <w:rFonts w:ascii="Times New Roman" w:hAnsi="Times New Roman"/>
                <w:sz w:val="20"/>
                <w:szCs w:val="20"/>
              </w:rPr>
            </w:pPr>
            <w:r w:rsidRPr="004663BA">
              <w:rPr>
                <w:rFonts w:ascii="Times New Roman" w:hAnsi="Times New Roman"/>
                <w:sz w:val="20"/>
                <w:szCs w:val="20"/>
              </w:rPr>
              <w:t>N</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864245" w:rsidP="004B63DD">
            <w:pPr>
              <w:bidi w:val="0"/>
              <w:rPr>
                <w:rFonts w:ascii="Times New Roman" w:hAnsi="Times New Roman"/>
                <w:sz w:val="20"/>
                <w:szCs w:val="20"/>
              </w:rPr>
            </w:pPr>
          </w:p>
          <w:p w:rsidR="00864245" w:rsidP="004B63DD">
            <w:pPr>
              <w:bidi w:val="0"/>
              <w:rPr>
                <w:rFonts w:ascii="Times New Roman" w:hAnsi="Times New Roman"/>
                <w:sz w:val="20"/>
                <w:szCs w:val="20"/>
              </w:rPr>
            </w:pPr>
          </w:p>
          <w:p w:rsidR="00864245" w:rsidP="004B63DD">
            <w:pPr>
              <w:bidi w:val="0"/>
              <w:rPr>
                <w:rFonts w:ascii="Times New Roman" w:hAnsi="Times New Roman"/>
                <w:sz w:val="20"/>
                <w:szCs w:val="20"/>
              </w:rPr>
            </w:pPr>
          </w:p>
          <w:p w:rsidR="00864245" w:rsidP="004B63DD">
            <w:pPr>
              <w:bidi w:val="0"/>
              <w:rPr>
                <w:rFonts w:ascii="Times New Roman" w:hAnsi="Times New Roman"/>
                <w:sz w:val="20"/>
                <w:szCs w:val="20"/>
              </w:rPr>
            </w:pPr>
          </w:p>
          <w:p w:rsidR="00864245" w:rsidP="004B63DD">
            <w:pPr>
              <w:bidi w:val="0"/>
              <w:rPr>
                <w:rFonts w:ascii="Times New Roman" w:hAnsi="Times New Roman"/>
                <w:sz w:val="20"/>
                <w:szCs w:val="20"/>
              </w:rPr>
            </w:pPr>
          </w:p>
          <w:p w:rsidR="00864245" w:rsidP="004B63DD">
            <w:pPr>
              <w:bidi w:val="0"/>
              <w:rPr>
                <w:rFonts w:ascii="Times New Roman" w:hAnsi="Times New Roman"/>
                <w:sz w:val="20"/>
                <w:szCs w:val="20"/>
              </w:rPr>
            </w:pPr>
          </w:p>
          <w:p w:rsidR="00864245" w:rsidP="004B63DD">
            <w:pPr>
              <w:bidi w:val="0"/>
              <w:rPr>
                <w:rFonts w:ascii="Times New Roman" w:hAnsi="Times New Roman"/>
                <w:sz w:val="20"/>
                <w:szCs w:val="20"/>
              </w:rPr>
            </w:pPr>
          </w:p>
          <w:p w:rsidR="00864245" w:rsidP="004B63DD">
            <w:pPr>
              <w:bidi w:val="0"/>
              <w:rPr>
                <w:rFonts w:ascii="Times New Roman" w:hAnsi="Times New Roman"/>
                <w:sz w:val="20"/>
                <w:szCs w:val="20"/>
              </w:rPr>
            </w:pPr>
          </w:p>
          <w:p w:rsidR="00864245" w:rsidP="004B63DD">
            <w:pPr>
              <w:bidi w:val="0"/>
              <w:rPr>
                <w:rFonts w:ascii="Times New Roman" w:hAnsi="Times New Roman"/>
                <w:sz w:val="20"/>
                <w:szCs w:val="20"/>
              </w:rPr>
            </w:pPr>
          </w:p>
          <w:p w:rsidR="00864245" w:rsidP="004B63DD">
            <w:pPr>
              <w:bidi w:val="0"/>
              <w:rPr>
                <w:rFonts w:ascii="Times New Roman" w:hAnsi="Times New Roman"/>
                <w:sz w:val="20"/>
                <w:szCs w:val="20"/>
              </w:rPr>
            </w:pPr>
          </w:p>
          <w:p w:rsidR="00864245" w:rsidP="004B63DD">
            <w:pPr>
              <w:bidi w:val="0"/>
              <w:rPr>
                <w:rFonts w:ascii="Times New Roman" w:hAnsi="Times New Roman"/>
                <w:sz w:val="20"/>
                <w:szCs w:val="20"/>
              </w:rPr>
            </w:pPr>
          </w:p>
          <w:p w:rsidR="00864245" w:rsidP="004B63DD">
            <w:pPr>
              <w:bidi w:val="0"/>
              <w:rPr>
                <w:rFonts w:ascii="Times New Roman" w:hAnsi="Times New Roman"/>
                <w:sz w:val="20"/>
                <w:szCs w:val="20"/>
              </w:rPr>
            </w:pPr>
          </w:p>
          <w:p w:rsidR="00864245" w:rsidRPr="004663BA" w:rsidP="004B63DD">
            <w:pPr>
              <w:bidi w:val="0"/>
              <w:rPr>
                <w:rFonts w:ascii="Times New Roman" w:hAnsi="Times New Roman"/>
                <w:sz w:val="20"/>
                <w:szCs w:val="20"/>
              </w:rPr>
            </w:pPr>
            <w:r w:rsidRPr="00E417B7">
              <w:rPr>
                <w:rFonts w:ascii="Times New Roman" w:hAnsi="Times New Roman"/>
                <w:sz w:val="18"/>
                <w:szCs w:val="18"/>
              </w:rPr>
              <w:t>Návrh zákona</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p>
          <w:p w:rsidR="00864245">
            <w:pPr>
              <w:bidi w:val="0"/>
              <w:jc w:val="both"/>
              <w:rPr>
                <w:rFonts w:ascii="Times New Roman" w:hAnsi="Times New Roman"/>
                <w:sz w:val="20"/>
                <w:szCs w:val="20"/>
              </w:rPr>
            </w:pPr>
            <w:r>
              <w:rPr>
                <w:rFonts w:ascii="Times New Roman" w:hAnsi="Times New Roman"/>
                <w:sz w:val="20"/>
                <w:szCs w:val="20"/>
              </w:rPr>
              <w:t>§</w:t>
            </w:r>
            <w:r w:rsidR="00DD6331">
              <w:rPr>
                <w:rFonts w:ascii="Times New Roman" w:hAnsi="Times New Roman"/>
                <w:sz w:val="20"/>
                <w:szCs w:val="20"/>
              </w:rPr>
              <w:t>24</w:t>
            </w:r>
          </w:p>
          <w:p w:rsidR="00864245" w:rsidRPr="004663BA" w:rsidP="00872914">
            <w:pPr>
              <w:bidi w:val="0"/>
              <w:jc w:val="both"/>
              <w:rPr>
                <w:rFonts w:ascii="Times New Roman" w:hAnsi="Times New Roman"/>
                <w:sz w:val="20"/>
                <w:szCs w:val="20"/>
              </w:rPr>
            </w:pPr>
            <w:r>
              <w:rPr>
                <w:rFonts w:ascii="Times New Roman" w:hAnsi="Times New Roman"/>
                <w:sz w:val="20"/>
                <w:szCs w:val="20"/>
              </w:rPr>
              <w:t>ods. 6, 7</w:t>
            </w:r>
            <w:r w:rsidR="00442B9E">
              <w:rPr>
                <w:rFonts w:ascii="Times New Roman" w:hAnsi="Times New Roman"/>
                <w:sz w:val="20"/>
                <w:szCs w:val="20"/>
              </w:rPr>
              <w:t>, 8</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6B0582" w:rsidP="004577AD">
            <w:pPr>
              <w:pStyle w:val="BodyText"/>
              <w:tabs>
                <w:tab w:val="left" w:pos="360"/>
              </w:tabs>
              <w:bidi w:val="0"/>
              <w:rPr>
                <w:rFonts w:ascii="Times New Roman" w:hAnsi="Times New Roman"/>
                <w:color w:val="00B0F0"/>
                <w:sz w:val="20"/>
                <w:szCs w:val="20"/>
              </w:rPr>
            </w:pPr>
          </w:p>
          <w:p w:rsidR="00864245" w:rsidRPr="006B0582" w:rsidP="004577AD">
            <w:pPr>
              <w:pStyle w:val="BodyText"/>
              <w:tabs>
                <w:tab w:val="left" w:pos="360"/>
              </w:tabs>
              <w:bidi w:val="0"/>
              <w:rPr>
                <w:rFonts w:ascii="Times New Roman" w:hAnsi="Times New Roman"/>
                <w:color w:val="00B0F0"/>
                <w:sz w:val="20"/>
                <w:szCs w:val="20"/>
              </w:rPr>
            </w:pPr>
          </w:p>
          <w:p w:rsidR="00864245" w:rsidRPr="006B0582" w:rsidP="004577AD">
            <w:pPr>
              <w:pStyle w:val="BodyText"/>
              <w:tabs>
                <w:tab w:val="left" w:pos="360"/>
              </w:tabs>
              <w:bidi w:val="0"/>
              <w:rPr>
                <w:rFonts w:ascii="Times New Roman" w:hAnsi="Times New Roman"/>
                <w:color w:val="00B0F0"/>
                <w:sz w:val="20"/>
                <w:szCs w:val="20"/>
              </w:rPr>
            </w:pPr>
          </w:p>
          <w:p w:rsidR="00864245" w:rsidRPr="006B0582" w:rsidP="004577AD">
            <w:pPr>
              <w:pStyle w:val="BodyText"/>
              <w:tabs>
                <w:tab w:val="left" w:pos="360"/>
              </w:tabs>
              <w:bidi w:val="0"/>
              <w:rPr>
                <w:rFonts w:ascii="Times New Roman" w:hAnsi="Times New Roman"/>
                <w:color w:val="00B0F0"/>
                <w:sz w:val="20"/>
                <w:szCs w:val="20"/>
              </w:rPr>
            </w:pPr>
          </w:p>
          <w:p w:rsidR="00864245" w:rsidRPr="006B0582" w:rsidP="004577AD">
            <w:pPr>
              <w:pStyle w:val="BodyText"/>
              <w:tabs>
                <w:tab w:val="left" w:pos="360"/>
              </w:tabs>
              <w:bidi w:val="0"/>
              <w:rPr>
                <w:rFonts w:ascii="Times New Roman" w:hAnsi="Times New Roman"/>
                <w:color w:val="00B0F0"/>
                <w:sz w:val="20"/>
                <w:szCs w:val="20"/>
              </w:rPr>
            </w:pPr>
          </w:p>
          <w:p w:rsidR="00864245" w:rsidRPr="006B0582" w:rsidP="004577AD">
            <w:pPr>
              <w:pStyle w:val="BodyText"/>
              <w:tabs>
                <w:tab w:val="left" w:pos="360"/>
              </w:tabs>
              <w:bidi w:val="0"/>
              <w:rPr>
                <w:rFonts w:ascii="Times New Roman" w:hAnsi="Times New Roman"/>
                <w:color w:val="00B0F0"/>
                <w:sz w:val="20"/>
                <w:szCs w:val="20"/>
              </w:rPr>
            </w:pPr>
          </w:p>
          <w:p w:rsidR="00864245" w:rsidRPr="006B0582" w:rsidP="004577AD">
            <w:pPr>
              <w:pStyle w:val="BodyText"/>
              <w:tabs>
                <w:tab w:val="left" w:pos="360"/>
              </w:tabs>
              <w:bidi w:val="0"/>
              <w:rPr>
                <w:rFonts w:ascii="Times New Roman" w:hAnsi="Times New Roman"/>
                <w:color w:val="00B0F0"/>
                <w:sz w:val="20"/>
                <w:szCs w:val="20"/>
              </w:rPr>
            </w:pPr>
          </w:p>
          <w:p w:rsidR="00864245" w:rsidRPr="006B0582" w:rsidP="004577AD">
            <w:pPr>
              <w:pStyle w:val="BodyText"/>
              <w:tabs>
                <w:tab w:val="left" w:pos="360"/>
              </w:tabs>
              <w:bidi w:val="0"/>
              <w:rPr>
                <w:rFonts w:ascii="Times New Roman" w:hAnsi="Times New Roman"/>
                <w:color w:val="00B0F0"/>
                <w:sz w:val="20"/>
                <w:szCs w:val="20"/>
              </w:rPr>
            </w:pPr>
          </w:p>
          <w:p w:rsidR="00864245" w:rsidRPr="006B0582" w:rsidP="004577AD">
            <w:pPr>
              <w:pStyle w:val="BodyText"/>
              <w:tabs>
                <w:tab w:val="left" w:pos="360"/>
              </w:tabs>
              <w:bidi w:val="0"/>
              <w:rPr>
                <w:rFonts w:ascii="Times New Roman" w:hAnsi="Times New Roman"/>
                <w:color w:val="00B0F0"/>
                <w:sz w:val="20"/>
                <w:szCs w:val="20"/>
              </w:rPr>
            </w:pPr>
          </w:p>
          <w:p w:rsidR="00864245" w:rsidRPr="006B0582" w:rsidP="004577AD">
            <w:pPr>
              <w:pStyle w:val="BodyText"/>
              <w:tabs>
                <w:tab w:val="left" w:pos="360"/>
              </w:tabs>
              <w:bidi w:val="0"/>
              <w:rPr>
                <w:rFonts w:ascii="Times New Roman" w:hAnsi="Times New Roman"/>
                <w:color w:val="00B0F0"/>
                <w:sz w:val="20"/>
                <w:szCs w:val="20"/>
              </w:rPr>
            </w:pPr>
          </w:p>
          <w:p w:rsidR="00864245" w:rsidRPr="006B0582" w:rsidP="004577AD">
            <w:pPr>
              <w:pStyle w:val="BodyText"/>
              <w:tabs>
                <w:tab w:val="left" w:pos="360"/>
              </w:tabs>
              <w:bidi w:val="0"/>
              <w:rPr>
                <w:rFonts w:ascii="Times New Roman" w:hAnsi="Times New Roman"/>
                <w:color w:val="00B0F0"/>
                <w:sz w:val="20"/>
                <w:szCs w:val="20"/>
              </w:rPr>
            </w:pPr>
          </w:p>
          <w:p w:rsidR="00864245" w:rsidRPr="006B0582" w:rsidP="004577AD">
            <w:pPr>
              <w:pStyle w:val="BodyText"/>
              <w:tabs>
                <w:tab w:val="left" w:pos="360"/>
              </w:tabs>
              <w:bidi w:val="0"/>
              <w:rPr>
                <w:rFonts w:ascii="Times New Roman" w:hAnsi="Times New Roman"/>
                <w:color w:val="00B0F0"/>
                <w:sz w:val="20"/>
                <w:szCs w:val="20"/>
              </w:rPr>
            </w:pPr>
          </w:p>
          <w:p w:rsidR="00864245" w:rsidRPr="00864245" w:rsidP="00F0029A">
            <w:pPr>
              <w:bidi w:val="0"/>
              <w:jc w:val="both"/>
              <w:rPr>
                <w:rFonts w:ascii="Times New Roman" w:hAnsi="Times New Roman"/>
                <w:color w:val="0000FF"/>
                <w:sz w:val="20"/>
                <w:szCs w:val="20"/>
              </w:rPr>
            </w:pPr>
            <w:r w:rsidR="00442B9E">
              <w:rPr>
                <w:rFonts w:ascii="Times New Roman" w:hAnsi="Times New Roman"/>
                <w:sz w:val="20"/>
                <w:szCs w:val="20"/>
              </w:rPr>
              <w:t>„</w:t>
            </w:r>
            <w:r w:rsidRPr="00ED434F" w:rsidR="00ED434F">
              <w:rPr>
                <w:rFonts w:ascii="Times New Roman" w:hAnsi="Times New Roman"/>
                <w:sz w:val="20"/>
                <w:szCs w:val="20"/>
              </w:rPr>
              <w:t>(6) Prevádzkovateľ prevádzky, v</w:t>
            </w:r>
            <w:r w:rsidR="00ED434F">
              <w:rPr>
                <w:rFonts w:ascii="Times New Roman" w:hAnsi="Times New Roman"/>
                <w:sz w:val="20"/>
                <w:szCs w:val="20"/>
              </w:rPr>
              <w:t> </w:t>
            </w:r>
            <w:r w:rsidRPr="00ED434F" w:rsidR="00ED434F">
              <w:rPr>
                <w:rFonts w:ascii="Times New Roman" w:hAnsi="Times New Roman"/>
                <w:sz w:val="20"/>
                <w:szCs w:val="20"/>
              </w:rPr>
              <w:t>ktorej sa vykonáva jedna činnosť alebo viac činností uvedených v</w:t>
            </w:r>
            <w:r w:rsidR="00ED434F">
              <w:rPr>
                <w:rFonts w:ascii="Times New Roman" w:hAnsi="Times New Roman"/>
                <w:sz w:val="20"/>
                <w:szCs w:val="20"/>
              </w:rPr>
              <w:t> </w:t>
            </w:r>
            <w:r w:rsidRPr="00ED434F" w:rsidR="00ED434F">
              <w:rPr>
                <w:rFonts w:ascii="Times New Roman" w:hAnsi="Times New Roman"/>
                <w:sz w:val="20"/>
                <w:szCs w:val="20"/>
              </w:rPr>
              <w:t>prílohe č. 1 tabuľkách A</w:t>
            </w:r>
            <w:r w:rsidR="00ED434F">
              <w:rPr>
                <w:rFonts w:ascii="Times New Roman" w:hAnsi="Times New Roman"/>
                <w:sz w:val="20"/>
                <w:szCs w:val="20"/>
              </w:rPr>
              <w:t> </w:t>
            </w:r>
            <w:r w:rsidRPr="00ED434F" w:rsidR="00ED434F">
              <w:rPr>
                <w:rFonts w:ascii="Times New Roman" w:hAnsi="Times New Roman"/>
                <w:sz w:val="20"/>
                <w:szCs w:val="20"/>
              </w:rPr>
              <w:t>a B, ktorý bude povinným účastníkom schémy obchodovania len od roku 2013 je povinný predložiť ministerstvu riadne podložené a</w:t>
            </w:r>
            <w:r w:rsidR="00ED434F">
              <w:rPr>
                <w:rFonts w:ascii="Times New Roman" w:hAnsi="Times New Roman"/>
                <w:sz w:val="20"/>
                <w:szCs w:val="20"/>
              </w:rPr>
              <w:t> </w:t>
            </w:r>
            <w:r w:rsidRPr="00ED434F" w:rsidR="00ED434F">
              <w:rPr>
                <w:rFonts w:ascii="Times New Roman" w:hAnsi="Times New Roman"/>
                <w:sz w:val="20"/>
                <w:szCs w:val="20"/>
              </w:rPr>
              <w:t>nezávisle overené údaje o</w:t>
            </w:r>
            <w:r w:rsidR="00ED434F">
              <w:rPr>
                <w:rFonts w:ascii="Times New Roman" w:hAnsi="Times New Roman"/>
                <w:sz w:val="20"/>
                <w:szCs w:val="20"/>
              </w:rPr>
              <w:t> </w:t>
            </w:r>
            <w:r w:rsidRPr="00ED434F" w:rsidR="00ED434F">
              <w:rPr>
                <w:rFonts w:ascii="Times New Roman" w:hAnsi="Times New Roman"/>
                <w:sz w:val="20"/>
                <w:szCs w:val="20"/>
              </w:rPr>
              <w:t>emisiách za roky 2005 - 2009 podľa prílohy č. 4 s</w:t>
            </w:r>
            <w:r w:rsidR="00ED434F">
              <w:rPr>
                <w:rFonts w:ascii="Times New Roman" w:hAnsi="Times New Roman"/>
                <w:sz w:val="20"/>
                <w:szCs w:val="20"/>
              </w:rPr>
              <w:t> </w:t>
            </w:r>
            <w:r w:rsidRPr="00ED434F" w:rsidR="00ED434F">
              <w:rPr>
                <w:rFonts w:ascii="Times New Roman" w:hAnsi="Times New Roman"/>
                <w:sz w:val="20"/>
                <w:szCs w:val="20"/>
              </w:rPr>
              <w:t>cieľom zohľadniť ich pri určení celkového množstva kvót Európskej únie, ktoré sa majú vydať. Tieto údaje predloží ministerstvu do dvoch mesiacov od nadobudnutia účinnosti tohto zákona</w:t>
            </w:r>
            <w:r w:rsidRPr="00ED434F" w:rsidR="00ED434F">
              <w:rPr>
                <w:rFonts w:ascii="Times New Roman" w:hAnsi="Times New Roman"/>
                <w:color w:val="0000FF"/>
                <w:sz w:val="20"/>
                <w:szCs w:val="20"/>
              </w:rPr>
              <w:t>.</w:t>
            </w:r>
          </w:p>
          <w:p w:rsidR="00864245" w:rsidRPr="00864245" w:rsidP="00F0029A">
            <w:pPr>
              <w:bidi w:val="0"/>
              <w:ind w:hanging="360"/>
              <w:jc w:val="both"/>
              <w:rPr>
                <w:rFonts w:ascii="Times New Roman" w:hAnsi="Times New Roman"/>
                <w:sz w:val="20"/>
                <w:szCs w:val="20"/>
              </w:rPr>
            </w:pPr>
          </w:p>
          <w:p w:rsidR="00346136">
            <w:pPr>
              <w:bidi w:val="0"/>
              <w:jc w:val="both"/>
              <w:rPr>
                <w:rFonts w:ascii="Times New Roman" w:hAnsi="Times New Roman"/>
                <w:sz w:val="20"/>
                <w:szCs w:val="20"/>
              </w:rPr>
            </w:pPr>
            <w:r w:rsidRPr="00ED434F" w:rsidR="00ED434F">
              <w:rPr>
                <w:rFonts w:ascii="Times New Roman" w:hAnsi="Times New Roman"/>
                <w:sz w:val="20"/>
                <w:szCs w:val="20"/>
              </w:rPr>
              <w:t>(7) Prevádzkovateľ prevádzky, v</w:t>
            </w:r>
            <w:r w:rsidR="00ED434F">
              <w:rPr>
                <w:rFonts w:ascii="Times New Roman" w:hAnsi="Times New Roman"/>
                <w:sz w:val="20"/>
                <w:szCs w:val="20"/>
              </w:rPr>
              <w:t> </w:t>
            </w:r>
            <w:r w:rsidRPr="00ED434F" w:rsidR="00ED434F">
              <w:rPr>
                <w:rFonts w:ascii="Times New Roman" w:hAnsi="Times New Roman"/>
                <w:sz w:val="20"/>
                <w:szCs w:val="20"/>
              </w:rPr>
              <w:t>ktorej sa vykonáva jedna činnosť alebo viac činností uvedených v</w:t>
            </w:r>
            <w:r w:rsidR="00ED434F">
              <w:rPr>
                <w:rFonts w:ascii="Times New Roman" w:hAnsi="Times New Roman"/>
                <w:sz w:val="20"/>
                <w:szCs w:val="20"/>
              </w:rPr>
              <w:t> </w:t>
            </w:r>
            <w:r w:rsidRPr="00ED434F" w:rsidR="00ED434F">
              <w:rPr>
                <w:rFonts w:ascii="Times New Roman" w:hAnsi="Times New Roman"/>
                <w:sz w:val="20"/>
                <w:szCs w:val="20"/>
              </w:rPr>
              <w:t>prílohe č. 1 tabuľkách A</w:t>
            </w:r>
            <w:r w:rsidR="00ED434F">
              <w:rPr>
                <w:rFonts w:ascii="Times New Roman" w:hAnsi="Times New Roman"/>
                <w:sz w:val="20"/>
                <w:szCs w:val="20"/>
              </w:rPr>
              <w:t> </w:t>
            </w:r>
            <w:r w:rsidRPr="00ED434F" w:rsidR="00ED434F">
              <w:rPr>
                <w:rFonts w:ascii="Times New Roman" w:hAnsi="Times New Roman"/>
                <w:sz w:val="20"/>
                <w:szCs w:val="20"/>
              </w:rPr>
              <w:t>a B, je povinný predložiť ministerstvu do dvoch mesiacov od doručenia žiadosti zaslanej ministerstvom, riadne podložené a</w:t>
            </w:r>
            <w:r w:rsidR="00ED434F">
              <w:rPr>
                <w:rFonts w:ascii="Times New Roman" w:hAnsi="Times New Roman"/>
                <w:sz w:val="20"/>
                <w:szCs w:val="20"/>
              </w:rPr>
              <w:t> </w:t>
            </w:r>
            <w:r w:rsidRPr="00ED434F" w:rsidR="00ED434F">
              <w:rPr>
                <w:rFonts w:ascii="Times New Roman" w:hAnsi="Times New Roman"/>
                <w:sz w:val="20"/>
                <w:szCs w:val="20"/>
              </w:rPr>
              <w:t>nezávisle overené údaje potrebné pre výpočet pridelenia emisných kvót, najmä údaje o</w:t>
            </w:r>
            <w:r w:rsidR="00ED434F">
              <w:rPr>
                <w:rFonts w:ascii="Times New Roman" w:hAnsi="Times New Roman"/>
                <w:sz w:val="20"/>
                <w:szCs w:val="20"/>
              </w:rPr>
              <w:t> </w:t>
            </w:r>
            <w:r w:rsidRPr="00ED434F" w:rsidR="00ED434F">
              <w:rPr>
                <w:rFonts w:ascii="Times New Roman" w:hAnsi="Times New Roman"/>
                <w:sz w:val="20"/>
                <w:szCs w:val="20"/>
              </w:rPr>
              <w:t>výrobe výrobkov, tepla a</w:t>
            </w:r>
            <w:r w:rsidR="00ED434F">
              <w:rPr>
                <w:rFonts w:ascii="Times New Roman" w:hAnsi="Times New Roman"/>
                <w:sz w:val="20"/>
                <w:szCs w:val="20"/>
              </w:rPr>
              <w:t> </w:t>
            </w:r>
            <w:r w:rsidRPr="00ED434F" w:rsidR="00ED434F">
              <w:rPr>
                <w:rFonts w:ascii="Times New Roman" w:hAnsi="Times New Roman"/>
                <w:sz w:val="20"/>
                <w:szCs w:val="20"/>
              </w:rPr>
              <w:t>elektrickej energie a</w:t>
            </w:r>
            <w:r w:rsidR="00ED434F">
              <w:rPr>
                <w:rFonts w:ascii="Times New Roman" w:hAnsi="Times New Roman"/>
                <w:sz w:val="20"/>
                <w:szCs w:val="20"/>
              </w:rPr>
              <w:t> </w:t>
            </w:r>
            <w:r w:rsidRPr="00ED434F" w:rsidR="00ED434F">
              <w:rPr>
                <w:rFonts w:ascii="Times New Roman" w:hAnsi="Times New Roman"/>
                <w:sz w:val="20"/>
                <w:szCs w:val="20"/>
              </w:rPr>
              <w:t>o</w:t>
            </w:r>
            <w:r w:rsidR="00ED434F">
              <w:rPr>
                <w:rFonts w:ascii="Times New Roman" w:hAnsi="Times New Roman"/>
                <w:sz w:val="20"/>
                <w:szCs w:val="20"/>
              </w:rPr>
              <w:t> </w:t>
            </w:r>
            <w:r w:rsidRPr="00ED434F" w:rsidR="00ED434F">
              <w:rPr>
                <w:rFonts w:ascii="Times New Roman" w:hAnsi="Times New Roman"/>
                <w:sz w:val="20"/>
                <w:szCs w:val="20"/>
              </w:rPr>
              <w:t>spotrebe tepla a</w:t>
            </w:r>
            <w:r w:rsidR="00ED434F">
              <w:rPr>
                <w:rFonts w:ascii="Times New Roman" w:hAnsi="Times New Roman"/>
                <w:sz w:val="20"/>
                <w:szCs w:val="20"/>
              </w:rPr>
              <w:t> </w:t>
            </w:r>
            <w:r w:rsidRPr="00ED434F" w:rsidR="00ED434F">
              <w:rPr>
                <w:rFonts w:ascii="Times New Roman" w:hAnsi="Times New Roman"/>
                <w:sz w:val="20"/>
                <w:szCs w:val="20"/>
              </w:rPr>
              <w:t>paliva  za ustanovené obdobie.</w:t>
            </w:r>
          </w:p>
          <w:p w:rsidR="00864245" w:rsidRPr="00864245" w:rsidP="00F0029A">
            <w:pPr>
              <w:bidi w:val="0"/>
              <w:jc w:val="both"/>
              <w:rPr>
                <w:rFonts w:ascii="Times New Roman" w:hAnsi="Times New Roman"/>
                <w:sz w:val="20"/>
                <w:szCs w:val="20"/>
              </w:rPr>
            </w:pPr>
          </w:p>
          <w:p w:rsidR="00864245" w:rsidRPr="00442B9E">
            <w:pPr>
              <w:bidi w:val="0"/>
              <w:jc w:val="both"/>
              <w:rPr>
                <w:rFonts w:ascii="Times New Roman" w:hAnsi="Times New Roman"/>
                <w:color w:val="00B0F0"/>
                <w:sz w:val="20"/>
                <w:szCs w:val="20"/>
              </w:rPr>
            </w:pPr>
            <w:r w:rsidRPr="00442B9E" w:rsidR="00442B9E">
              <w:rPr>
                <w:rFonts w:ascii="Times New Roman" w:hAnsi="Times New Roman"/>
                <w:sz w:val="20"/>
                <w:szCs w:val="20"/>
              </w:rPr>
              <w:t>(8)Ministerstvo je povinné oznámiť údaje podľa odseku 7 Komisii do do 30. mája 2011.</w:t>
            </w:r>
          </w:p>
          <w:p w:rsidR="00864245" w:rsidRPr="006B0582" w:rsidP="004577AD">
            <w:pPr>
              <w:pStyle w:val="BodyText"/>
              <w:tabs>
                <w:tab w:val="left" w:pos="360"/>
              </w:tabs>
              <w:bidi w:val="0"/>
              <w:rPr>
                <w:rFonts w:ascii="Times New Roman" w:hAnsi="Times New Roman"/>
                <w:color w:val="00B0F0"/>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864245">
            <w:pPr>
              <w:pStyle w:val="Heading3"/>
              <w:bidi w:val="0"/>
              <w:jc w:val="both"/>
              <w:rPr>
                <w:rFonts w:ascii="Times New Roman" w:hAnsi="Times New Roman"/>
                <w:b w:val="0"/>
                <w:bCs w:val="0"/>
                <w:color w:val="auto"/>
              </w:rPr>
            </w:pPr>
          </w:p>
          <w:p w:rsidR="00864245">
            <w:pPr>
              <w:pStyle w:val="Heading3"/>
              <w:bidi w:val="0"/>
              <w:jc w:val="both"/>
              <w:rPr>
                <w:rFonts w:ascii="Times New Roman" w:hAnsi="Times New Roman"/>
                <w:b w:val="0"/>
                <w:bCs w:val="0"/>
                <w:color w:val="auto"/>
              </w:rPr>
            </w:pPr>
          </w:p>
          <w:p w:rsidR="00864245">
            <w:pPr>
              <w:pStyle w:val="Heading3"/>
              <w:bidi w:val="0"/>
              <w:jc w:val="both"/>
              <w:rPr>
                <w:rFonts w:ascii="Times New Roman" w:hAnsi="Times New Roman"/>
                <w:b w:val="0"/>
                <w:bCs w:val="0"/>
                <w:color w:val="auto"/>
              </w:rPr>
            </w:pPr>
          </w:p>
          <w:p w:rsidR="00864245">
            <w:pPr>
              <w:pStyle w:val="Heading3"/>
              <w:bidi w:val="0"/>
              <w:jc w:val="both"/>
              <w:rPr>
                <w:rFonts w:ascii="Times New Roman" w:hAnsi="Times New Roman"/>
                <w:b w:val="0"/>
                <w:bCs w:val="0"/>
                <w:color w:val="auto"/>
              </w:rPr>
            </w:pPr>
          </w:p>
          <w:p w:rsidR="00864245">
            <w:pPr>
              <w:pStyle w:val="Heading3"/>
              <w:bidi w:val="0"/>
              <w:jc w:val="both"/>
              <w:rPr>
                <w:rFonts w:ascii="Times New Roman" w:hAnsi="Times New Roman"/>
                <w:b w:val="0"/>
                <w:bCs w:val="0"/>
                <w:color w:val="auto"/>
              </w:rPr>
            </w:pPr>
          </w:p>
          <w:p w:rsidR="00864245">
            <w:pPr>
              <w:pStyle w:val="Heading3"/>
              <w:bidi w:val="0"/>
              <w:jc w:val="both"/>
              <w:rPr>
                <w:rFonts w:ascii="Times New Roman" w:hAnsi="Times New Roman"/>
                <w:b w:val="0"/>
                <w:bCs w:val="0"/>
                <w:color w:val="auto"/>
              </w:rPr>
            </w:pPr>
          </w:p>
          <w:p w:rsidR="00864245">
            <w:pPr>
              <w:pStyle w:val="Heading3"/>
              <w:bidi w:val="0"/>
              <w:jc w:val="both"/>
              <w:rPr>
                <w:rFonts w:ascii="Times New Roman" w:hAnsi="Times New Roman"/>
                <w:b w:val="0"/>
                <w:bCs w:val="0"/>
                <w:color w:val="auto"/>
              </w:rPr>
            </w:pPr>
          </w:p>
          <w:p w:rsidR="00864245">
            <w:pPr>
              <w:pStyle w:val="Heading3"/>
              <w:bidi w:val="0"/>
              <w:jc w:val="both"/>
              <w:rPr>
                <w:rFonts w:ascii="Times New Roman" w:hAnsi="Times New Roman"/>
                <w:b w:val="0"/>
                <w:bCs w:val="0"/>
                <w:color w:val="auto"/>
              </w:rPr>
            </w:pPr>
          </w:p>
          <w:p w:rsidR="00864245">
            <w:pPr>
              <w:pStyle w:val="Heading3"/>
              <w:bidi w:val="0"/>
              <w:jc w:val="both"/>
              <w:rPr>
                <w:rFonts w:ascii="Times New Roman" w:hAnsi="Times New Roman"/>
                <w:b w:val="0"/>
                <w:bCs w:val="0"/>
                <w:color w:val="auto"/>
              </w:rPr>
            </w:pPr>
          </w:p>
          <w:p w:rsidR="00864245">
            <w:pPr>
              <w:pStyle w:val="Heading3"/>
              <w:bidi w:val="0"/>
              <w:jc w:val="both"/>
              <w:rPr>
                <w:rFonts w:ascii="Times New Roman" w:hAnsi="Times New Roman"/>
                <w:b w:val="0"/>
                <w:bCs w:val="0"/>
                <w:color w:val="auto"/>
              </w:rPr>
            </w:pPr>
          </w:p>
          <w:p w:rsidR="00864245">
            <w:pPr>
              <w:pStyle w:val="Heading3"/>
              <w:bidi w:val="0"/>
              <w:jc w:val="both"/>
              <w:rPr>
                <w:rFonts w:ascii="Times New Roman" w:hAnsi="Times New Roman"/>
                <w:b w:val="0"/>
                <w:bCs w:val="0"/>
                <w:color w:val="auto"/>
              </w:rPr>
            </w:pPr>
          </w:p>
          <w:p w:rsidR="00864245">
            <w:pPr>
              <w:pStyle w:val="Heading3"/>
              <w:bidi w:val="0"/>
              <w:jc w:val="both"/>
              <w:rPr>
                <w:rFonts w:ascii="Times New Roman" w:hAnsi="Times New Roman"/>
                <w:b w:val="0"/>
                <w:bCs w:val="0"/>
                <w:color w:val="auto"/>
              </w:rPr>
            </w:pPr>
          </w:p>
          <w:p w:rsidR="00864245" w:rsidRPr="004663BA">
            <w:pPr>
              <w:pStyle w:val="Heading3"/>
              <w:bidi w:val="0"/>
              <w:jc w:val="both"/>
              <w:rPr>
                <w:rFonts w:ascii="Times New Roman" w:hAnsi="Times New Roman"/>
                <w:b w:val="0"/>
                <w:bCs w:val="0"/>
                <w:color w:val="auto"/>
              </w:rPr>
            </w:pPr>
            <w:r w:rsidRPr="004663BA">
              <w:rPr>
                <w:rFonts w:ascii="Times New Roman" w:hAnsi="Times New Roman"/>
                <w:b w:val="0"/>
                <w:bCs w:val="0"/>
                <w:color w:val="auto"/>
              </w:rPr>
              <w:t>Ú</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pPr>
              <w:bidi w:val="0"/>
              <w:jc w:val="both"/>
              <w:rPr>
                <w:rFonts w:ascii="Times New Roman" w:hAnsi="Times New Roman"/>
                <w:sz w:val="20"/>
                <w:szCs w:val="20"/>
              </w:rPr>
            </w:pPr>
          </w:p>
          <w:p w:rsidR="00864245" w:rsidRPr="004663BA">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rPr>
          <w:trHeight w:val="1120"/>
        </w:trPr>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864245" w:rsidP="00B42141">
            <w:pPr>
              <w:bidi w:val="0"/>
              <w:rPr>
                <w:rFonts w:ascii="Times New Roman" w:hAnsi="Times New Roman"/>
                <w:sz w:val="20"/>
                <w:szCs w:val="20"/>
              </w:rPr>
            </w:pPr>
            <w:r>
              <w:rPr>
                <w:rFonts w:ascii="Times New Roman" w:hAnsi="Times New Roman"/>
                <w:sz w:val="20"/>
                <w:szCs w:val="20"/>
              </w:rPr>
              <w:t>1</w:t>
            </w:r>
          </w:p>
          <w:p w:rsidR="00864245" w:rsidP="001F6CA2">
            <w:pPr>
              <w:bidi w:val="0"/>
              <w:rPr>
                <w:rFonts w:ascii="Times New Roman" w:hAnsi="Times New Roman"/>
                <w:sz w:val="20"/>
                <w:szCs w:val="20"/>
              </w:rPr>
            </w:pPr>
            <w:r>
              <w:rPr>
                <w:rFonts w:ascii="Times New Roman" w:hAnsi="Times New Roman"/>
                <w:sz w:val="20"/>
                <w:szCs w:val="20"/>
              </w:rPr>
              <w:t>(13)</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1F6CA2" w:rsidP="001F6CA2">
            <w:pPr>
              <w:pStyle w:val="Point0"/>
              <w:bidi w:val="0"/>
              <w:spacing w:before="0" w:line="240" w:lineRule="auto"/>
              <w:ind w:left="72" w:firstLine="0"/>
              <w:rPr>
                <w:rFonts w:ascii="Times New Roman" w:hAnsi="Times New Roman"/>
                <w:sz w:val="20"/>
                <w:szCs w:val="20"/>
              </w:rPr>
            </w:pPr>
            <w:r w:rsidRPr="001F6CA2">
              <w:rPr>
                <w:rFonts w:ascii="Times New Roman" w:hAnsi="Times New Roman"/>
                <w:sz w:val="20"/>
                <w:szCs w:val="20"/>
              </w:rPr>
              <w:t xml:space="preserve">články </w:t>
            </w:r>
            <w:smartTag w:uri="urn:schemas-microsoft-com:office:smarttags" w:element="metricconverter">
              <w:smartTagPr>
                <w:attr w:name="ProductID" w:val="11 a"/>
              </w:smartTagPr>
              <w:r w:rsidRPr="001F6CA2">
                <w:rPr>
                  <w:rFonts w:ascii="Times New Roman" w:hAnsi="Times New Roman"/>
                  <w:sz w:val="20"/>
                  <w:szCs w:val="20"/>
                </w:rPr>
                <w:t>11 a</w:t>
              </w:r>
            </w:smartTag>
            <w:r w:rsidRPr="001F6CA2">
              <w:rPr>
                <w:rFonts w:ascii="Times New Roman" w:hAnsi="Times New Roman"/>
                <w:sz w:val="20"/>
                <w:szCs w:val="20"/>
              </w:rPr>
              <w:t xml:space="preserve"> 11a sa nahrádzajú takto:</w:t>
            </w:r>
          </w:p>
          <w:p w:rsidR="00864245" w:rsidRPr="001F6CA2" w:rsidP="001F6CA2">
            <w:pPr>
              <w:pStyle w:val="Text1"/>
              <w:bidi w:val="0"/>
              <w:spacing w:before="0" w:line="240" w:lineRule="auto"/>
              <w:ind w:left="72"/>
              <w:rPr>
                <w:rFonts w:ascii="Times New Roman" w:hAnsi="Times New Roman"/>
                <w:sz w:val="20"/>
                <w:szCs w:val="20"/>
              </w:rPr>
            </w:pPr>
            <w:r w:rsidRPr="001F6CA2">
              <w:rPr>
                <w:rFonts w:ascii="Times New Roman" w:hAnsi="Times New Roman"/>
                <w:sz w:val="20"/>
                <w:szCs w:val="20"/>
              </w:rPr>
              <w:t>„Článok 11</w:t>
              <w:br/>
              <w:t>Vnútroštátne vykonávacie opatrenia</w:t>
            </w:r>
          </w:p>
          <w:p w:rsidR="00864245" w:rsidRPr="001F6CA2" w:rsidP="001F6CA2">
            <w:pPr>
              <w:pStyle w:val="Point1"/>
              <w:bidi w:val="0"/>
              <w:spacing w:before="0" w:line="240" w:lineRule="auto"/>
              <w:ind w:left="72" w:firstLine="0"/>
              <w:rPr>
                <w:rFonts w:ascii="Times New Roman" w:hAnsi="Times New Roman"/>
                <w:sz w:val="20"/>
                <w:szCs w:val="20"/>
              </w:rPr>
            </w:pPr>
            <w:r w:rsidRPr="001F6CA2">
              <w:rPr>
                <w:rFonts w:ascii="Times New Roman" w:hAnsi="Times New Roman"/>
                <w:sz w:val="20"/>
                <w:szCs w:val="20"/>
              </w:rPr>
              <w:t>1.</w:t>
              <w:tab/>
              <w:t xml:space="preserve">Každý členský štát do 30. septembra 2011 uverejní a predloží Komisii zoznam zariadení na svojom území, na ktoré sa vzťahuje táto smernica, ako aj každé bezodplatné pridelenie kvót každému zariadeniu na svojom území vypočítané podľa pravidiel uvedených v článku 10a ods. </w:t>
            </w:r>
            <w:smartTag w:uri="urn:schemas-microsoft-com:office:smarttags" w:element="metricconverter">
              <w:smartTagPr>
                <w:attr w:name="ProductID" w:val="1 a"/>
              </w:smartTagPr>
              <w:r w:rsidRPr="001F6CA2">
                <w:rPr>
                  <w:rFonts w:ascii="Times New Roman" w:hAnsi="Times New Roman"/>
                  <w:sz w:val="20"/>
                  <w:szCs w:val="20"/>
                </w:rPr>
                <w:t>1 a</w:t>
              </w:r>
            </w:smartTag>
            <w:r w:rsidRPr="001F6CA2">
              <w:rPr>
                <w:rFonts w:ascii="Times New Roman" w:hAnsi="Times New Roman"/>
                <w:sz w:val="20"/>
                <w:szCs w:val="20"/>
              </w:rPr>
              <w:t xml:space="preserve"> článku 10c.</w:t>
            </w:r>
          </w:p>
          <w:p w:rsidR="00864245" w:rsidRPr="001F6CA2" w:rsidP="001F6CA2">
            <w:pPr>
              <w:pStyle w:val="Point1"/>
              <w:bidi w:val="0"/>
              <w:spacing w:before="0" w:line="240" w:lineRule="auto"/>
              <w:ind w:left="72" w:firstLine="0"/>
              <w:rPr>
                <w:rFonts w:ascii="Times New Roman" w:hAnsi="Times New Roman"/>
                <w:sz w:val="20"/>
                <w:szCs w:val="20"/>
              </w:rPr>
            </w:pPr>
            <w:r w:rsidRPr="001F6CA2">
              <w:rPr>
                <w:rFonts w:ascii="Times New Roman" w:hAnsi="Times New Roman"/>
                <w:sz w:val="20"/>
                <w:szCs w:val="20"/>
              </w:rPr>
              <w:br w:type="page"/>
              <w:t>2.</w:t>
              <w:tab/>
              <w:t>Príslušné orgány každoročne do 28. februára určia množstvo kvót, ktoré sa majú v danom roku prideliť, vypočítané podľa článkov 10, 10a a 10c.</w:t>
            </w:r>
          </w:p>
          <w:p w:rsidR="00864245" w:rsidRPr="001F6CA2" w:rsidP="001F6CA2">
            <w:pPr>
              <w:pStyle w:val="Point1"/>
              <w:bidi w:val="0"/>
              <w:spacing w:before="0" w:line="240" w:lineRule="auto"/>
              <w:ind w:left="72" w:firstLine="0"/>
              <w:rPr>
                <w:rFonts w:ascii="Times New Roman" w:hAnsi="Times New Roman"/>
                <w:sz w:val="20"/>
                <w:szCs w:val="20"/>
              </w:rPr>
            </w:pPr>
            <w:r w:rsidRPr="001F6CA2">
              <w:rPr>
                <w:rFonts w:ascii="Times New Roman" w:hAnsi="Times New Roman"/>
                <w:sz w:val="20"/>
                <w:szCs w:val="20"/>
              </w:rPr>
              <w:t>3.</w:t>
              <w:tab/>
              <w:t>Členské štáty nesmú prideľovať bezodplatné kvóty podľa odseku 2 zariadeniam, ktorých zapísanie do zoznamu uvedeného v odseku 1 Komisia zamietla.</w:t>
            </w:r>
          </w:p>
          <w:p w:rsidR="00864245" w:rsidRPr="001F6CA2" w:rsidP="001F6CA2">
            <w:pPr>
              <w:pStyle w:val="Point0"/>
              <w:bidi w:val="0"/>
              <w:spacing w:before="0" w:line="240" w:lineRule="auto"/>
              <w:ind w:left="214" w:hanging="142"/>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864245">
            <w:pPr>
              <w:bidi w:val="0"/>
              <w:jc w:val="both"/>
              <w:rPr>
                <w:rFonts w:ascii="Times New Roman" w:hAnsi="Times New Roman"/>
                <w:sz w:val="20"/>
                <w:szCs w:val="20"/>
              </w:rPr>
            </w:pPr>
            <w:r>
              <w:rPr>
                <w:rFonts w:ascii="Times New Roman" w:hAnsi="Times New Roman"/>
                <w:sz w:val="20"/>
                <w:szCs w:val="20"/>
              </w:rPr>
              <w:t>N</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864245" w:rsidP="00AC60A3">
            <w:pPr>
              <w:bidi w:val="0"/>
              <w:rPr>
                <w:rFonts w:ascii="Times New Roman" w:hAnsi="Times New Roman"/>
                <w:sz w:val="20"/>
                <w:szCs w:val="20"/>
              </w:rPr>
            </w:pPr>
            <w:r>
              <w:rPr>
                <w:rFonts w:ascii="Times New Roman" w:hAnsi="Times New Roman"/>
                <w:sz w:val="20"/>
                <w:szCs w:val="20"/>
              </w:rPr>
              <w:t>Návrh zákona</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864245" w:rsidP="005954B9">
            <w:pPr>
              <w:bidi w:val="0"/>
              <w:jc w:val="both"/>
              <w:rPr>
                <w:rFonts w:ascii="Times New Roman" w:hAnsi="Times New Roman"/>
                <w:sz w:val="20"/>
                <w:szCs w:val="20"/>
              </w:rPr>
            </w:pPr>
            <w:r>
              <w:rPr>
                <w:rFonts w:ascii="Times New Roman" w:hAnsi="Times New Roman"/>
                <w:sz w:val="20"/>
                <w:szCs w:val="20"/>
              </w:rPr>
              <w:t>§</w:t>
            </w:r>
            <w:r w:rsidR="00DD6331">
              <w:rPr>
                <w:rFonts w:ascii="Times New Roman" w:hAnsi="Times New Roman"/>
                <w:sz w:val="20"/>
                <w:szCs w:val="20"/>
              </w:rPr>
              <w:t>24</w:t>
            </w:r>
          </w:p>
          <w:p w:rsidR="00864245" w:rsidP="00DD6331">
            <w:pPr>
              <w:bidi w:val="0"/>
              <w:jc w:val="both"/>
              <w:rPr>
                <w:rFonts w:ascii="Times New Roman" w:hAnsi="Times New Roman"/>
                <w:sz w:val="20"/>
                <w:szCs w:val="20"/>
              </w:rPr>
            </w:pPr>
            <w:r>
              <w:rPr>
                <w:rFonts w:ascii="Times New Roman" w:hAnsi="Times New Roman"/>
                <w:sz w:val="20"/>
                <w:szCs w:val="20"/>
              </w:rPr>
              <w:t xml:space="preserve">ods. </w:t>
            </w:r>
            <w:r w:rsidR="00DD6331">
              <w:rPr>
                <w:rFonts w:ascii="Times New Roman" w:hAnsi="Times New Roman"/>
                <w:sz w:val="20"/>
                <w:szCs w:val="20"/>
              </w:rPr>
              <w:t>9</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BC029B" w:rsidP="00442B9E">
            <w:pPr>
              <w:pStyle w:val="BodyText"/>
              <w:tabs>
                <w:tab w:val="left" w:pos="360"/>
              </w:tabs>
              <w:bidi w:val="0"/>
              <w:rPr>
                <w:rFonts w:ascii="Times New Roman" w:hAnsi="Times New Roman"/>
                <w:sz w:val="20"/>
                <w:szCs w:val="20"/>
              </w:rPr>
            </w:pPr>
            <w:r w:rsidRPr="00F0029A">
              <w:rPr>
                <w:rFonts w:ascii="Times New Roman" w:hAnsi="Times New Roman"/>
                <w:sz w:val="20"/>
                <w:szCs w:val="20"/>
              </w:rPr>
              <w:t>(</w:t>
            </w:r>
            <w:r w:rsidR="00442B9E">
              <w:rPr>
                <w:rFonts w:ascii="Times New Roman" w:hAnsi="Times New Roman"/>
                <w:sz w:val="20"/>
                <w:szCs w:val="20"/>
              </w:rPr>
              <w:t>9</w:t>
            </w:r>
            <w:r w:rsidRPr="00F0029A">
              <w:rPr>
                <w:rFonts w:ascii="Times New Roman" w:hAnsi="Times New Roman"/>
                <w:sz w:val="20"/>
                <w:szCs w:val="20"/>
              </w:rPr>
              <w:t>) Ministerstvo uverejní a predloží Komisii zoznam prevádzok, ktoré budú povinnými účastníkmi schémy obchodovania od 1. januára 2013,  ako aj každé bezodplatné pridelenie  kvót do 30. septembra 2011.</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864245">
            <w:pPr>
              <w:pStyle w:val="Heading3"/>
              <w:bidi w:val="0"/>
              <w:jc w:val="both"/>
              <w:rPr>
                <w:rFonts w:ascii="Times New Roman" w:hAnsi="Times New Roman"/>
                <w:b w:val="0"/>
                <w:bCs w:val="0"/>
                <w:color w:val="auto"/>
              </w:rPr>
            </w:pPr>
            <w:r w:rsidR="00840CAE">
              <w:rPr>
                <w:rFonts w:ascii="Times New Roman" w:hAnsi="Times New Roman"/>
                <w:b w:val="0"/>
                <w:bCs w:val="0"/>
                <w:color w:val="auto"/>
              </w:rPr>
              <w:t xml:space="preserve">  Ú</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AC60A3">
            <w:pPr>
              <w:bidi w:val="0"/>
              <w:jc w:val="both"/>
              <w:rPr>
                <w:rFonts w:ascii="Times New Roman" w:hAnsi="Times New Roman"/>
                <w:sz w:val="16"/>
                <w:szCs w:val="16"/>
              </w:rPr>
            </w:pPr>
          </w:p>
          <w:p w:rsidR="00864245">
            <w:pPr>
              <w:bidi w:val="0"/>
              <w:jc w:val="both"/>
              <w:rPr>
                <w:rFonts w:ascii="Times New Roman" w:hAnsi="Times New Roman"/>
                <w:sz w:val="16"/>
                <w:szCs w:val="16"/>
              </w:rPr>
            </w:pPr>
          </w:p>
          <w:p w:rsidR="00864245">
            <w:pPr>
              <w:bidi w:val="0"/>
              <w:jc w:val="both"/>
              <w:rPr>
                <w:rFonts w:ascii="Times New Roman" w:hAnsi="Times New Roman"/>
                <w:sz w:val="16"/>
                <w:szCs w:val="16"/>
              </w:rPr>
            </w:pPr>
          </w:p>
          <w:p w:rsidR="00864245">
            <w:pPr>
              <w:bidi w:val="0"/>
              <w:jc w:val="both"/>
              <w:rPr>
                <w:rFonts w:ascii="Times New Roman" w:hAnsi="Times New Roman"/>
                <w:sz w:val="16"/>
                <w:szCs w:val="16"/>
              </w:rPr>
            </w:pPr>
          </w:p>
          <w:p w:rsidR="00864245">
            <w:pPr>
              <w:bidi w:val="0"/>
              <w:jc w:val="both"/>
              <w:rPr>
                <w:rFonts w:ascii="Times New Roman" w:hAnsi="Times New Roman"/>
                <w:sz w:val="16"/>
                <w:szCs w:val="16"/>
              </w:rPr>
            </w:pPr>
          </w:p>
          <w:p w:rsidR="00864245">
            <w:pPr>
              <w:bidi w:val="0"/>
              <w:jc w:val="both"/>
              <w:rPr>
                <w:rFonts w:ascii="Times New Roman" w:hAnsi="Times New Roman"/>
                <w:sz w:val="16"/>
                <w:szCs w:val="16"/>
              </w:rPr>
            </w:pPr>
          </w:p>
          <w:p w:rsidR="00864245">
            <w:pPr>
              <w:bidi w:val="0"/>
              <w:jc w:val="both"/>
              <w:rPr>
                <w:rFonts w:ascii="Times New Roman" w:hAnsi="Times New Roman"/>
                <w:sz w:val="16"/>
                <w:szCs w:val="16"/>
              </w:rPr>
            </w:pPr>
          </w:p>
          <w:p w:rsidR="00864245">
            <w:pPr>
              <w:bidi w:val="0"/>
              <w:jc w:val="both"/>
              <w:rPr>
                <w:rFonts w:ascii="Times New Roman" w:hAnsi="Times New Roman"/>
                <w:sz w:val="16"/>
                <w:szCs w:val="16"/>
              </w:rPr>
            </w:pPr>
          </w:p>
          <w:p w:rsidR="00864245">
            <w:pPr>
              <w:bidi w:val="0"/>
              <w:jc w:val="both"/>
              <w:rPr>
                <w:rFonts w:ascii="Times New Roman" w:hAnsi="Times New Roman"/>
                <w:sz w:val="16"/>
                <w:szCs w:val="16"/>
              </w:rPr>
            </w:pPr>
          </w:p>
          <w:p w:rsidR="00864245">
            <w:pPr>
              <w:bidi w:val="0"/>
              <w:jc w:val="both"/>
              <w:rPr>
                <w:rFonts w:ascii="Times New Roman" w:hAnsi="Times New Roman"/>
                <w:sz w:val="16"/>
                <w:szCs w:val="16"/>
              </w:rPr>
            </w:pPr>
          </w:p>
          <w:p w:rsidR="00864245">
            <w:pPr>
              <w:bidi w:val="0"/>
              <w:jc w:val="both"/>
              <w:rPr>
                <w:rFonts w:ascii="Times New Roman" w:hAnsi="Times New Roman"/>
                <w:sz w:val="16"/>
                <w:szCs w:val="16"/>
              </w:rPr>
            </w:pPr>
          </w:p>
          <w:p w:rsidR="00864245">
            <w:pPr>
              <w:bidi w:val="0"/>
              <w:jc w:val="both"/>
              <w:rPr>
                <w:rFonts w:ascii="Times New Roman" w:hAnsi="Times New Roman"/>
                <w:sz w:val="16"/>
                <w:szCs w:val="16"/>
              </w:rPr>
            </w:pPr>
          </w:p>
          <w:p w:rsidR="00864245">
            <w:pPr>
              <w:bidi w:val="0"/>
              <w:jc w:val="both"/>
              <w:rPr>
                <w:rFonts w:ascii="Times New Roman" w:hAnsi="Times New Roman"/>
                <w:sz w:val="16"/>
                <w:szCs w:val="16"/>
              </w:rPr>
            </w:pPr>
          </w:p>
          <w:p w:rsidR="00864245">
            <w:pPr>
              <w:bidi w:val="0"/>
              <w:jc w:val="both"/>
              <w:rPr>
                <w:rFonts w:ascii="Times New Roman" w:hAnsi="Times New Roman"/>
                <w:sz w:val="16"/>
                <w:szCs w:val="16"/>
              </w:rPr>
            </w:pPr>
          </w:p>
          <w:p w:rsidR="00864245">
            <w:pPr>
              <w:bidi w:val="0"/>
              <w:jc w:val="both"/>
              <w:rPr>
                <w:rFonts w:ascii="Times New Roman" w:hAnsi="Times New Roman"/>
                <w:sz w:val="16"/>
                <w:szCs w:val="16"/>
              </w:rPr>
            </w:pPr>
          </w:p>
          <w:p w:rsidR="00864245">
            <w:pPr>
              <w:bidi w:val="0"/>
              <w:jc w:val="both"/>
              <w:rPr>
                <w:rFonts w:ascii="Times New Roman" w:hAnsi="Times New Roman"/>
                <w:sz w:val="20"/>
                <w:szCs w:val="20"/>
              </w:rPr>
            </w:pPr>
            <w:r w:rsidRPr="009B0932">
              <w:rPr>
                <w:rFonts w:ascii="Times New Roman" w:hAnsi="Times New Roman"/>
                <w:b/>
                <w:bCs/>
                <w:sz w:val="16"/>
                <w:szCs w:val="16"/>
              </w:rPr>
              <w:t>V čl. 10c</w:t>
            </w:r>
            <w:r w:rsidRPr="00AC60A3">
              <w:rPr>
                <w:rFonts w:ascii="Times New Roman" w:hAnsi="Times New Roman"/>
                <w:sz w:val="16"/>
                <w:szCs w:val="16"/>
              </w:rPr>
              <w:t xml:space="preserve"> smernice 2009/29/ES sa uvádza</w:t>
            </w:r>
            <w:r>
              <w:rPr>
                <w:rFonts w:ascii="Times New Roman" w:hAnsi="Times New Roman"/>
                <w:sz w:val="16"/>
                <w:szCs w:val="16"/>
              </w:rPr>
              <w:t xml:space="preserve"> za akých podmienok je možnosť prechodného prideľovania bezodplatných kvót v súvislosti s modernizáciou výroby elektrickej energie. SR nespĺňa ani jednu z týchto podmienok a teda sa na ňu čl. 10c nevzťahuje.</w:t>
            </w:r>
          </w:p>
          <w:p w:rsidR="00864245" w:rsidRPr="004663BA">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rPr>
          <w:trHeight w:val="1120"/>
        </w:trPr>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864245" w:rsidP="00B42141">
            <w:pPr>
              <w:bidi w:val="0"/>
              <w:rPr>
                <w:rFonts w:ascii="Times New Roman" w:hAnsi="Times New Roman"/>
                <w:sz w:val="20"/>
                <w:szCs w:val="20"/>
              </w:rPr>
            </w:pPr>
            <w:r>
              <w:rPr>
                <w:rFonts w:ascii="Times New Roman" w:hAnsi="Times New Roman"/>
                <w:sz w:val="20"/>
                <w:szCs w:val="20"/>
              </w:rPr>
              <w:t>Príloha I</w:t>
            </w:r>
          </w:p>
          <w:p w:rsidR="00864245" w:rsidP="00B42141">
            <w:pPr>
              <w:bidi w:val="0"/>
              <w:rPr>
                <w:rFonts w:ascii="Times New Roman" w:hAnsi="Times New Roman"/>
                <w:sz w:val="20"/>
                <w:szCs w:val="20"/>
              </w:rPr>
            </w:pPr>
            <w:r>
              <w:rPr>
                <w:rFonts w:ascii="Times New Roman" w:hAnsi="Times New Roman"/>
                <w:sz w:val="20"/>
                <w:szCs w:val="20"/>
              </w:rPr>
              <w:t>Tabuľka</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577AD" w:rsidP="00DA016B">
            <w:pPr>
              <w:pStyle w:val="Point0"/>
              <w:bidi w:val="0"/>
              <w:spacing w:before="0" w:line="240" w:lineRule="auto"/>
              <w:ind w:left="0" w:firstLine="0"/>
              <w:rPr>
                <w:rFonts w:ascii="Times New Roman" w:hAnsi="Times New Roman"/>
                <w:sz w:val="20"/>
                <w:szCs w:val="20"/>
              </w:rPr>
            </w:pPr>
            <w:r>
              <w:rPr>
                <w:rFonts w:ascii="Times New Roman" w:hAnsi="Times New Roman"/>
                <w:sz w:val="20"/>
                <w:szCs w:val="20"/>
              </w:rPr>
              <w:t>Kategórie činností, na ktoré sa uplatňuje táto smernica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864245">
            <w:pPr>
              <w:bidi w:val="0"/>
              <w:jc w:val="both"/>
              <w:rPr>
                <w:rFonts w:ascii="Times New Roman" w:hAnsi="Times New Roman"/>
                <w:sz w:val="20"/>
                <w:szCs w:val="20"/>
              </w:rPr>
            </w:pPr>
            <w:r>
              <w:rPr>
                <w:rFonts w:ascii="Times New Roman" w:hAnsi="Times New Roman"/>
                <w:sz w:val="20"/>
                <w:szCs w:val="20"/>
              </w:rPr>
              <w:t>N</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864245" w:rsidP="004B63DD">
            <w:pPr>
              <w:bidi w:val="0"/>
              <w:rPr>
                <w:rFonts w:ascii="Times New Roman" w:hAnsi="Times New Roman"/>
                <w:sz w:val="20"/>
                <w:szCs w:val="20"/>
              </w:rPr>
            </w:pPr>
            <w:r>
              <w:rPr>
                <w:rFonts w:ascii="Times New Roman" w:hAnsi="Times New Roman"/>
                <w:sz w:val="20"/>
                <w:szCs w:val="20"/>
              </w:rPr>
              <w:t>Návrh zákona</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864245">
            <w:pPr>
              <w:bidi w:val="0"/>
              <w:jc w:val="both"/>
              <w:rPr>
                <w:rFonts w:ascii="Times New Roman" w:hAnsi="Times New Roman"/>
                <w:sz w:val="20"/>
                <w:szCs w:val="20"/>
              </w:rPr>
            </w:pPr>
            <w:r>
              <w:rPr>
                <w:rFonts w:ascii="Times New Roman" w:hAnsi="Times New Roman"/>
                <w:sz w:val="20"/>
                <w:szCs w:val="20"/>
              </w:rPr>
              <w:t>Príloha 1 Tabuľka A</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BC029B" w:rsidP="004577AD">
            <w:pPr>
              <w:pStyle w:val="BodyText"/>
              <w:tabs>
                <w:tab w:val="left" w:pos="360"/>
              </w:tabs>
              <w:bidi w:val="0"/>
              <w:rPr>
                <w:rFonts w:ascii="Times New Roman" w:hAnsi="Times New Roman"/>
                <w:sz w:val="20"/>
                <w:szCs w:val="20"/>
              </w:rPr>
            </w:pPr>
            <w:r w:rsidRPr="00BC029B">
              <w:rPr>
                <w:rFonts w:ascii="Times New Roman" w:hAnsi="Times New Roman"/>
                <w:sz w:val="20"/>
                <w:szCs w:val="20"/>
              </w:rPr>
              <w:t>Tabuľka bola prevzatá v plnom znení:</w:t>
            </w:r>
          </w:p>
          <w:p w:rsidR="00864245" w:rsidRPr="00BC029B" w:rsidP="00BC029B">
            <w:pPr>
              <w:pStyle w:val="BodyText"/>
              <w:tabs>
                <w:tab w:val="left" w:pos="360"/>
              </w:tabs>
              <w:bidi w:val="0"/>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864245">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864245" w:rsidRPr="004663BA">
            <w:pPr>
              <w:bidi w:val="0"/>
              <w:jc w:val="both"/>
              <w:rPr>
                <w:rFonts w:ascii="Times New Roman" w:hAnsi="Times New Roman"/>
                <w:sz w:val="20"/>
                <w:szCs w:val="20"/>
              </w:rPr>
            </w:pPr>
          </w:p>
        </w:tc>
      </w:tr>
    </w:tbl>
    <w:p w:rsidR="00864245" w:rsidRPr="004663BA" w:rsidP="00B51EDE">
      <w:pPr>
        <w:bidi w:val="0"/>
        <w:jc w:val="both"/>
        <w:rPr>
          <w:rFonts w:ascii="Times New Roman" w:hAnsi="Times New Roman"/>
          <w:sz w:val="20"/>
          <w:szCs w:val="20"/>
        </w:rPr>
      </w:pPr>
    </w:p>
    <w:sectPr w:rsidSect="00864245">
      <w:footerReference w:type="default" r:id="rId4"/>
      <w:pgSz w:w="16840" w:h="11907" w:orient="landscape" w:code="9"/>
      <w:pgMar w:top="1418" w:right="1418" w:bottom="1418" w:left="1418"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Tms Rmn">
    <w:panose1 w:val="02020603040505020304"/>
    <w:charset w:val="00"/>
    <w:family w:val="roman"/>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Bookman Old Style">
    <w:panose1 w:val="0205060405050502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245">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16764">
      <w:rPr>
        <w:rStyle w:val="PageNumber"/>
        <w:rFonts w:ascii="Times New Roman" w:hAnsi="Times New Roman"/>
        <w:noProof/>
      </w:rPr>
      <w:t>1</w:t>
    </w:r>
    <w:r>
      <w:rPr>
        <w:rStyle w:val="PageNumber"/>
        <w:rFonts w:ascii="Times New Roman" w:hAnsi="Times New Roman"/>
      </w:rPr>
      <w:fldChar w:fldCharType="end"/>
    </w:r>
  </w:p>
  <w:p w:rsidR="0086424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5E24E14"/>
    <w:lvl w:ilvl="0">
      <w:start w:val="1"/>
      <w:numFmt w:val="bullet"/>
      <w:lvlText w:val=""/>
      <w:lvlJc w:val="left"/>
      <w:pPr>
        <w:tabs>
          <w:tab w:val="num" w:pos="643"/>
        </w:tabs>
        <w:ind w:left="643" w:hanging="360"/>
      </w:pPr>
      <w:rPr>
        <w:rFonts w:ascii="Symbol" w:hAnsi="Symbol" w:hint="default"/>
      </w:rPr>
    </w:lvl>
  </w:abstractNum>
  <w:abstractNum w:abstractNumId="1">
    <w:nsid w:val="02DC64D9"/>
    <w:multiLevelType w:val="hybridMultilevel"/>
    <w:tmpl w:val="648E3BD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5CA39B7"/>
    <w:multiLevelType w:val="multilevel"/>
    <w:tmpl w:val="465EE3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7DE7BD7"/>
    <w:multiLevelType w:val="singleLevel"/>
    <w:tmpl w:val="54D295B4"/>
    <w:lvl w:ilvl="0">
      <w:start w:val="1"/>
      <w:numFmt w:val="lowerLetter"/>
      <w:pStyle w:val="pismeno"/>
      <w:lvlText w:val="%1)"/>
      <w:lvlJc w:val="left"/>
      <w:pPr>
        <w:tabs>
          <w:tab w:val="num" w:pos="360"/>
        </w:tabs>
        <w:ind w:left="340" w:hanging="340"/>
      </w:pPr>
      <w:rPr>
        <w:rFonts w:cs="Times New Roman"/>
        <w:caps w:val="0"/>
        <w:strike w:val="0"/>
        <w:dstrike w:val="0"/>
        <w:shadow w:val="0"/>
        <w:emboss w:val="0"/>
        <w:imprint w:val="0"/>
        <w:vanish w:val="0"/>
        <w:vertAlign w:val="baseline"/>
        <w:rtl w:val="0"/>
        <w:cs w:val="0"/>
      </w:rPr>
    </w:lvl>
  </w:abstractNum>
  <w:abstractNum w:abstractNumId="4">
    <w:nsid w:val="11470D2B"/>
    <w:multiLevelType w:val="hybridMultilevel"/>
    <w:tmpl w:val="7E12E966"/>
    <w:lvl w:ilvl="0">
      <w:start w:val="1"/>
      <w:numFmt w:val="decimal"/>
      <w:lvlText w:val="%1."/>
      <w:lvlJc w:val="left"/>
      <w:pPr>
        <w:tabs>
          <w:tab w:val="num" w:pos="360"/>
        </w:tabs>
        <w:ind w:left="360" w:hanging="360"/>
      </w:pPr>
      <w:rPr>
        <w:rFonts w:cs="Times New Roman"/>
        <w:rtl w:val="0"/>
        <w:cs w:val="0"/>
      </w:rPr>
    </w:lvl>
    <w:lvl w:ilvl="1">
      <w:start w:val="5"/>
      <w:numFmt w:val="decimal"/>
      <w:lvlText w:val="%2."/>
      <w:lvlJc w:val="left"/>
      <w:pPr>
        <w:tabs>
          <w:tab w:val="num" w:pos="1014"/>
        </w:tabs>
        <w:ind w:left="1014" w:hanging="360"/>
      </w:pPr>
      <w:rPr>
        <w:rFonts w:cs="Times New Roman" w:hint="default"/>
        <w:rtl w:val="0"/>
        <w:cs w:val="0"/>
      </w:rPr>
    </w:lvl>
    <w:lvl w:ilvl="2">
      <w:start w:val="1"/>
      <w:numFmt w:val="lowerRoman"/>
      <w:lvlText w:val="%3."/>
      <w:lvlJc w:val="right"/>
      <w:pPr>
        <w:tabs>
          <w:tab w:val="num" w:pos="1734"/>
        </w:tabs>
        <w:ind w:left="1734" w:hanging="180"/>
      </w:pPr>
      <w:rPr>
        <w:rFonts w:cs="Times New Roman"/>
        <w:rtl w:val="0"/>
        <w:cs w:val="0"/>
      </w:rPr>
    </w:lvl>
    <w:lvl w:ilvl="3">
      <w:start w:val="1"/>
      <w:numFmt w:val="decimal"/>
      <w:lvlText w:val="%4."/>
      <w:lvlJc w:val="left"/>
      <w:pPr>
        <w:tabs>
          <w:tab w:val="num" w:pos="2454"/>
        </w:tabs>
        <w:ind w:left="2454" w:hanging="360"/>
      </w:pPr>
      <w:rPr>
        <w:rFonts w:cs="Times New Roman"/>
        <w:rtl w:val="0"/>
        <w:cs w:val="0"/>
      </w:rPr>
    </w:lvl>
    <w:lvl w:ilvl="4">
      <w:start w:val="1"/>
      <w:numFmt w:val="lowerLetter"/>
      <w:lvlText w:val="%5."/>
      <w:lvlJc w:val="left"/>
      <w:pPr>
        <w:tabs>
          <w:tab w:val="num" w:pos="3174"/>
        </w:tabs>
        <w:ind w:left="3174" w:hanging="360"/>
      </w:pPr>
      <w:rPr>
        <w:rFonts w:cs="Times New Roman"/>
        <w:rtl w:val="0"/>
        <w:cs w:val="0"/>
      </w:rPr>
    </w:lvl>
    <w:lvl w:ilvl="5">
      <w:start w:val="1"/>
      <w:numFmt w:val="lowerRoman"/>
      <w:lvlText w:val="%6."/>
      <w:lvlJc w:val="right"/>
      <w:pPr>
        <w:tabs>
          <w:tab w:val="num" w:pos="3894"/>
        </w:tabs>
        <w:ind w:left="3894" w:hanging="180"/>
      </w:pPr>
      <w:rPr>
        <w:rFonts w:cs="Times New Roman"/>
        <w:rtl w:val="0"/>
        <w:cs w:val="0"/>
      </w:rPr>
    </w:lvl>
    <w:lvl w:ilvl="6">
      <w:start w:val="1"/>
      <w:numFmt w:val="decimal"/>
      <w:lvlText w:val="%7."/>
      <w:lvlJc w:val="left"/>
      <w:pPr>
        <w:tabs>
          <w:tab w:val="num" w:pos="4614"/>
        </w:tabs>
        <w:ind w:left="4614" w:hanging="360"/>
      </w:pPr>
      <w:rPr>
        <w:rFonts w:cs="Times New Roman"/>
        <w:rtl w:val="0"/>
        <w:cs w:val="0"/>
      </w:rPr>
    </w:lvl>
    <w:lvl w:ilvl="7">
      <w:start w:val="1"/>
      <w:numFmt w:val="lowerLetter"/>
      <w:lvlText w:val="%8."/>
      <w:lvlJc w:val="left"/>
      <w:pPr>
        <w:tabs>
          <w:tab w:val="num" w:pos="5334"/>
        </w:tabs>
        <w:ind w:left="5334" w:hanging="360"/>
      </w:pPr>
      <w:rPr>
        <w:rFonts w:cs="Times New Roman"/>
        <w:rtl w:val="0"/>
        <w:cs w:val="0"/>
      </w:rPr>
    </w:lvl>
    <w:lvl w:ilvl="8">
      <w:start w:val="1"/>
      <w:numFmt w:val="lowerRoman"/>
      <w:lvlText w:val="%9."/>
      <w:lvlJc w:val="right"/>
      <w:pPr>
        <w:tabs>
          <w:tab w:val="num" w:pos="6054"/>
        </w:tabs>
        <w:ind w:left="6054" w:hanging="180"/>
      </w:pPr>
      <w:rPr>
        <w:rFonts w:cs="Times New Roman"/>
        <w:rtl w:val="0"/>
        <w:cs w:val="0"/>
      </w:rPr>
    </w:lvl>
  </w:abstractNum>
  <w:abstractNum w:abstractNumId="5">
    <w:nsid w:val="114D5F87"/>
    <w:multiLevelType w:val="multilevel"/>
    <w:tmpl w:val="FA7887B8"/>
    <w:lvl w:ilvl="0">
      <w:start w:val="1"/>
      <w:numFmt w:val="lowerLetter"/>
      <w:lvlText w:val="%1)"/>
      <w:lvlJc w:val="left"/>
      <w:pPr>
        <w:tabs>
          <w:tab w:val="num" w:pos="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47332A9"/>
    <w:multiLevelType w:val="singleLevel"/>
    <w:tmpl w:val="04050017"/>
    <w:lvl w:ilvl="0">
      <w:start w:val="1"/>
      <w:numFmt w:val="lowerLetter"/>
      <w:lvlText w:val="%1)"/>
      <w:legacy w:legacy="1" w:legacySpace="0" w:legacyIndent="360"/>
      <w:lvlJc w:val="left"/>
      <w:pPr>
        <w:ind w:left="360" w:hanging="360"/>
      </w:pPr>
      <w:rPr>
        <w:rFonts w:cs="Times New Roman"/>
        <w:rtl w:val="0"/>
        <w:cs w:val="0"/>
      </w:rPr>
    </w:lvl>
  </w:abstractNum>
  <w:abstractNum w:abstractNumId="7">
    <w:nsid w:val="19D3613F"/>
    <w:multiLevelType w:val="singleLevel"/>
    <w:tmpl w:val="ACF2636C"/>
    <w:lvl w:ilvl="0">
      <w:start w:val="1"/>
      <w:numFmt w:val="lowerLetter"/>
      <w:pStyle w:val="Textpsmene"/>
      <w:lvlText w:val="%1)"/>
      <w:lvlJc w:val="left"/>
      <w:pPr>
        <w:tabs>
          <w:tab w:val="num" w:pos="360"/>
        </w:tabs>
        <w:ind w:left="360" w:hanging="360"/>
      </w:pPr>
      <w:rPr>
        <w:rFonts w:cs="Times New Roman"/>
        <w:rtl w:val="0"/>
        <w:cs w:val="0"/>
      </w:rPr>
    </w:lvl>
  </w:abstractNum>
  <w:abstractNum w:abstractNumId="8">
    <w:nsid w:val="24823944"/>
    <w:multiLevelType w:val="multilevel"/>
    <w:tmpl w:val="735C08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72F6D4B"/>
    <w:multiLevelType w:val="singleLevel"/>
    <w:tmpl w:val="3252DE46"/>
    <w:lvl w:ilvl="0">
      <w:start w:val="1"/>
      <w:numFmt w:val="lowerLetter"/>
      <w:lvlText w:val="%1)"/>
      <w:lvlJc w:val="left"/>
      <w:pPr>
        <w:tabs>
          <w:tab w:val="num" w:pos="360"/>
        </w:tabs>
        <w:ind w:left="360" w:hanging="360"/>
      </w:pPr>
      <w:rPr>
        <w:rFonts w:cs="Times New Roman" w:hint="default"/>
        <w:rtl w:val="0"/>
        <w:cs w:val="0"/>
      </w:rPr>
    </w:lvl>
  </w:abstractNum>
  <w:abstractNum w:abstractNumId="10">
    <w:nsid w:val="28237785"/>
    <w:multiLevelType w:val="hybridMultilevel"/>
    <w:tmpl w:val="AC8E6B22"/>
    <w:lvl w:ilvl="0">
      <w:start w:val="1"/>
      <w:numFmt w:val="decimal"/>
      <w:lvlText w:val="(%1)"/>
      <w:lvlJc w:val="left"/>
      <w:pPr>
        <w:tabs>
          <w:tab w:val="num" w:pos="284"/>
        </w:tabs>
        <w:ind w:left="284"/>
      </w:pPr>
      <w:rPr>
        <w:rFonts w:cs="Times New Roman" w:hint="default"/>
        <w:rtl w:val="0"/>
        <w:cs w:val="0"/>
      </w:rPr>
    </w:lvl>
    <w:lvl w:ilvl="1">
      <w:start w:val="1"/>
      <w:numFmt w:val="lowerLetter"/>
      <w:lvlText w:val="%2)"/>
      <w:lvlJc w:val="left"/>
      <w:pPr>
        <w:tabs>
          <w:tab w:val="num" w:pos="357"/>
        </w:tabs>
        <w:ind w:left="357" w:hanging="357"/>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F9526B9"/>
    <w:multiLevelType w:val="hybridMultilevel"/>
    <w:tmpl w:val="0C5A1FC0"/>
    <w:lvl w:ilvl="0">
      <w:start w:val="1"/>
      <w:numFmt w:val="lowerLetter"/>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4235B5D"/>
    <w:multiLevelType w:val="hybridMultilevel"/>
    <w:tmpl w:val="39AABA72"/>
    <w:lvl w:ilvl="0">
      <w:start w:val="1"/>
      <w:numFmt w:val="decimal"/>
      <w:lvlText w:val="%1."/>
      <w:lvlJc w:val="left"/>
      <w:pPr>
        <w:tabs>
          <w:tab w:val="num" w:pos="360"/>
        </w:tabs>
        <w:ind w:left="360" w:hanging="360"/>
      </w:pPr>
      <w:rPr>
        <w:rFonts w:cs="Times New Roman" w:hint="default"/>
        <w:rtl w:val="0"/>
        <w:cs w:val="0"/>
      </w:rPr>
    </w:lvl>
    <w:lvl w:ilvl="1">
      <w:start w:val="1"/>
      <w:numFmt w:val="lowerRoman"/>
      <w:lvlText w:val="%2."/>
      <w:lvlJc w:val="right"/>
      <w:pPr>
        <w:tabs>
          <w:tab w:val="num" w:pos="1260"/>
        </w:tabs>
        <w:ind w:left="1260" w:hanging="18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43354A5"/>
    <w:multiLevelType w:val="hybridMultilevel"/>
    <w:tmpl w:val="EF1EF246"/>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C27B33"/>
    <w:multiLevelType w:val="multilevel"/>
    <w:tmpl w:val="492A353E"/>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1103D5D"/>
    <w:multiLevelType w:val="hybridMultilevel"/>
    <w:tmpl w:val="9D0441A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2D7710F"/>
    <w:multiLevelType w:val="multilevel"/>
    <w:tmpl w:val="35660CD0"/>
    <w:lvl w:ilvl="0">
      <w:start w:val="1"/>
      <w:numFmt w:val="decimal"/>
      <w:lvlText w:val="(%1)"/>
      <w:lvlJc w:val="left"/>
      <w:pPr>
        <w:tabs>
          <w:tab w:val="num" w:pos="0"/>
        </w:tabs>
      </w:pPr>
      <w:rPr>
        <w:rFonts w:cs="Times New Roman" w:hint="default"/>
        <w:rtl w:val="0"/>
        <w:cs w:val="0"/>
      </w:rPr>
    </w:lvl>
    <w:lvl w:ilvl="1">
      <w:start w:val="2"/>
      <w:numFmt w:val="lowerLetter"/>
      <w:lvlText w:val="%2)"/>
      <w:lvlJc w:val="left"/>
      <w:pPr>
        <w:tabs>
          <w:tab w:val="num" w:pos="360"/>
        </w:tabs>
        <w:ind w:left="340" w:hanging="340"/>
      </w:pPr>
      <w:rPr>
        <w:rFonts w:ascii="Times New Roman" w:hAnsi="Times New Roman" w:cs="Times New Roman" w:hint="default"/>
        <w:b w:val="0"/>
        <w:bCs w:val="0"/>
        <w:i w:val="0"/>
        <w:iCs w:val="0"/>
        <w:strike w:val="0"/>
        <w:sz w:val="24"/>
        <w:szCs w:val="24"/>
        <w:rtl w:val="0"/>
        <w:cs w:val="0"/>
      </w:rPr>
    </w:lvl>
    <w:lvl w:ilvl="2">
      <w:start w:val="0"/>
      <w:numFmt w:val="none"/>
      <w:lvlJc w:val="left"/>
      <w:pPr>
        <w:tabs>
          <w:tab w:val="num" w:pos="360"/>
        </w:tabs>
        <w:ind w:left="357" w:hanging="357"/>
      </w:pPr>
      <w:rPr>
        <w:rFonts w:ascii="Tms Rmn" w:hAnsi="Tms Rmn" w:cs="Tms Rmn" w:hint="default"/>
        <w:rtl w:val="0"/>
        <w:cs w:val="0"/>
      </w:rPr>
    </w:lvl>
    <w:lvl w:ilvl="3">
      <w:start w:val="0"/>
      <w:numFmt w:val="none"/>
      <w:lvlJc w:val="left"/>
      <w:pPr>
        <w:tabs>
          <w:tab w:val="num" w:pos="0"/>
        </w:tabs>
      </w:pPr>
      <w:rPr>
        <w:rFonts w:ascii="Tms Rmn" w:hAnsi="Tms Rmn" w:cs="Tms Rmn" w:hint="default"/>
        <w:rtl w:val="0"/>
        <w:cs w:val="0"/>
      </w:rPr>
    </w:lvl>
    <w:lvl w:ilvl="4">
      <w:start w:val="0"/>
      <w:numFmt w:val="none"/>
      <w:lvlJc w:val="left"/>
      <w:pPr>
        <w:tabs>
          <w:tab w:val="num" w:pos="0"/>
        </w:tabs>
      </w:pPr>
      <w:rPr>
        <w:rFonts w:ascii="Tms Rmn" w:hAnsi="Tms Rmn" w:cs="Tms Rmn" w:hint="default"/>
        <w:rtl w:val="0"/>
        <w:cs w:val="0"/>
      </w:rPr>
    </w:lvl>
    <w:lvl w:ilvl="5">
      <w:start w:val="0"/>
      <w:numFmt w:val="none"/>
      <w:lvlJc w:val="left"/>
      <w:pPr>
        <w:tabs>
          <w:tab w:val="num" w:pos="0"/>
        </w:tabs>
      </w:pPr>
      <w:rPr>
        <w:rFonts w:ascii="Tms Rmn" w:hAnsi="Tms Rmn" w:cs="Tms Rmn" w:hint="default"/>
        <w:rtl w:val="0"/>
        <w:cs w:val="0"/>
      </w:rPr>
    </w:lvl>
    <w:lvl w:ilvl="6">
      <w:start w:val="0"/>
      <w:numFmt w:val="none"/>
      <w:lvlJc w:val="left"/>
      <w:pPr>
        <w:tabs>
          <w:tab w:val="num" w:pos="0"/>
        </w:tabs>
      </w:pPr>
      <w:rPr>
        <w:rFonts w:ascii="Tms Rmn" w:hAnsi="Tms Rmn" w:cs="Tms Rmn" w:hint="default"/>
        <w:rtl w:val="0"/>
        <w:cs w:val="0"/>
      </w:rPr>
    </w:lvl>
    <w:lvl w:ilvl="7">
      <w:start w:val="0"/>
      <w:numFmt w:val="none"/>
      <w:lvlJc w:val="left"/>
      <w:pPr>
        <w:tabs>
          <w:tab w:val="num" w:pos="0"/>
        </w:tabs>
      </w:pPr>
      <w:rPr>
        <w:rFonts w:ascii="Tms Rmn" w:hAnsi="Tms Rmn" w:cs="Tms Rmn" w:hint="default"/>
        <w:rtl w:val="0"/>
        <w:cs w:val="0"/>
      </w:rPr>
    </w:lvl>
    <w:lvl w:ilvl="8">
      <w:start w:val="0"/>
      <w:numFmt w:val="none"/>
      <w:lvlJc w:val="left"/>
      <w:pPr>
        <w:tabs>
          <w:tab w:val="num" w:pos="0"/>
        </w:tabs>
      </w:pPr>
      <w:rPr>
        <w:rFonts w:ascii="Tms Rmn" w:hAnsi="Tms Rmn" w:cs="Tms Rmn" w:hint="default"/>
        <w:rtl w:val="0"/>
        <w:cs w:val="0"/>
      </w:rPr>
    </w:lvl>
  </w:abstractNum>
  <w:abstractNum w:abstractNumId="17">
    <w:nsid w:val="45C8446D"/>
    <w:multiLevelType w:val="singleLevel"/>
    <w:tmpl w:val="417EEAAE"/>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B4E2E05"/>
    <w:multiLevelType w:val="singleLevel"/>
    <w:tmpl w:val="2076B20A"/>
    <w:lvl w:ilvl="0">
      <w:start w:val="1"/>
      <w:numFmt w:val="bullet"/>
      <w:pStyle w:val="ListDash4"/>
      <w:lvlText w:val="–"/>
      <w:lvlJc w:val="left"/>
      <w:pPr>
        <w:tabs>
          <w:tab w:val="num" w:pos="1134"/>
        </w:tabs>
        <w:ind w:left="1134" w:hanging="283"/>
      </w:pPr>
      <w:rPr>
        <w:rFonts w:ascii="Times New Roman" w:hAnsi="Times New Roman"/>
      </w:rPr>
    </w:lvl>
  </w:abstractNum>
  <w:abstractNum w:abstractNumId="19">
    <w:nsid w:val="4BFA0450"/>
    <w:multiLevelType w:val="singleLevel"/>
    <w:tmpl w:val="A2E6F9D0"/>
    <w:lvl w:ilvl="0">
      <w:start w:val="1"/>
      <w:numFmt w:val="bullet"/>
      <w:pStyle w:val="ListBullet2"/>
      <w:lvlText w:val=""/>
      <w:lvlJc w:val="left"/>
      <w:pPr>
        <w:tabs>
          <w:tab w:val="num" w:pos="1134"/>
        </w:tabs>
        <w:ind w:left="1134" w:hanging="283"/>
      </w:pPr>
      <w:rPr>
        <w:rFonts w:ascii="Symbol" w:hAnsi="Symbol"/>
      </w:rPr>
    </w:lvl>
  </w:abstractNum>
  <w:abstractNum w:abstractNumId="20">
    <w:nsid w:val="542F5C82"/>
    <w:multiLevelType w:val="hybridMultilevel"/>
    <w:tmpl w:val="735C08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7633674"/>
    <w:multiLevelType w:val="hybridMultilevel"/>
    <w:tmpl w:val="7186AA9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D3D479B"/>
    <w:multiLevelType w:val="hybridMultilevel"/>
    <w:tmpl w:val="95C42B0A"/>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0723947"/>
    <w:multiLevelType w:val="hybridMultilevel"/>
    <w:tmpl w:val="465EE3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1AA766B"/>
    <w:multiLevelType w:val="multilevel"/>
    <w:tmpl w:val="6A06C768"/>
    <w:lvl w:ilvl="0">
      <w:start w:val="1"/>
      <w:numFmt w:val="decimal"/>
      <w:lvlText w:val="(%1)"/>
      <w:lvlJc w:val="left"/>
      <w:pPr>
        <w:tabs>
          <w:tab w:val="num" w:pos="700"/>
        </w:tabs>
        <w:ind w:left="340"/>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65A817E8"/>
    <w:multiLevelType w:val="singleLevel"/>
    <w:tmpl w:val="48B0FC3E"/>
    <w:lvl w:ilvl="0">
      <w:start w:val="1"/>
      <w:numFmt w:val="bullet"/>
      <w:pStyle w:val="ListDash3"/>
      <w:lvlText w:val="–"/>
      <w:lvlJc w:val="left"/>
      <w:pPr>
        <w:tabs>
          <w:tab w:val="num" w:pos="1134"/>
        </w:tabs>
        <w:ind w:left="1134" w:hanging="283"/>
      </w:pPr>
      <w:rPr>
        <w:rFonts w:ascii="Times New Roman" w:hAnsi="Times New Roman"/>
      </w:rPr>
    </w:lvl>
  </w:abstractNum>
  <w:abstractNum w:abstractNumId="26">
    <w:nsid w:val="720E570B"/>
    <w:multiLevelType w:val="hybridMultilevel"/>
    <w:tmpl w:val="BCACA2B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737D5109"/>
    <w:multiLevelType w:val="hybridMultilevel"/>
    <w:tmpl w:val="1EB2E3B8"/>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3C35BF6"/>
    <w:multiLevelType w:val="hybridMultilevel"/>
    <w:tmpl w:val="000E689A"/>
    <w:lvl w:ilvl="0">
      <w:start w:val="1"/>
      <w:numFmt w:val="decimal"/>
      <w:lvlText w:val="(%1)"/>
      <w:lvlJc w:val="left"/>
      <w:pPr>
        <w:tabs>
          <w:tab w:val="num" w:pos="284"/>
        </w:tabs>
        <w:ind w:left="284"/>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0"/>
  </w:num>
  <w:num w:numId="3">
    <w:abstractNumId w:val="3"/>
  </w:num>
  <w:num w:numId="4">
    <w:abstractNumId w:val="7"/>
  </w:num>
  <w:num w:numId="5">
    <w:abstractNumId w:val="1"/>
  </w:num>
  <w:num w:numId="6">
    <w:abstractNumId w:val="26"/>
  </w:num>
  <w:num w:numId="7">
    <w:abstractNumId w:val="4"/>
  </w:num>
  <w:num w:numId="8">
    <w:abstractNumId w:val="10"/>
  </w:num>
  <w:num w:numId="9">
    <w:abstractNumId w:val="14"/>
  </w:num>
  <w:num w:numId="10">
    <w:abstractNumId w:val="22"/>
  </w:num>
  <w:num w:numId="11">
    <w:abstractNumId w:val="9"/>
  </w:num>
  <w:num w:numId="12">
    <w:abstractNumId w:val="11"/>
  </w:num>
  <w:num w:numId="13">
    <w:abstractNumId w:val="28"/>
  </w:num>
  <w:num w:numId="14">
    <w:abstractNumId w:val="12"/>
  </w:num>
  <w:num w:numId="15">
    <w:abstractNumId w:val="5"/>
  </w:num>
  <w:num w:numId="16">
    <w:abstractNumId w:val="21"/>
  </w:num>
  <w:num w:numId="17">
    <w:abstractNumId w:val="15"/>
  </w:num>
  <w:num w:numId="18">
    <w:abstractNumId w:val="6"/>
  </w:num>
  <w:num w:numId="19">
    <w:abstractNumId w:val="24"/>
  </w:num>
  <w:num w:numId="20">
    <w:abstractNumId w:val="16"/>
  </w:num>
  <w:num w:numId="21">
    <w:abstractNumId w:val="23"/>
  </w:num>
  <w:num w:numId="22">
    <w:abstractNumId w:val="2"/>
  </w:num>
  <w:num w:numId="23">
    <w:abstractNumId w:val="20"/>
  </w:num>
  <w:num w:numId="24">
    <w:abstractNumId w:val="8"/>
  </w:num>
  <w:num w:numId="25">
    <w:abstractNumId w:val="13"/>
  </w:num>
  <w:num w:numId="26">
    <w:abstractNumId w:val="19"/>
  </w:num>
  <w:num w:numId="27">
    <w:abstractNumId w:val="17"/>
  </w:num>
  <w:num w:numId="28">
    <w:abstractNumId w:val="27"/>
  </w:num>
  <w:num w:numId="29">
    <w:abstractNumId w:val="25"/>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efaultTabStop w:val="708"/>
  <w:hyphenationZone w:val="425"/>
  <w:doNotHyphenateCaps/>
  <w:drawingGridHorizontalSpacing w:val="0"/>
  <w:drawingGridVerticalSpacing w:val="0"/>
  <w:displayHorizontalDrawingGridEvery w:val="0"/>
  <w:displayVerticalDrawingGridEvery w:val="0"/>
  <w:noPunctuationKerning/>
  <w:characterSpacingControl w:val="doNotCompress"/>
  <w:doNotValidateAgainstSchema/>
  <w:doNotDemarcateInvalidXml/>
  <w:compat>
    <w:doNotUseIndentAsNumberingTabStop/>
    <w:allowSpaceOfSameStyleInTable/>
    <w:splitPgBreakAndParaMark/>
    <w:useAnsiKerningPairs/>
  </w:compat>
  <w:rsids>
    <w:rsidRoot w:val="002C0DE2"/>
    <w:rsid w:val="00000714"/>
    <w:rsid w:val="000165D6"/>
    <w:rsid w:val="00017321"/>
    <w:rsid w:val="00051ACA"/>
    <w:rsid w:val="00093502"/>
    <w:rsid w:val="000946E5"/>
    <w:rsid w:val="000C6DF1"/>
    <w:rsid w:val="0015376E"/>
    <w:rsid w:val="00162A4D"/>
    <w:rsid w:val="001665EC"/>
    <w:rsid w:val="00195483"/>
    <w:rsid w:val="001F2B39"/>
    <w:rsid w:val="001F520F"/>
    <w:rsid w:val="001F6CA2"/>
    <w:rsid w:val="0021759B"/>
    <w:rsid w:val="0022347F"/>
    <w:rsid w:val="00231C6F"/>
    <w:rsid w:val="002A1A65"/>
    <w:rsid w:val="002A5C7C"/>
    <w:rsid w:val="002B57A8"/>
    <w:rsid w:val="002C0DE2"/>
    <w:rsid w:val="002D6874"/>
    <w:rsid w:val="003115E7"/>
    <w:rsid w:val="00326D33"/>
    <w:rsid w:val="00346136"/>
    <w:rsid w:val="00356EB0"/>
    <w:rsid w:val="00370D6D"/>
    <w:rsid w:val="00375077"/>
    <w:rsid w:val="00376862"/>
    <w:rsid w:val="003A0D4F"/>
    <w:rsid w:val="003A31AA"/>
    <w:rsid w:val="003B6E36"/>
    <w:rsid w:val="003C17FC"/>
    <w:rsid w:val="003C69CD"/>
    <w:rsid w:val="003D00C9"/>
    <w:rsid w:val="003D5EDB"/>
    <w:rsid w:val="003E7F63"/>
    <w:rsid w:val="004238B5"/>
    <w:rsid w:val="004242F1"/>
    <w:rsid w:val="004312E0"/>
    <w:rsid w:val="00440DE6"/>
    <w:rsid w:val="00442B9E"/>
    <w:rsid w:val="0044410B"/>
    <w:rsid w:val="0045112C"/>
    <w:rsid w:val="004577AD"/>
    <w:rsid w:val="004663BA"/>
    <w:rsid w:val="00467D02"/>
    <w:rsid w:val="0047149C"/>
    <w:rsid w:val="00481708"/>
    <w:rsid w:val="00483F96"/>
    <w:rsid w:val="004870D4"/>
    <w:rsid w:val="00490191"/>
    <w:rsid w:val="004A26AA"/>
    <w:rsid w:val="004A3E6F"/>
    <w:rsid w:val="004B63DD"/>
    <w:rsid w:val="004C133F"/>
    <w:rsid w:val="004D5D8E"/>
    <w:rsid w:val="004F7361"/>
    <w:rsid w:val="0051005C"/>
    <w:rsid w:val="00516764"/>
    <w:rsid w:val="00516F22"/>
    <w:rsid w:val="005552FC"/>
    <w:rsid w:val="00562406"/>
    <w:rsid w:val="0058103C"/>
    <w:rsid w:val="005954B9"/>
    <w:rsid w:val="005A0EA0"/>
    <w:rsid w:val="005C079C"/>
    <w:rsid w:val="005D040D"/>
    <w:rsid w:val="005D46F9"/>
    <w:rsid w:val="00616747"/>
    <w:rsid w:val="006246C9"/>
    <w:rsid w:val="00663A69"/>
    <w:rsid w:val="00672C72"/>
    <w:rsid w:val="00680658"/>
    <w:rsid w:val="0068244A"/>
    <w:rsid w:val="00693E2D"/>
    <w:rsid w:val="0069599D"/>
    <w:rsid w:val="006A4027"/>
    <w:rsid w:val="006B0582"/>
    <w:rsid w:val="006C61C2"/>
    <w:rsid w:val="006F2F7B"/>
    <w:rsid w:val="006F4C18"/>
    <w:rsid w:val="006F5E3D"/>
    <w:rsid w:val="006F79B1"/>
    <w:rsid w:val="00705982"/>
    <w:rsid w:val="0070620C"/>
    <w:rsid w:val="00725993"/>
    <w:rsid w:val="007434A7"/>
    <w:rsid w:val="00767752"/>
    <w:rsid w:val="007F47CA"/>
    <w:rsid w:val="008341CD"/>
    <w:rsid w:val="00840CAE"/>
    <w:rsid w:val="00864245"/>
    <w:rsid w:val="00872914"/>
    <w:rsid w:val="00882CA6"/>
    <w:rsid w:val="00901CB1"/>
    <w:rsid w:val="00901E4F"/>
    <w:rsid w:val="009168A3"/>
    <w:rsid w:val="00921ABA"/>
    <w:rsid w:val="00921AF2"/>
    <w:rsid w:val="00934471"/>
    <w:rsid w:val="00943F91"/>
    <w:rsid w:val="00987980"/>
    <w:rsid w:val="00993986"/>
    <w:rsid w:val="009A3AEA"/>
    <w:rsid w:val="009A3F74"/>
    <w:rsid w:val="009A4031"/>
    <w:rsid w:val="009B0932"/>
    <w:rsid w:val="009B2A60"/>
    <w:rsid w:val="009B3438"/>
    <w:rsid w:val="009E6239"/>
    <w:rsid w:val="00A10911"/>
    <w:rsid w:val="00A55E63"/>
    <w:rsid w:val="00A6173F"/>
    <w:rsid w:val="00AC60A3"/>
    <w:rsid w:val="00AD09B8"/>
    <w:rsid w:val="00B253E0"/>
    <w:rsid w:val="00B26D82"/>
    <w:rsid w:val="00B42141"/>
    <w:rsid w:val="00B46E16"/>
    <w:rsid w:val="00B51EDE"/>
    <w:rsid w:val="00B646F7"/>
    <w:rsid w:val="00B80E85"/>
    <w:rsid w:val="00B8743D"/>
    <w:rsid w:val="00BA5E74"/>
    <w:rsid w:val="00BC029B"/>
    <w:rsid w:val="00BE7904"/>
    <w:rsid w:val="00C107D2"/>
    <w:rsid w:val="00C31D87"/>
    <w:rsid w:val="00C56215"/>
    <w:rsid w:val="00C6646C"/>
    <w:rsid w:val="00C66974"/>
    <w:rsid w:val="00C967C2"/>
    <w:rsid w:val="00CA4B6E"/>
    <w:rsid w:val="00CB74E0"/>
    <w:rsid w:val="00CB7549"/>
    <w:rsid w:val="00CE56B2"/>
    <w:rsid w:val="00CE5ED2"/>
    <w:rsid w:val="00CF5C3D"/>
    <w:rsid w:val="00D03838"/>
    <w:rsid w:val="00D15D3A"/>
    <w:rsid w:val="00D30D7A"/>
    <w:rsid w:val="00D70393"/>
    <w:rsid w:val="00D73EFE"/>
    <w:rsid w:val="00D85ED8"/>
    <w:rsid w:val="00DA016B"/>
    <w:rsid w:val="00DA3D56"/>
    <w:rsid w:val="00DC4218"/>
    <w:rsid w:val="00DD6331"/>
    <w:rsid w:val="00DD7A79"/>
    <w:rsid w:val="00DE7162"/>
    <w:rsid w:val="00E24D92"/>
    <w:rsid w:val="00E30F27"/>
    <w:rsid w:val="00E32008"/>
    <w:rsid w:val="00E417B7"/>
    <w:rsid w:val="00E52E6C"/>
    <w:rsid w:val="00E646F8"/>
    <w:rsid w:val="00E7509D"/>
    <w:rsid w:val="00E813DD"/>
    <w:rsid w:val="00E85F73"/>
    <w:rsid w:val="00E91506"/>
    <w:rsid w:val="00ED434F"/>
    <w:rsid w:val="00EE7048"/>
    <w:rsid w:val="00F0029A"/>
    <w:rsid w:val="00F02728"/>
    <w:rsid w:val="00F05DD3"/>
    <w:rsid w:val="00F123D4"/>
    <w:rsid w:val="00F3596A"/>
    <w:rsid w:val="00F717C6"/>
    <w:rsid w:val="00F73F3C"/>
    <w:rsid w:val="00F762E8"/>
    <w:rsid w:val="00F93695"/>
    <w:rsid w:val="00FC55B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10B"/>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Heading1">
    <w:name w:val="heading 1"/>
    <w:basedOn w:val="Normal"/>
    <w:next w:val="Normal"/>
    <w:link w:val="Nadpis1Char"/>
    <w:uiPriority w:val="99"/>
    <w:qFormat/>
    <w:rsid w:val="003A31AA"/>
    <w:pPr>
      <w:keepNext/>
      <w:spacing w:before="240"/>
      <w:jc w:val="center"/>
      <w:outlineLvl w:val="0"/>
    </w:pPr>
    <w:rPr>
      <w:b/>
      <w:bCs/>
      <w:kern w:val="28"/>
    </w:rPr>
  </w:style>
  <w:style w:type="paragraph" w:styleId="Heading2">
    <w:name w:val="heading 2"/>
    <w:basedOn w:val="Normal"/>
    <w:next w:val="Normal"/>
    <w:link w:val="Nadpis2Char"/>
    <w:uiPriority w:val="99"/>
    <w:qFormat/>
    <w:rsid w:val="003A31AA"/>
    <w:pPr>
      <w:keepNext/>
      <w:widowControl w:val="0"/>
      <w:ind w:left="705" w:hanging="705"/>
      <w:jc w:val="center"/>
      <w:outlineLvl w:val="1"/>
    </w:pPr>
    <w:rPr>
      <w:rFonts w:ascii="Bookman Old Style" w:hAnsi="Bookman Old Style" w:cs="Bookman Old Style"/>
      <w:b/>
      <w:bCs/>
      <w:spacing w:val="-5"/>
    </w:rPr>
  </w:style>
  <w:style w:type="paragraph" w:styleId="Heading3">
    <w:name w:val="heading 3"/>
    <w:basedOn w:val="Normal"/>
    <w:next w:val="Normal"/>
    <w:link w:val="Nadpis3Char"/>
    <w:uiPriority w:val="99"/>
    <w:qFormat/>
    <w:rsid w:val="003A31AA"/>
    <w:pPr>
      <w:keepNext/>
      <w:jc w:val="center"/>
      <w:outlineLvl w:val="2"/>
    </w:pPr>
    <w:rPr>
      <w:b/>
      <w:bCs/>
      <w:color w:val="FF0000"/>
      <w:sz w:val="20"/>
      <w:szCs w:val="20"/>
    </w:rPr>
  </w:style>
  <w:style w:type="paragraph" w:styleId="Heading4">
    <w:name w:val="heading 4"/>
    <w:basedOn w:val="Normal"/>
    <w:next w:val="Normal"/>
    <w:link w:val="Nadpis4Char"/>
    <w:uiPriority w:val="99"/>
    <w:qFormat/>
    <w:rsid w:val="003A31AA"/>
    <w:pPr>
      <w:keepNext/>
      <w:spacing w:after="360"/>
      <w:ind w:left="213"/>
      <w:jc w:val="left"/>
      <w:outlineLvl w:val="3"/>
    </w:pPr>
    <w:rPr>
      <w:b/>
      <w:bCs/>
    </w:rPr>
  </w:style>
  <w:style w:type="paragraph" w:styleId="Heading5">
    <w:name w:val="heading 5"/>
    <w:basedOn w:val="Normal"/>
    <w:next w:val="Normal"/>
    <w:link w:val="Nadpis5Char"/>
    <w:uiPriority w:val="99"/>
    <w:qFormat/>
    <w:rsid w:val="003A31AA"/>
    <w:pPr>
      <w:keepNext/>
      <w:jc w:val="cente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bCs/>
      <w:kern w:val="32"/>
      <w:sz w:val="32"/>
      <w:szCs w:val="32"/>
      <w:rtl w:val="0"/>
      <w:cs w:val="0"/>
      <w:lang w:val="x-none" w:eastAsia="cs-CZ"/>
    </w:rPr>
  </w:style>
  <w:style w:type="character" w:customStyle="1" w:styleId="Nadpis2Char">
    <w:name w:val="Nadpis 2 Char"/>
    <w:basedOn w:val="DefaultParagraphFont"/>
    <w:link w:val="Heading2"/>
    <w:uiPriority w:val="9"/>
    <w:semiHidden/>
    <w:locked/>
    <w:rPr>
      <w:rFonts w:ascii="Cambria" w:hAnsi="Cambria" w:cs="Times New Roman"/>
      <w:b/>
      <w:bCs/>
      <w:i/>
      <w:iCs/>
      <w:sz w:val="28"/>
      <w:szCs w:val="28"/>
      <w:rtl w:val="0"/>
      <w:cs w:val="0"/>
      <w:lang w:val="x-none" w:eastAsia="cs-CZ"/>
    </w:rPr>
  </w:style>
  <w:style w:type="character" w:customStyle="1" w:styleId="Nadpis3Char">
    <w:name w:val="Nadpis 3 Char"/>
    <w:basedOn w:val="DefaultParagraphFont"/>
    <w:link w:val="Heading3"/>
    <w:uiPriority w:val="9"/>
    <w:semiHidden/>
    <w:locked/>
    <w:rPr>
      <w:rFonts w:ascii="Cambria" w:hAnsi="Cambria" w:cs="Times New Roman"/>
      <w:b/>
      <w:bCs/>
      <w:sz w:val="26"/>
      <w:szCs w:val="26"/>
      <w:rtl w:val="0"/>
      <w:cs w:val="0"/>
      <w:lang w:val="x-none" w:eastAsia="cs-CZ"/>
    </w:rPr>
  </w:style>
  <w:style w:type="character" w:customStyle="1" w:styleId="Nadpis4Char">
    <w:name w:val="Nadpis 4 Char"/>
    <w:basedOn w:val="DefaultParagraphFont"/>
    <w:link w:val="Heading4"/>
    <w:uiPriority w:val="9"/>
    <w:semiHidden/>
    <w:locked/>
    <w:rPr>
      <w:rFonts w:ascii="Calibri" w:hAnsi="Calibri" w:cs="Times New Roman"/>
      <w:b/>
      <w:bCs/>
      <w:sz w:val="28"/>
      <w:szCs w:val="28"/>
      <w:rtl w:val="0"/>
      <w:cs w:val="0"/>
      <w:lang w:val="x-none" w:eastAsia="cs-CZ"/>
    </w:rPr>
  </w:style>
  <w:style w:type="character" w:customStyle="1" w:styleId="Nadpis5Char">
    <w:name w:val="Nadpis 5 Char"/>
    <w:basedOn w:val="DefaultParagraphFont"/>
    <w:link w:val="Heading5"/>
    <w:uiPriority w:val="9"/>
    <w:semiHidden/>
    <w:locked/>
    <w:rPr>
      <w:rFonts w:ascii="Calibri" w:hAnsi="Calibri" w:cs="Times New Roman"/>
      <w:b/>
      <w:bCs/>
      <w:i/>
      <w:iCs/>
      <w:sz w:val="26"/>
      <w:szCs w:val="26"/>
      <w:rtl w:val="0"/>
      <w:cs w:val="0"/>
      <w:lang w:val="x-none" w:eastAsia="cs-CZ"/>
    </w:rPr>
  </w:style>
  <w:style w:type="paragraph" w:styleId="BalloonText">
    <w:name w:val="Balloon Text"/>
    <w:basedOn w:val="Normal"/>
    <w:link w:val="TextbublinyChar"/>
    <w:uiPriority w:val="99"/>
    <w:semiHidden/>
    <w:rsid w:val="00051AC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cs="Times New Roman"/>
      <w:sz w:val="2"/>
      <w:rtl w:val="0"/>
      <w:cs w:val="0"/>
      <w:lang w:val="x-none" w:eastAsia="cs-CZ"/>
    </w:rPr>
  </w:style>
  <w:style w:type="paragraph" w:styleId="PlainText">
    <w:name w:val="Plain Text"/>
    <w:basedOn w:val="Normal"/>
    <w:link w:val="ObyajntextChar"/>
    <w:uiPriority w:val="99"/>
    <w:rsid w:val="003A31AA"/>
    <w:pPr>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lang w:val="x-none" w:eastAsia="cs-CZ"/>
    </w:rPr>
  </w:style>
  <w:style w:type="paragraph" w:customStyle="1" w:styleId="BodyText21">
    <w:name w:val="Body Text 21"/>
    <w:basedOn w:val="Normal"/>
    <w:uiPriority w:val="99"/>
    <w:rsid w:val="003A31AA"/>
    <w:pPr>
      <w:spacing w:before="120" w:line="240" w:lineRule="atLeast"/>
      <w:jc w:val="both"/>
    </w:pPr>
    <w:rPr>
      <w:sz w:val="20"/>
      <w:szCs w:val="20"/>
    </w:rPr>
  </w:style>
  <w:style w:type="paragraph" w:styleId="Footer">
    <w:name w:val="footer"/>
    <w:basedOn w:val="Normal"/>
    <w:link w:val="PtaChar"/>
    <w:uiPriority w:val="99"/>
    <w:rsid w:val="003A31AA"/>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lang w:val="x-none" w:eastAsia="cs-CZ"/>
    </w:rPr>
  </w:style>
  <w:style w:type="character" w:styleId="PageNumber">
    <w:name w:val="page number"/>
    <w:basedOn w:val="DefaultParagraphFont"/>
    <w:uiPriority w:val="99"/>
    <w:rsid w:val="003A31AA"/>
    <w:rPr>
      <w:rFonts w:cs="Times New Roman"/>
      <w:rtl w:val="0"/>
      <w:cs w:val="0"/>
    </w:rPr>
  </w:style>
  <w:style w:type="paragraph" w:styleId="BodyText">
    <w:name w:val="Body Text"/>
    <w:basedOn w:val="Normal"/>
    <w:link w:val="ZkladntextChar"/>
    <w:uiPriority w:val="99"/>
    <w:rsid w:val="003A31AA"/>
    <w:pPr>
      <w:jc w:val="both"/>
    </w:pPr>
  </w:style>
  <w:style w:type="character" w:customStyle="1" w:styleId="ZkladntextChar">
    <w:name w:val="Základný text Char"/>
    <w:basedOn w:val="DefaultParagraphFont"/>
    <w:link w:val="BodyText"/>
    <w:uiPriority w:val="99"/>
    <w:semiHidden/>
    <w:locked/>
    <w:rPr>
      <w:rFonts w:cs="Times New Roman"/>
      <w:sz w:val="24"/>
      <w:szCs w:val="24"/>
      <w:rtl w:val="0"/>
      <w:cs w:val="0"/>
      <w:lang w:val="x-none" w:eastAsia="cs-CZ"/>
    </w:rPr>
  </w:style>
  <w:style w:type="paragraph" w:styleId="BodyTextIndent">
    <w:name w:val="Body Text Indent"/>
    <w:basedOn w:val="Normal"/>
    <w:link w:val="ZarkazkladnhotextuChar"/>
    <w:uiPriority w:val="99"/>
    <w:rsid w:val="003A31AA"/>
    <w:pPr>
      <w:jc w:val="both"/>
    </w:pPr>
    <w:rPr>
      <w:color w:val="FF0000"/>
      <w:sz w:val="20"/>
      <w:szCs w:val="20"/>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lang w:val="x-none" w:eastAsia="cs-CZ"/>
    </w:rPr>
  </w:style>
  <w:style w:type="paragraph" w:styleId="BodyTextIndent2">
    <w:name w:val="Body Text Indent 2"/>
    <w:basedOn w:val="Normal"/>
    <w:link w:val="Zarkazkladnhotextu2Char"/>
    <w:uiPriority w:val="99"/>
    <w:rsid w:val="003A31AA"/>
    <w:pPr>
      <w:ind w:left="-44"/>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lang w:val="x-none" w:eastAsia="cs-CZ"/>
    </w:rPr>
  </w:style>
  <w:style w:type="paragraph" w:styleId="BodyTextIndent3">
    <w:name w:val="Body Text Indent 3"/>
    <w:basedOn w:val="Normal"/>
    <w:link w:val="Zarkazkladnhotextu3Char"/>
    <w:uiPriority w:val="99"/>
    <w:rsid w:val="003A31AA"/>
    <w:pPr>
      <w:ind w:left="426" w:hanging="426"/>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x-none" w:eastAsia="cs-CZ"/>
    </w:rPr>
  </w:style>
  <w:style w:type="paragraph" w:styleId="Title">
    <w:name w:val="Title"/>
    <w:basedOn w:val="Normal"/>
    <w:link w:val="NzovChar"/>
    <w:uiPriority w:val="99"/>
    <w:qFormat/>
    <w:rsid w:val="003A31AA"/>
    <w:pPr>
      <w:jc w:val="center"/>
    </w:pPr>
    <w:rPr>
      <w:i/>
      <w:iCs/>
      <w:sz w:val="20"/>
      <w:szCs w:val="20"/>
    </w:rPr>
  </w:style>
  <w:style w:type="character" w:customStyle="1" w:styleId="NzovChar">
    <w:name w:val="Názov Char"/>
    <w:basedOn w:val="DefaultParagraphFont"/>
    <w:link w:val="Title"/>
    <w:uiPriority w:val="10"/>
    <w:locked/>
    <w:rPr>
      <w:rFonts w:ascii="Cambria" w:hAnsi="Cambria" w:cs="Times New Roman"/>
      <w:b/>
      <w:bCs/>
      <w:kern w:val="28"/>
      <w:sz w:val="32"/>
      <w:szCs w:val="32"/>
      <w:rtl w:val="0"/>
      <w:cs w:val="0"/>
      <w:lang w:val="x-none" w:eastAsia="cs-CZ"/>
    </w:rPr>
  </w:style>
  <w:style w:type="character" w:customStyle="1" w:styleId="Znackapoznpodcarou">
    <w:name w:val="Znacka pozn. pod carou"/>
    <w:basedOn w:val="DefaultParagraphFont"/>
    <w:uiPriority w:val="99"/>
    <w:rsid w:val="003A31AA"/>
    <w:rPr>
      <w:rFonts w:cs="Times New Roman"/>
      <w:vertAlign w:val="superscript"/>
      <w:rtl w:val="0"/>
      <w:cs w:val="0"/>
    </w:rPr>
  </w:style>
  <w:style w:type="paragraph" w:customStyle="1" w:styleId="Textpoznpodcarou">
    <w:name w:val="Text pozn. pod carou"/>
    <w:basedOn w:val="Normal"/>
    <w:uiPriority w:val="99"/>
    <w:rsid w:val="003A31AA"/>
    <w:pPr>
      <w:jc w:val="left"/>
    </w:pPr>
    <w:rPr>
      <w:sz w:val="20"/>
      <w:szCs w:val="20"/>
      <w:lang w:val="cs-CZ"/>
    </w:rPr>
  </w:style>
  <w:style w:type="paragraph" w:customStyle="1" w:styleId="odsek">
    <w:name w:val="odsek"/>
    <w:basedOn w:val="Normal"/>
    <w:uiPriority w:val="99"/>
    <w:rsid w:val="003A31AA"/>
    <w:pPr>
      <w:spacing w:before="240"/>
      <w:jc w:val="both"/>
    </w:pPr>
    <w:rPr>
      <w:color w:val="000000"/>
    </w:rPr>
  </w:style>
  <w:style w:type="character" w:styleId="FootnoteReference">
    <w:name w:val="footnote reference"/>
    <w:aliases w:val="-E Fußnotenzeichen,BVI fnr,Footnote reference number,Footnote symbol,SUPERS,note TESI,number"/>
    <w:basedOn w:val="DefaultParagraphFont"/>
    <w:uiPriority w:val="99"/>
    <w:semiHidden/>
    <w:rsid w:val="003A31AA"/>
    <w:rPr>
      <w:rFonts w:cs="Times New Roman"/>
      <w:vertAlign w:val="superscript"/>
      <w:rtl w:val="0"/>
      <w:cs w:val="0"/>
    </w:rPr>
  </w:style>
  <w:style w:type="paragraph" w:styleId="FootnoteText">
    <w:name w:val="footnote text"/>
    <w:basedOn w:val="Normal"/>
    <w:link w:val="TextpoznmkypodiarouChar"/>
    <w:uiPriority w:val="99"/>
    <w:semiHidden/>
    <w:rsid w:val="003A31AA"/>
    <w:pPr>
      <w:jc w:val="left"/>
    </w:p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lang w:val="x-none" w:eastAsia="cs-CZ"/>
    </w:rPr>
  </w:style>
  <w:style w:type="paragraph" w:customStyle="1" w:styleId="pismeno">
    <w:name w:val="pismeno"/>
    <w:basedOn w:val="Normal"/>
    <w:uiPriority w:val="99"/>
    <w:rsid w:val="003A31AA"/>
    <w:pPr>
      <w:numPr>
        <w:numId w:val="3"/>
      </w:numPr>
      <w:tabs>
        <w:tab w:val="num" w:pos="360"/>
        <w:tab w:val="left" w:pos="426"/>
      </w:tabs>
      <w:spacing w:before="60"/>
      <w:ind w:left="340" w:hanging="340"/>
      <w:jc w:val="both"/>
    </w:pPr>
  </w:style>
  <w:style w:type="paragraph" w:customStyle="1" w:styleId="zaklad">
    <w:name w:val="zaklad"/>
    <w:basedOn w:val="BodyText"/>
    <w:uiPriority w:val="99"/>
    <w:rsid w:val="003A31AA"/>
    <w:pPr>
      <w:widowControl w:val="0"/>
      <w:jc w:val="left"/>
    </w:pPr>
  </w:style>
  <w:style w:type="paragraph" w:styleId="DocumentMap">
    <w:name w:val="Document Map"/>
    <w:basedOn w:val="Normal"/>
    <w:link w:val="truktradokumentuChar"/>
    <w:uiPriority w:val="99"/>
    <w:semiHidden/>
    <w:rsid w:val="003A31AA"/>
    <w:pPr>
      <w:shd w:val="clear" w:color="auto" w:fill="000080"/>
      <w:jc w:val="left"/>
    </w:pPr>
    <w:rPr>
      <w:rFonts w:ascii="Tahoma" w:hAnsi="Tahoma" w:cs="Tahoma"/>
    </w:rPr>
  </w:style>
  <w:style w:type="character" w:customStyle="1" w:styleId="truktradokumentuChar">
    <w:name w:val="Štruktúra dokumentu Char"/>
    <w:basedOn w:val="DefaultParagraphFont"/>
    <w:link w:val="DocumentMap"/>
    <w:uiPriority w:val="99"/>
    <w:semiHidden/>
    <w:locked/>
    <w:rPr>
      <w:rFonts w:cs="Times New Roman"/>
      <w:sz w:val="2"/>
      <w:rtl w:val="0"/>
      <w:cs w:val="0"/>
      <w:lang w:val="x-none" w:eastAsia="cs-CZ"/>
    </w:rPr>
  </w:style>
  <w:style w:type="paragraph" w:styleId="BodyText2">
    <w:name w:val="Body Text 2"/>
    <w:basedOn w:val="Normal"/>
    <w:link w:val="Zkladntext2Char"/>
    <w:uiPriority w:val="99"/>
    <w:rsid w:val="003A31AA"/>
    <w:pPr>
      <w:jc w:val="center"/>
    </w:pPr>
    <w:rPr>
      <w:color w:val="339966"/>
    </w:rPr>
  </w:style>
  <w:style w:type="character" w:customStyle="1" w:styleId="Zkladntext2Char">
    <w:name w:val="Základný text 2 Char"/>
    <w:basedOn w:val="DefaultParagraphFont"/>
    <w:link w:val="BodyText2"/>
    <w:uiPriority w:val="99"/>
    <w:semiHidden/>
    <w:locked/>
    <w:rPr>
      <w:rFonts w:cs="Times New Roman"/>
      <w:sz w:val="24"/>
      <w:szCs w:val="24"/>
      <w:rtl w:val="0"/>
      <w:cs w:val="0"/>
      <w:lang w:val="x-none" w:eastAsia="cs-CZ"/>
    </w:rPr>
  </w:style>
  <w:style w:type="paragraph" w:styleId="BodyText3">
    <w:name w:val="Body Text 3"/>
    <w:basedOn w:val="Normal"/>
    <w:link w:val="Zkladntext3Char"/>
    <w:uiPriority w:val="99"/>
    <w:rsid w:val="003A31AA"/>
    <w:pPr>
      <w:jc w:val="both"/>
    </w:pPr>
    <w:rPr>
      <w:color w:val="FF0000"/>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x-none" w:eastAsia="cs-CZ"/>
    </w:rPr>
  </w:style>
  <w:style w:type="paragraph" w:styleId="CommentText">
    <w:name w:val="annotation text"/>
    <w:basedOn w:val="Normal"/>
    <w:link w:val="TextkomentraChar"/>
    <w:uiPriority w:val="99"/>
    <w:semiHidden/>
    <w:rsid w:val="003A31AA"/>
    <w:pPr>
      <w:jc w:val="left"/>
    </w:pPr>
    <w:rPr>
      <w:lang w:eastAsia="en-US"/>
    </w:rPr>
  </w:style>
  <w:style w:type="character" w:customStyle="1" w:styleId="TextkomentraChar">
    <w:name w:val="Text komentára Char"/>
    <w:basedOn w:val="DefaultParagraphFont"/>
    <w:link w:val="CommentText"/>
    <w:uiPriority w:val="99"/>
    <w:semiHidden/>
    <w:locked/>
    <w:rPr>
      <w:rFonts w:cs="Times New Roman"/>
      <w:sz w:val="20"/>
      <w:szCs w:val="20"/>
      <w:rtl w:val="0"/>
      <w:cs w:val="0"/>
      <w:lang w:val="x-none" w:eastAsia="cs-CZ"/>
    </w:rPr>
  </w:style>
  <w:style w:type="character" w:styleId="CommentReference">
    <w:name w:val="annotation reference"/>
    <w:basedOn w:val="DefaultParagraphFont"/>
    <w:uiPriority w:val="99"/>
    <w:semiHidden/>
    <w:rsid w:val="003A31AA"/>
    <w:rPr>
      <w:rFonts w:cs="Times New Roman"/>
      <w:sz w:val="16"/>
      <w:szCs w:val="16"/>
      <w:rtl w:val="0"/>
      <w:cs w:val="0"/>
    </w:rPr>
  </w:style>
  <w:style w:type="paragraph" w:customStyle="1" w:styleId="Normln">
    <w:name w:val="Norm‡ln’"/>
    <w:uiPriority w:val="99"/>
    <w:rsid w:val="003A31AA"/>
    <w:pPr>
      <w:framePr w:wrap="auto"/>
      <w:widowControl/>
      <w:autoSpaceDE/>
      <w:autoSpaceDN/>
      <w:adjustRightInd/>
      <w:ind w:left="0" w:right="0"/>
      <w:jc w:val="left"/>
      <w:textAlignment w:val="auto"/>
    </w:pPr>
    <w:rPr>
      <w:rFonts w:cs="Times New Roman"/>
      <w:sz w:val="20"/>
      <w:szCs w:val="20"/>
      <w:rtl w:val="0"/>
      <w:cs w:val="0"/>
      <w:lang w:val="cs-CZ" w:eastAsia="en-US" w:bidi="ar-SA"/>
    </w:rPr>
  </w:style>
  <w:style w:type="paragraph" w:customStyle="1" w:styleId="Zkladntext3">
    <w:name w:val="Z‡kladn’ text 3"/>
    <w:basedOn w:val="Normln"/>
    <w:uiPriority w:val="99"/>
    <w:rsid w:val="003A31AA"/>
    <w:pPr>
      <w:jc w:val="center"/>
    </w:pPr>
    <w:rPr>
      <w:sz w:val="24"/>
      <w:szCs w:val="24"/>
    </w:rPr>
  </w:style>
  <w:style w:type="paragraph" w:customStyle="1" w:styleId="Zkladntext2">
    <w:name w:val="Z‡kladn’ text 2"/>
    <w:basedOn w:val="Normal"/>
    <w:uiPriority w:val="99"/>
    <w:rsid w:val="003A31AA"/>
    <w:pPr>
      <w:jc w:val="left"/>
    </w:pPr>
    <w:rPr>
      <w:lang w:val="cs-CZ" w:eastAsia="en-US"/>
    </w:rPr>
  </w:style>
  <w:style w:type="paragraph" w:customStyle="1" w:styleId="Textpsmene">
    <w:name w:val="Text písmene"/>
    <w:basedOn w:val="Normal"/>
    <w:uiPriority w:val="99"/>
    <w:rsid w:val="003A31AA"/>
    <w:pPr>
      <w:numPr>
        <w:numId w:val="4"/>
      </w:numPr>
      <w:tabs>
        <w:tab w:val="num" w:pos="360"/>
      </w:tabs>
      <w:ind w:left="360" w:hanging="360"/>
      <w:jc w:val="both"/>
    </w:pPr>
    <w:rPr>
      <w:lang w:val="cs-CZ" w:eastAsia="sk-SK"/>
    </w:rPr>
  </w:style>
  <w:style w:type="paragraph" w:customStyle="1" w:styleId="Zkladntext">
    <w:name w:val="Z‡kladn’ text"/>
    <w:basedOn w:val="Normal"/>
    <w:uiPriority w:val="99"/>
    <w:rsid w:val="00616747"/>
    <w:pPr>
      <w:jc w:val="left"/>
    </w:pPr>
    <w:rPr>
      <w:b/>
      <w:bCs/>
      <w:lang w:val="cs-CZ"/>
    </w:rPr>
  </w:style>
  <w:style w:type="paragraph" w:customStyle="1" w:styleId="Text1">
    <w:name w:val="Text 1"/>
    <w:basedOn w:val="Normal"/>
    <w:uiPriority w:val="99"/>
    <w:rsid w:val="006C61C2"/>
    <w:pPr>
      <w:spacing w:before="120" w:after="120" w:line="360" w:lineRule="auto"/>
      <w:ind w:left="850"/>
      <w:jc w:val="left"/>
    </w:pPr>
    <w:rPr>
      <w:lang w:eastAsia="en-US"/>
    </w:rPr>
  </w:style>
  <w:style w:type="paragraph" w:customStyle="1" w:styleId="QuotedText">
    <w:name w:val="Quoted Text"/>
    <w:basedOn w:val="Normal"/>
    <w:uiPriority w:val="99"/>
    <w:rsid w:val="006C61C2"/>
    <w:pPr>
      <w:spacing w:before="120" w:after="120" w:line="360" w:lineRule="auto"/>
      <w:ind w:left="1417"/>
      <w:jc w:val="left"/>
    </w:pPr>
    <w:rPr>
      <w:lang w:eastAsia="en-US"/>
    </w:rPr>
  </w:style>
  <w:style w:type="paragraph" w:customStyle="1" w:styleId="Point0">
    <w:name w:val="Point 0"/>
    <w:basedOn w:val="Normal"/>
    <w:uiPriority w:val="99"/>
    <w:rsid w:val="006C61C2"/>
    <w:pPr>
      <w:spacing w:before="120" w:after="120" w:line="360" w:lineRule="auto"/>
      <w:ind w:left="850" w:hanging="850"/>
      <w:jc w:val="left"/>
    </w:pPr>
    <w:rPr>
      <w:lang w:eastAsia="en-US"/>
    </w:rPr>
  </w:style>
  <w:style w:type="paragraph" w:customStyle="1" w:styleId="Point1">
    <w:name w:val="Point 1"/>
    <w:basedOn w:val="Normal"/>
    <w:uiPriority w:val="99"/>
    <w:rsid w:val="006C61C2"/>
    <w:pPr>
      <w:spacing w:before="120" w:after="120" w:line="360" w:lineRule="auto"/>
      <w:ind w:left="1417" w:hanging="567"/>
      <w:jc w:val="left"/>
    </w:pPr>
    <w:rPr>
      <w:lang w:eastAsia="en-US"/>
    </w:rPr>
  </w:style>
  <w:style w:type="paragraph" w:styleId="ListBullet2">
    <w:name w:val="List Bullet 2"/>
    <w:basedOn w:val="Normal"/>
    <w:uiPriority w:val="99"/>
    <w:rsid w:val="00BC029B"/>
    <w:pPr>
      <w:numPr>
        <w:numId w:val="26"/>
      </w:numPr>
      <w:tabs>
        <w:tab w:val="num" w:pos="1134"/>
      </w:tabs>
      <w:spacing w:before="120" w:after="120" w:line="360" w:lineRule="auto"/>
      <w:ind w:left="1134" w:hanging="283"/>
      <w:jc w:val="left"/>
    </w:pPr>
    <w:rPr>
      <w:lang w:eastAsia="en-US"/>
    </w:rPr>
  </w:style>
  <w:style w:type="paragraph" w:customStyle="1" w:styleId="ListDash2">
    <w:name w:val="List Dash 2"/>
    <w:basedOn w:val="Normal"/>
    <w:uiPriority w:val="99"/>
    <w:rsid w:val="00BC029B"/>
    <w:pPr>
      <w:numPr>
        <w:numId w:val="27"/>
      </w:numPr>
      <w:tabs>
        <w:tab w:val="num" w:pos="1134"/>
      </w:tabs>
      <w:spacing w:before="120" w:after="120" w:line="360" w:lineRule="auto"/>
      <w:ind w:left="1134" w:hanging="283"/>
      <w:jc w:val="left"/>
    </w:pPr>
    <w:rPr>
      <w:lang w:eastAsia="en-US"/>
    </w:rPr>
  </w:style>
  <w:style w:type="paragraph" w:customStyle="1" w:styleId="ListDash3">
    <w:name w:val="List Dash 3"/>
    <w:basedOn w:val="Normal"/>
    <w:uiPriority w:val="99"/>
    <w:rsid w:val="001F6CA2"/>
    <w:pPr>
      <w:numPr>
        <w:numId w:val="29"/>
      </w:numPr>
      <w:tabs>
        <w:tab w:val="num" w:pos="1134"/>
      </w:tabs>
      <w:spacing w:before="120" w:after="120" w:line="360" w:lineRule="auto"/>
      <w:ind w:left="1134" w:hanging="283"/>
      <w:jc w:val="left"/>
    </w:pPr>
    <w:rPr>
      <w:lang w:eastAsia="en-US"/>
    </w:rPr>
  </w:style>
  <w:style w:type="paragraph" w:customStyle="1" w:styleId="ListDash4">
    <w:name w:val="List Dash 4"/>
    <w:basedOn w:val="Normal"/>
    <w:uiPriority w:val="99"/>
    <w:rsid w:val="001F6CA2"/>
    <w:pPr>
      <w:numPr>
        <w:numId w:val="30"/>
      </w:numPr>
      <w:tabs>
        <w:tab w:val="num" w:pos="1134"/>
      </w:tabs>
      <w:spacing w:before="120" w:after="120" w:line="360" w:lineRule="auto"/>
      <w:ind w:left="1134" w:hanging="283"/>
      <w:jc w:val="left"/>
    </w:pPr>
    <w:rPr>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731</Words>
  <Characters>4007</Characters>
  <Application>Microsoft Office Word</Application>
  <DocSecurity>0</DocSecurity>
  <Lines>0</Lines>
  <Paragraphs>0</Paragraphs>
  <ScaleCrop>false</ScaleCrop>
  <Company>MZP</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(Table of Concordance)</dc:title>
  <dc:creator>MZP</dc:creator>
  <cp:lastModifiedBy>GaspJarm</cp:lastModifiedBy>
  <cp:revision>2</cp:revision>
  <cp:lastPrinted>2001-12-14T14:35:00Z</cp:lastPrinted>
  <dcterms:created xsi:type="dcterms:W3CDTF">2011-01-27T17:21:00Z</dcterms:created>
  <dcterms:modified xsi:type="dcterms:W3CDTF">2011-01-27T17:21:00Z</dcterms:modified>
</cp:coreProperties>
</file>