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F4792C" w:rsidP="0047287F">
      <w:pPr>
        <w:spacing w:before="120"/>
        <w:rPr>
          <w:rFonts w:ascii="Times New Roman" w:hAnsi="Times New Roman" w:cs="Times New Roman"/>
        </w:rPr>
      </w:pPr>
    </w:p>
    <w:p w:rsidR="004705C5" w:rsidP="0047287F">
      <w:pPr>
        <w:spacing w:before="120"/>
        <w:rPr>
          <w:rFonts w:ascii="Times New Roman" w:hAnsi="Times New Roman" w:cs="Times New Roman"/>
        </w:rPr>
      </w:pPr>
    </w:p>
    <w:p w:rsidR="004705C5" w:rsidP="0047287F">
      <w:pPr>
        <w:spacing w:before="120"/>
        <w:rPr>
          <w:rFonts w:ascii="Times New Roman" w:hAnsi="Times New Roman" w:cs="Times New Roman"/>
        </w:rPr>
      </w:pPr>
    </w:p>
    <w:p w:rsidR="0047287F" w:rsidP="0060139F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F30610">
        <w:rPr>
          <w:rFonts w:ascii="Times New Roman" w:hAnsi="Times New Roman" w:cs="Times New Roman"/>
        </w:rPr>
        <w:t>20</w:t>
      </w:r>
      <w:r w:rsidRPr="009027A0">
        <w:rPr>
          <w:rFonts w:ascii="Times New Roman" w:hAnsi="Times New Roman" w:cs="Times New Roman"/>
        </w:rPr>
        <w:t>. schôdza</w:t>
      </w:r>
    </w:p>
    <w:p w:rsidR="00620E53" w:rsidP="0060139F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8945F9">
        <w:rPr>
          <w:rFonts w:ascii="Times New Roman" w:hAnsi="Times New Roman" w:cs="Times New Roman"/>
        </w:rPr>
        <w:t>301</w:t>
      </w:r>
      <w:r w:rsidR="00785BDE">
        <w:rPr>
          <w:rFonts w:ascii="Times New Roman" w:hAnsi="Times New Roman" w:cs="Times New Roman"/>
        </w:rPr>
        <w:t>3</w:t>
      </w:r>
      <w:r w:rsidR="00D758FB">
        <w:rPr>
          <w:rFonts w:ascii="Times New Roman" w:hAnsi="Times New Roman" w:cs="Times New Roman"/>
        </w:rPr>
        <w:t>/</w:t>
      </w:r>
      <w:r w:rsidR="003111C8">
        <w:rPr>
          <w:rFonts w:ascii="Times New Roman" w:hAnsi="Times New Roman" w:cs="Times New Roman"/>
        </w:rPr>
        <w:t>2010</w:t>
      </w:r>
    </w:p>
    <w:p w:rsidR="00781357" w:rsidP="0060139F">
      <w:pPr>
        <w:ind w:left="1418" w:firstLine="709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9418C8">
        <w:rPr>
          <w:rFonts w:ascii="Times New Roman" w:hAnsi="Times New Roman" w:cs="Times New Roman"/>
          <w:sz w:val="32"/>
          <w:szCs w:val="32"/>
          <w:lang w:eastAsia="en-US"/>
        </w:rPr>
        <w:t>117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164B4">
        <w:rPr>
          <w:rFonts w:ascii="Times New Roman" w:hAnsi="Times New Roman" w:cs="Times New Roman"/>
          <w:b/>
        </w:rPr>
        <w:t>z</w:t>
      </w:r>
      <w:r w:rsidR="003419DB">
        <w:rPr>
          <w:rFonts w:ascii="Times New Roman" w:hAnsi="Times New Roman" w:cs="Times New Roman"/>
          <w:b/>
        </w:rPr>
        <w:t> </w:t>
      </w:r>
      <w:r w:rsidR="002536CA">
        <w:rPr>
          <w:rFonts w:ascii="Times New Roman" w:hAnsi="Times New Roman" w:cs="Times New Roman"/>
          <w:b/>
        </w:rPr>
        <w:t>2</w:t>
      </w:r>
      <w:r w:rsidR="003419DB">
        <w:rPr>
          <w:rFonts w:ascii="Times New Roman" w:hAnsi="Times New Roman" w:cs="Times New Roman"/>
          <w:b/>
        </w:rPr>
        <w:t>5. januára</w:t>
      </w:r>
      <w:r w:rsidR="00D758FB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="003419DB">
        <w:rPr>
          <w:rFonts w:ascii="Times New Roman" w:hAnsi="Times New Roman" w:cs="Times New Roman"/>
          <w:b/>
        </w:rPr>
        <w:t>1</w:t>
      </w:r>
    </w:p>
    <w:p w:rsidR="0060139F" w:rsidRPr="00351D03" w:rsidP="009D3D40">
      <w:pPr>
        <w:jc w:val="both"/>
        <w:rPr>
          <w:rFonts w:ascii="Times New Roman" w:hAnsi="Times New Roman" w:cs="Times New Roman"/>
        </w:rPr>
      </w:pPr>
    </w:p>
    <w:p w:rsidR="000569DC" w:rsidRPr="000569DC" w:rsidP="000569DC">
      <w:pPr>
        <w:jc w:val="both"/>
        <w:rPr>
          <w:rFonts w:ascii="Times New Roman" w:hAnsi="Times New Roman" w:cs="Times New Roman"/>
        </w:rPr>
      </w:pPr>
      <w:r w:rsidRPr="00A10671" w:rsidR="00CE3B73">
        <w:rPr>
          <w:rFonts w:ascii="Times New Roman" w:hAnsi="Times New Roman" w:cs="Times New Roman"/>
        </w:rPr>
        <w:t>k</w:t>
      </w:r>
      <w:r w:rsidRPr="00A10671" w:rsidR="007311DC">
        <w:rPr>
          <w:rFonts w:ascii="Times New Roman" w:hAnsi="Times New Roman" w:cs="Times New Roman"/>
        </w:rPr>
        <w:t xml:space="preserve"> </w:t>
      </w:r>
      <w:r w:rsidRPr="00A10671" w:rsidR="00725ED9">
        <w:rPr>
          <w:rFonts w:ascii="Times New Roman" w:hAnsi="Times New Roman" w:cs="Times New Roman"/>
        </w:rPr>
        <w:t xml:space="preserve">vládnemu </w:t>
      </w:r>
      <w:r w:rsidRPr="00A10671" w:rsidR="00351D03">
        <w:rPr>
          <w:rFonts w:ascii="Times New Roman" w:hAnsi="Times New Roman" w:cs="Times New Roman"/>
        </w:rPr>
        <w:t xml:space="preserve">návrhu </w:t>
      </w:r>
      <w:r w:rsidRPr="001E7371" w:rsidR="00351D03">
        <w:rPr>
          <w:rFonts w:ascii="Times New Roman" w:hAnsi="Times New Roman" w:cs="Times New Roman"/>
        </w:rPr>
        <w:t>zákona</w:t>
      </w:r>
      <w:r w:rsidRPr="008945F9" w:rsidR="008945F9">
        <w:rPr>
          <w:rFonts w:ascii="Times New Roman" w:hAnsi="Times New Roman" w:cs="Times New Roman"/>
        </w:rPr>
        <w:t xml:space="preserve">, </w:t>
      </w:r>
      <w:r w:rsidRPr="000569DC">
        <w:rPr>
          <w:rFonts w:ascii="Times New Roman" w:hAnsi="Times New Roman" w:cs="Times New Roman"/>
        </w:rPr>
        <w:t xml:space="preserve">ktorým sa mení a dopĺňa zákon č. 483/2001 Z. z. o bankách a o zmene a doplnení niektorých zákonov v znení neskorších predpisov a ktorým sa mení a dopĺňa zákon č. 566/2001 Z. z. o cenných papieroch a investičných službách a o zmene a doplnení niektorých zákonov (zákon o cenných papieroch) v znení neskorších predpisov (tlač 182) </w:t>
      </w:r>
    </w:p>
    <w:p w:rsidR="004705C5" w:rsidP="0047287F">
      <w:pPr>
        <w:spacing w:before="120"/>
        <w:rPr>
          <w:rFonts w:ascii="Times New Roman" w:hAnsi="Times New Roman" w:cs="Times New Roman"/>
        </w:rPr>
      </w:pPr>
    </w:p>
    <w:p w:rsidR="004705C5" w:rsidP="0047287F">
      <w:pPr>
        <w:spacing w:before="120"/>
        <w:rPr>
          <w:rFonts w:ascii="Times New Roman" w:hAnsi="Times New Roman" w:cs="Times New Roman"/>
        </w:rPr>
      </w:pPr>
    </w:p>
    <w:p w:rsidR="004705C5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D330D" w:rsidRPr="00CE3B73" w:rsidP="00A52DB5">
      <w:pPr>
        <w:rPr>
          <w:rFonts w:ascii="Times New Roman" w:hAnsi="Times New Roman" w:cs="Times New Roman"/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8945F9" w:rsidRPr="004705C5" w:rsidP="008945F9">
      <w:pPr>
        <w:jc w:val="both"/>
        <w:rPr>
          <w:rFonts w:ascii="Times New Roman" w:hAnsi="Times New Roman" w:cs="Times New Roman"/>
        </w:rPr>
      </w:pPr>
      <w:r w:rsidRPr="001E7371" w:rsidR="001E7371">
        <w:rPr>
          <w:rFonts w:ascii="Times New Roman" w:hAnsi="Times New Roman" w:cs="Times New Roman"/>
        </w:rPr>
        <w:tab/>
        <w:tab/>
      </w:r>
      <w:r w:rsidR="001E7371">
        <w:rPr>
          <w:rFonts w:ascii="Times New Roman" w:hAnsi="Times New Roman" w:cs="Times New Roman"/>
        </w:rPr>
        <w:t>s</w:t>
      </w:r>
      <w:r w:rsidRPr="001E7371" w:rsidR="001E7371">
        <w:rPr>
          <w:rFonts w:ascii="Times New Roman" w:hAnsi="Times New Roman" w:cs="Times New Roman"/>
        </w:rPr>
        <w:t xml:space="preserve"> vládnym návrhom zákona</w:t>
      </w:r>
      <w:r>
        <w:rPr>
          <w:rFonts w:ascii="Times New Roman" w:hAnsi="Times New Roman" w:cs="Times New Roman"/>
        </w:rPr>
        <w:t>,</w:t>
      </w:r>
      <w:r w:rsidRPr="008945F9">
        <w:rPr>
          <w:rFonts w:ascii="Times New Roman" w:hAnsi="Times New Roman" w:cs="Times New Roman"/>
        </w:rPr>
        <w:t xml:space="preserve"> </w:t>
      </w:r>
      <w:r w:rsidRPr="000569DC" w:rsidR="004705C5">
        <w:rPr>
          <w:rFonts w:ascii="Times New Roman" w:hAnsi="Times New Roman" w:cs="Times New Roman"/>
        </w:rPr>
        <w:t>ktorým sa mení a dopĺňa zákon č. 483/2001 Z. z. o bankách a o zmene a doplnení niektorých zákonov v znení neskorších predpisov a ktorým sa mení a dopĺňa zákon č. 566/2001 Z. z. o cenných papieroch a investičných službách a o zmene a doplnení niektorých zákonov (zákon o cenných papieroch) v znení n</w:t>
      </w:r>
      <w:r w:rsidR="004705C5">
        <w:rPr>
          <w:rFonts w:ascii="Times New Roman" w:hAnsi="Times New Roman" w:cs="Times New Roman"/>
        </w:rPr>
        <w:t>eskorších predpisov (tlač 182)</w:t>
      </w:r>
      <w:r>
        <w:rPr>
          <w:rFonts w:ascii="Times New Roman" w:hAnsi="Times New Roman" w:cs="Times New Roman"/>
        </w:rPr>
        <w:t>;</w:t>
      </w:r>
      <w:r w:rsidRPr="008945F9">
        <w:rPr>
          <w:rFonts w:ascii="Times New Roman" w:hAnsi="Times New Roman" w:cs="Times New Roman"/>
        </w:rPr>
        <w:t xml:space="preserve"> </w:t>
      </w:r>
    </w:p>
    <w:p w:rsidR="008945F9" w:rsidP="008945F9">
      <w:pPr>
        <w:jc w:val="both"/>
        <w:rPr>
          <w:rFonts w:ascii="Times New Roman" w:hAnsi="Times New Roman" w:cs="Times New Roman"/>
        </w:rPr>
      </w:pPr>
    </w:p>
    <w:p w:rsidR="004705C5" w:rsidRPr="008945F9" w:rsidP="008945F9">
      <w:pPr>
        <w:jc w:val="both"/>
        <w:rPr>
          <w:rFonts w:ascii="Times New Roman" w:hAnsi="Times New Roman" w:cs="Times New Roman"/>
        </w:rPr>
      </w:pPr>
    </w:p>
    <w:p w:rsidR="0047287F" w:rsidRPr="006D330D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6D330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DD237D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050C71" w:rsidRPr="008945F9" w:rsidP="002E7CD4">
      <w:pPr>
        <w:jc w:val="both"/>
        <w:rPr>
          <w:rFonts w:ascii="Times New Roman" w:hAnsi="Times New Roman" w:cs="Times New Roman"/>
          <w:i/>
          <w:iCs/>
        </w:rPr>
      </w:pPr>
      <w:r w:rsidR="00795881">
        <w:rPr>
          <w:rFonts w:ascii="Times New Roman" w:hAnsi="Times New Roman" w:cs="Times New Roman"/>
        </w:rPr>
        <w:tab/>
      </w:r>
      <w:r w:rsidR="009B5C3F">
        <w:rPr>
          <w:rFonts w:ascii="Times New Roman" w:hAnsi="Times New Roman" w:cs="Times New Roman"/>
        </w:rPr>
        <w:tab/>
        <w:t>v</w:t>
      </w:r>
      <w:r w:rsidRPr="00725ED9" w:rsidR="009B5C3F">
        <w:rPr>
          <w:rFonts w:ascii="Times New Roman" w:hAnsi="Times New Roman" w:cs="Times New Roman"/>
        </w:rPr>
        <w:t>ládn</w:t>
      </w:r>
      <w:r w:rsidR="009B5C3F">
        <w:rPr>
          <w:rFonts w:ascii="Times New Roman" w:hAnsi="Times New Roman" w:cs="Times New Roman"/>
        </w:rPr>
        <w:t xml:space="preserve">y </w:t>
      </w:r>
      <w:r w:rsidR="00351D03">
        <w:rPr>
          <w:rFonts w:ascii="Times New Roman" w:hAnsi="Times New Roman" w:cs="Times New Roman"/>
        </w:rPr>
        <w:t xml:space="preserve">návrh </w:t>
      </w:r>
      <w:r w:rsidRPr="00351D03" w:rsidR="00351D03">
        <w:rPr>
          <w:rFonts w:ascii="Times New Roman" w:hAnsi="Times New Roman" w:cs="Times New Roman"/>
        </w:rPr>
        <w:t>zákona</w:t>
      </w:r>
      <w:r w:rsidR="008945F9">
        <w:rPr>
          <w:rFonts w:ascii="Times New Roman" w:hAnsi="Times New Roman" w:cs="Times New Roman"/>
        </w:rPr>
        <w:t>,</w:t>
      </w:r>
      <w:r w:rsidRPr="008945F9" w:rsidR="008945F9">
        <w:rPr>
          <w:rFonts w:ascii="Times New Roman" w:hAnsi="Times New Roman" w:cs="Times New Roman"/>
        </w:rPr>
        <w:t xml:space="preserve"> </w:t>
      </w:r>
      <w:r w:rsidRPr="000569DC" w:rsidR="004705C5">
        <w:rPr>
          <w:rFonts w:ascii="Times New Roman" w:hAnsi="Times New Roman" w:cs="Times New Roman"/>
        </w:rPr>
        <w:t xml:space="preserve">ktorým sa mení a dopĺňa zákon č. 483/2001 Z. z. o bankách a o zmene a doplnení niektorých zákonov v znení neskorších predpisov a ktorým sa mení a dopĺňa zákon č. 566/2001 Z. z. o cenných papieroch a investičných službách a o zmene a doplnení niektorých zákonov (zákon o cenných papieroch) v znení neskorších predpisov (tlač 182) </w:t>
      </w:r>
      <w:r w:rsidRPr="00DD237D" w:rsidR="0047287F">
        <w:rPr>
          <w:rFonts w:ascii="Times New Roman" w:hAnsi="Times New Roman" w:cs="Times New Roman"/>
          <w:b/>
          <w:bCs/>
        </w:rPr>
        <w:t>schváliť</w:t>
      </w:r>
      <w:r w:rsidRPr="00050C71">
        <w:rPr>
          <w:rFonts w:ascii="Times New Roman" w:hAnsi="Times New Roman" w:cs="Times New Roman"/>
          <w:bCs/>
        </w:rPr>
        <w:t xml:space="preserve"> </w:t>
      </w:r>
      <w:r w:rsidRPr="0034450B">
        <w:rPr>
          <w:rFonts w:ascii="Times New Roman" w:hAnsi="Times New Roman" w:cs="Times New Roman"/>
          <w:bCs/>
        </w:rPr>
        <w:t xml:space="preserve">so zmenami a doplnkami uvedenými v prílohe tohto uznesenia; </w:t>
      </w:r>
    </w:p>
    <w:p w:rsidR="00A443F7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05C5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05C5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705C5" w:rsidP="000414B2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822B6D" w:rsidRPr="00F23F88" w:rsidP="00822B6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 w:rsidR="00C5518C"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 w:rsidR="009B5C3F">
        <w:rPr>
          <w:rFonts w:ascii="Times New Roman" w:hAnsi="Times New Roman" w:cs="Times New Roman"/>
        </w:rPr>
        <w:t>odnej rady Slovenskej republiky</w:t>
      </w:r>
      <w:r w:rsidR="00C5518C">
        <w:rPr>
          <w:rFonts w:ascii="Times New Roman" w:hAnsi="Times New Roman" w:cs="Times New Roman"/>
        </w:rPr>
        <w:t xml:space="preserve"> pre </w:t>
      </w:r>
      <w:r w:rsidR="004705C5">
        <w:rPr>
          <w:rFonts w:ascii="Times New Roman" w:hAnsi="Times New Roman" w:cs="Times New Roman"/>
        </w:rPr>
        <w:t xml:space="preserve">financie a rozpočet. </w:t>
      </w:r>
    </w:p>
    <w:p w:rsidR="00341BDF" w:rsidP="00224704">
      <w:pPr>
        <w:jc w:val="both"/>
        <w:rPr>
          <w:rFonts w:ascii="Times New Roman" w:hAnsi="Times New Roman" w:cs="Times New Roman"/>
        </w:rPr>
      </w:pPr>
    </w:p>
    <w:p w:rsidR="00785BDE" w:rsidP="00224704">
      <w:pPr>
        <w:jc w:val="both"/>
        <w:rPr>
          <w:rFonts w:ascii="Times New Roman" w:hAnsi="Times New Roman" w:cs="Times New Roman"/>
        </w:rPr>
      </w:pPr>
    </w:p>
    <w:p w:rsidR="00785BDE" w:rsidP="00224704">
      <w:pPr>
        <w:jc w:val="both"/>
        <w:rPr>
          <w:rFonts w:ascii="Times New Roman" w:hAnsi="Times New Roman" w:cs="Times New Roman"/>
        </w:rPr>
      </w:pPr>
    </w:p>
    <w:p w:rsidR="00785BDE" w:rsidP="00224704">
      <w:pPr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C663C" w:rsidRPr="009027A0" w:rsidP="00AC663C">
      <w:pPr>
        <w:pStyle w:val="Heading2"/>
        <w:jc w:val="left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>P r í</w:t>
      </w:r>
      <w:r w:rsidRPr="009027A0">
        <w:rPr>
          <w:rFonts w:ascii="Times New Roman" w:hAnsi="Times New Roman" w:cs="Times New Roman"/>
        </w:rPr>
        <w:t xml:space="preserve"> l o h a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  <w:bCs/>
        </w:rPr>
      </w:pPr>
      <w:r w:rsidRPr="009027A0">
        <w:rPr>
          <w:rFonts w:ascii="Times New Roman" w:hAnsi="Times New Roman" w:cs="Times New Roman"/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 xml:space="preserve">výboru Národnej rady SR č. </w:t>
      </w:r>
      <w:r w:rsidR="009418C8">
        <w:rPr>
          <w:rFonts w:ascii="Times New Roman" w:hAnsi="Times New Roman" w:cs="Times New Roman"/>
          <w:b/>
        </w:rPr>
        <w:t>117</w:t>
      </w:r>
    </w:p>
    <w:p w:rsidR="00AC663C" w:rsidRPr="009027A0" w:rsidP="00AC663C">
      <w:pPr>
        <w:ind w:left="4253" w:firstLine="708"/>
        <w:jc w:val="both"/>
        <w:rPr>
          <w:rFonts w:ascii="Times New Roman" w:hAnsi="Times New Roman" w:cs="Times New Roman"/>
          <w:b/>
        </w:rPr>
      </w:pPr>
      <w:r w:rsidRPr="009027A0">
        <w:rPr>
          <w:rFonts w:ascii="Times New Roman" w:hAnsi="Times New Roman" w:cs="Times New Roman"/>
          <w:b/>
        </w:rPr>
        <w:t>z</w:t>
      </w:r>
      <w:r w:rsidR="009B5C3F">
        <w:rPr>
          <w:rFonts w:ascii="Times New Roman" w:hAnsi="Times New Roman" w:cs="Times New Roman"/>
          <w:b/>
        </w:rPr>
        <w:t> </w:t>
      </w:r>
      <w:r w:rsidR="002536CA">
        <w:rPr>
          <w:rFonts w:ascii="Times New Roman" w:hAnsi="Times New Roman" w:cs="Times New Roman"/>
          <w:b/>
        </w:rPr>
        <w:t>2</w:t>
      </w:r>
      <w:r w:rsidR="00821FB8">
        <w:rPr>
          <w:rFonts w:ascii="Times New Roman" w:hAnsi="Times New Roman" w:cs="Times New Roman"/>
          <w:b/>
        </w:rPr>
        <w:t>5</w:t>
      </w:r>
      <w:r w:rsidR="009B5C3F">
        <w:rPr>
          <w:rFonts w:ascii="Times New Roman" w:hAnsi="Times New Roman" w:cs="Times New Roman"/>
          <w:b/>
        </w:rPr>
        <w:t xml:space="preserve">. </w:t>
      </w:r>
      <w:r w:rsidR="00632715">
        <w:rPr>
          <w:rFonts w:ascii="Times New Roman" w:hAnsi="Times New Roman" w:cs="Times New Roman"/>
          <w:b/>
        </w:rPr>
        <w:t>januára</w:t>
      </w:r>
      <w:r>
        <w:rPr>
          <w:rFonts w:ascii="Times New Roman" w:hAnsi="Times New Roman" w:cs="Times New Roman"/>
          <w:b/>
        </w:rPr>
        <w:t xml:space="preserve"> 2</w:t>
      </w:r>
      <w:r w:rsidRPr="009027A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632715">
        <w:rPr>
          <w:rFonts w:ascii="Times New Roman" w:hAnsi="Times New Roman" w:cs="Times New Roman"/>
          <w:b/>
        </w:rPr>
        <w:t>1</w:t>
      </w:r>
    </w:p>
    <w:p w:rsidR="00AC663C" w:rsidRPr="009027A0" w:rsidP="00AC663C">
      <w:pPr>
        <w:ind w:left="4253" w:firstLine="703"/>
        <w:jc w:val="both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P="00AC663C">
      <w:pPr>
        <w:jc w:val="center"/>
        <w:rPr>
          <w:rFonts w:ascii="Times New Roman" w:hAnsi="Times New Roman" w:cs="Times New Roman"/>
          <w:lang w:eastAsia="en-US"/>
        </w:rPr>
      </w:pPr>
    </w:p>
    <w:p w:rsidR="00AC663C" w:rsidRPr="009027A0" w:rsidP="00AC663C">
      <w:pPr>
        <w:rPr>
          <w:rFonts w:ascii="Times New Roman" w:hAnsi="Times New Roman" w:cs="Times New Roman"/>
          <w:lang w:eastAsia="en-US"/>
        </w:rPr>
      </w:pPr>
    </w:p>
    <w:p w:rsidR="00AC663C" w:rsidRPr="00577FDA" w:rsidP="00AC663C">
      <w:pPr>
        <w:pStyle w:val="Heading2"/>
        <w:ind w:left="0" w:firstLine="0"/>
        <w:jc w:val="center"/>
        <w:rPr>
          <w:rFonts w:ascii="Times New Roman" w:hAnsi="Times New Roman" w:cs="Times New Roman"/>
        </w:rPr>
      </w:pPr>
      <w:r w:rsidRPr="00577FDA">
        <w:rPr>
          <w:rFonts w:ascii="Times New Roman" w:hAnsi="Times New Roman" w:cs="Times New Roman"/>
        </w:rPr>
        <w:t>Pozmeňujúce a doplňujúce návrhy</w:t>
      </w:r>
    </w:p>
    <w:p w:rsidR="00AC663C" w:rsidRPr="00C47520" w:rsidP="00AC663C">
      <w:pPr>
        <w:pStyle w:val="Heading2"/>
        <w:ind w:left="4956" w:firstLine="0"/>
        <w:rPr>
          <w:rFonts w:ascii="Times New Roman" w:hAnsi="Times New Roman" w:cs="Times New Roman"/>
        </w:rPr>
      </w:pPr>
    </w:p>
    <w:p w:rsidR="00785BDE" w:rsidRPr="00785BDE" w:rsidP="00785BDE">
      <w:pPr>
        <w:jc w:val="both"/>
        <w:rPr>
          <w:rFonts w:ascii="Times New Roman" w:hAnsi="Times New Roman" w:cs="Times New Roman"/>
          <w:b/>
        </w:rPr>
      </w:pPr>
      <w:r w:rsidRPr="00785BDE" w:rsidR="00C5518C">
        <w:rPr>
          <w:rFonts w:ascii="Times New Roman" w:hAnsi="Times New Roman" w:cs="Times New Roman"/>
          <w:b/>
        </w:rPr>
        <w:t xml:space="preserve">k vládnemu </w:t>
      </w:r>
      <w:r w:rsidRPr="00785BDE" w:rsidR="002536CA">
        <w:rPr>
          <w:rFonts w:ascii="Times New Roman" w:hAnsi="Times New Roman" w:cs="Times New Roman"/>
          <w:b/>
        </w:rPr>
        <w:t>návrhu zákona</w:t>
      </w:r>
      <w:r w:rsidRPr="00785BDE" w:rsidR="00C47520">
        <w:rPr>
          <w:rFonts w:ascii="Times New Roman" w:hAnsi="Times New Roman" w:cs="Times New Roman"/>
          <w:b/>
        </w:rPr>
        <w:t xml:space="preserve">, </w:t>
      </w:r>
      <w:r w:rsidRPr="00785BDE">
        <w:rPr>
          <w:rFonts w:ascii="Times New Roman" w:hAnsi="Times New Roman" w:cs="Times New Roman"/>
          <w:b/>
        </w:rPr>
        <w:t xml:space="preserve">ktorým sa mení a dopĺňa zákon č. 483/2001 Z. z. o bankách a o zmene a doplnení niektorých zákonov v znení neskorších predpisov a ktorým sa mení a dopĺňa zákon č. 566/2001 Z. z. o cenných papieroch a investičných službách a o zmene a doplnení niektorých zákonov (zákon o cenných papieroch) v znení neskorších predpisov (tlač 182) </w:t>
      </w:r>
    </w:p>
    <w:p w:rsidR="00AC663C" w:rsidRPr="00C47520" w:rsidP="00C5518C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C47520">
        <w:rPr>
          <w:rFonts w:ascii="Times New Roman" w:hAnsi="Times New Roman" w:cs="Times New Roman"/>
          <w:b/>
        </w:rPr>
        <w:t>__</w:t>
      </w:r>
      <w:r w:rsidRPr="00C47520">
        <w:rPr>
          <w:rFonts w:ascii="Times New Roman" w:hAnsi="Times New Roman" w:cs="Times New Roman"/>
          <w:b/>
        </w:rPr>
        <w:t>_________________________________________________________________________</w:t>
      </w:r>
    </w:p>
    <w:p w:rsidR="00AC663C" w:rsidP="00AC663C">
      <w:pPr>
        <w:jc w:val="both"/>
        <w:rPr>
          <w:rFonts w:ascii="Times New Roman" w:hAnsi="Times New Roman" w:cs="Times New Roman"/>
          <w:b/>
        </w:rPr>
      </w:pPr>
    </w:p>
    <w:p w:rsidR="00821FB8" w:rsidP="00AC663C">
      <w:pPr>
        <w:jc w:val="both"/>
        <w:rPr>
          <w:rFonts w:ascii="Times New Roman" w:hAnsi="Times New Roman" w:cs="Times New Roman"/>
          <w:b/>
        </w:rPr>
      </w:pPr>
    </w:p>
    <w:p w:rsidR="00A56C95" w:rsidRPr="00D04354" w:rsidP="00A56C95">
      <w:pPr>
        <w:spacing w:line="360" w:lineRule="auto"/>
        <w:rPr>
          <w:rFonts w:ascii="Times New Roman" w:hAnsi="Times New Roman" w:cs="Times New Roman"/>
        </w:rPr>
      </w:pPr>
    </w:p>
    <w:p w:rsidR="00A56C95" w:rsidRPr="00D04354" w:rsidP="00905843">
      <w:pPr>
        <w:spacing w:line="360" w:lineRule="auto"/>
        <w:ind w:left="360" w:hanging="360"/>
        <w:jc w:val="both"/>
        <w:rPr>
          <w:rFonts w:ascii="Times New Roman" w:hAnsi="Times New Roman" w:cs="Times New Roman"/>
        </w:rPr>
      </w:pPr>
      <w:r w:rsidR="009418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D04354">
        <w:rPr>
          <w:rFonts w:ascii="Times New Roman" w:hAnsi="Times New Roman" w:cs="Times New Roman"/>
        </w:rPr>
        <w:t xml:space="preserve"> </w:t>
      </w:r>
      <w:r w:rsidR="00905843">
        <w:rPr>
          <w:rFonts w:ascii="Times New Roman" w:hAnsi="Times New Roman" w:cs="Times New Roman"/>
        </w:rPr>
        <w:t xml:space="preserve"> </w:t>
      </w:r>
      <w:r w:rsidR="0078733F">
        <w:rPr>
          <w:rFonts w:ascii="Times New Roman" w:hAnsi="Times New Roman" w:cs="Times New Roman"/>
        </w:rPr>
        <w:t xml:space="preserve">V čl. I v 13. bode v </w:t>
      </w:r>
      <w:r w:rsidRPr="00D04354">
        <w:rPr>
          <w:rFonts w:ascii="Times New Roman" w:hAnsi="Times New Roman" w:cs="Times New Roman"/>
        </w:rPr>
        <w:t>§ 33 ods. 3 na konci pripojiť vetu, ktorá znie: „Tým nie je dotknuté ustanovenie odseku 4.“.</w:t>
      </w:r>
    </w:p>
    <w:p w:rsidR="00A56C95" w:rsidRPr="00D04354" w:rsidP="00A56C95">
      <w:pPr>
        <w:ind w:left="2126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V navrhovanom doplnení § 33b ods.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3 je upravený iný spôsob po</w:t>
      </w:r>
      <w:r w:rsidRPr="00D04354">
        <w:rPr>
          <w:rFonts w:ascii="Times New Roman" w:hAnsi="Times New Roman" w:cs="Times New Roman"/>
        </w:rPr>
        <w:t>sudzovania spôsobilosti  ratingových agentúr registrovaných v sú</w:t>
      </w:r>
      <w:r w:rsidRPr="00D04354">
        <w:rPr>
          <w:rFonts w:ascii="Times New Roman" w:hAnsi="Times New Roman" w:cs="Times New Roman"/>
        </w:rPr>
        <w:t>lade s príslušnou európskou legislatívou.  Ide o to, že  ak  takáto retingová agentúra preukáže skúsenosti v oblasti sekuritizácie (všeobecne-pokrytie kreditného rizika vopred určenej expozície) Národná banka Slovenska v rámci procesu uznávania ratingu iba posúdi, či jej metodika hodnotenia spĺňa požiadavky, objektivity, nezávislosti, priebežnej kontroly a transparentnosti. Podľa platného znenia § 33b ods. 4, ktorý nie je predloženým návrhom dotknutý, ak bola ratingová agentúra uznaná na účely sekuritizácie  príslušným orgánom dohľadu iného členského štátu</w:t>
      </w:r>
      <w:r>
        <w:rPr>
          <w:rFonts w:ascii="Times New Roman" w:hAnsi="Times New Roman" w:cs="Times New Roman"/>
        </w:rPr>
        <w:t xml:space="preserve">. </w:t>
      </w:r>
      <w:r w:rsidRPr="00D04354">
        <w:rPr>
          <w:rFonts w:ascii="Times New Roman" w:hAnsi="Times New Roman" w:cs="Times New Roman"/>
        </w:rPr>
        <w:t xml:space="preserve"> Národná banka Slovenska môže uznať ratingovú agentúru bez toho</w:t>
      </w:r>
      <w:r>
        <w:rPr>
          <w:rFonts w:ascii="Times New Roman" w:hAnsi="Times New Roman" w:cs="Times New Roman"/>
        </w:rPr>
        <w:t>,</w:t>
      </w:r>
      <w:r w:rsidRPr="00D04354">
        <w:rPr>
          <w:rFonts w:ascii="Times New Roman" w:hAnsi="Times New Roman" w:cs="Times New Roman"/>
        </w:rPr>
        <w:t xml:space="preserve"> aby sama zisťovala splnenie požiadaviek podľa odseku 3. </w:t>
      </w:r>
    </w:p>
    <w:p w:rsidR="00A56C95" w:rsidP="00A56C95">
      <w:pPr>
        <w:spacing w:line="360" w:lineRule="auto"/>
        <w:ind w:left="2124"/>
        <w:jc w:val="both"/>
        <w:rPr>
          <w:rFonts w:ascii="Times New Roman" w:hAnsi="Times New Roman" w:cs="Times New Roman"/>
        </w:rPr>
      </w:pPr>
    </w:p>
    <w:p w:rsidR="00A56C95" w:rsidRPr="00D04354" w:rsidP="00A56C95">
      <w:pPr>
        <w:spacing w:line="360" w:lineRule="auto"/>
        <w:jc w:val="both"/>
        <w:rPr>
          <w:rFonts w:ascii="Times New Roman" w:hAnsi="Times New Roman" w:cs="Times New Roman"/>
        </w:rPr>
      </w:pPr>
      <w:r w:rsidR="009418C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D04354">
        <w:rPr>
          <w:rFonts w:ascii="Times New Roman" w:hAnsi="Times New Roman" w:cs="Times New Roman"/>
        </w:rPr>
        <w:t xml:space="preserve"> </w:t>
      </w:r>
      <w:r w:rsidR="0078733F">
        <w:rPr>
          <w:rFonts w:ascii="Times New Roman" w:hAnsi="Times New Roman" w:cs="Times New Roman"/>
        </w:rPr>
        <w:t xml:space="preserve">V čl. I v 18. bode v § 38 ods. 3 </w:t>
      </w:r>
      <w:r w:rsidRPr="00D04354">
        <w:rPr>
          <w:rFonts w:ascii="Times New Roman" w:hAnsi="Times New Roman" w:cs="Times New Roman"/>
        </w:rPr>
        <w:t>v druhej vete za slová „konať za klienta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vložiť bodku, vypustiť spojku „a“ a slovo „prílohou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 nahradiť slovom „ Prílohou“.</w:t>
      </w:r>
    </w:p>
    <w:p w:rsidR="00A56C95" w:rsidP="00A56C95">
      <w:pPr>
        <w:spacing w:line="360" w:lineRule="auto"/>
        <w:jc w:val="both"/>
        <w:rPr>
          <w:rFonts w:ascii="Times New Roman" w:hAnsi="Times New Roman" w:cs="Times New Roman"/>
        </w:rPr>
      </w:pPr>
    </w:p>
    <w:p w:rsidR="00A56C95" w:rsidRPr="00D04354" w:rsidP="00A56C9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 xml:space="preserve">                           Ide o významové precizovanie navrhovaného doplnenia § 38 ods. 3.</w:t>
      </w:r>
    </w:p>
    <w:p w:rsidR="00A56C95" w:rsidRPr="00D04354" w:rsidP="00A56C95">
      <w:pPr>
        <w:spacing w:line="360" w:lineRule="auto"/>
        <w:jc w:val="both"/>
        <w:rPr>
          <w:rFonts w:ascii="Times New Roman" w:hAnsi="Times New Roman" w:cs="Times New Roman"/>
        </w:rPr>
      </w:pPr>
    </w:p>
    <w:p w:rsidR="00A56C95" w:rsidRPr="00D04354" w:rsidP="00A56C95">
      <w:pPr>
        <w:spacing w:line="360" w:lineRule="auto"/>
        <w:jc w:val="both"/>
        <w:rPr>
          <w:rFonts w:ascii="Times New Roman" w:hAnsi="Times New Roman" w:cs="Times New Roman"/>
        </w:rPr>
      </w:pPr>
      <w:r w:rsidR="009418C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D04354">
        <w:rPr>
          <w:rFonts w:ascii="Times New Roman" w:hAnsi="Times New Roman" w:cs="Times New Roman"/>
        </w:rPr>
        <w:t xml:space="preserve"> </w:t>
      </w:r>
      <w:r w:rsidR="002407B4">
        <w:rPr>
          <w:rFonts w:ascii="Times New Roman" w:hAnsi="Times New Roman" w:cs="Times New Roman"/>
        </w:rPr>
        <w:t>V čl. I v</w:t>
      </w:r>
      <w:r w:rsidR="00905843">
        <w:rPr>
          <w:rFonts w:ascii="Times New Roman" w:hAnsi="Times New Roman" w:cs="Times New Roman"/>
        </w:rPr>
        <w:t> </w:t>
      </w:r>
      <w:r w:rsidR="002407B4">
        <w:rPr>
          <w:rFonts w:ascii="Times New Roman" w:hAnsi="Times New Roman" w:cs="Times New Roman"/>
        </w:rPr>
        <w:t>30</w:t>
      </w:r>
      <w:r w:rsidR="00905843">
        <w:rPr>
          <w:rFonts w:ascii="Times New Roman" w:hAnsi="Times New Roman" w:cs="Times New Roman"/>
        </w:rPr>
        <w:t>.</w:t>
      </w:r>
      <w:r w:rsidR="002407B4">
        <w:rPr>
          <w:rFonts w:ascii="Times New Roman" w:hAnsi="Times New Roman" w:cs="Times New Roman"/>
        </w:rPr>
        <w:t xml:space="preserve"> bode v § 48 </w:t>
      </w:r>
      <w:r w:rsidRPr="00D04354">
        <w:rPr>
          <w:rFonts w:ascii="Times New Roman" w:hAnsi="Times New Roman" w:cs="Times New Roman"/>
        </w:rPr>
        <w:t>ods. 1 v prvej vete  za slová „a orgán dohľadu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vložiť slová  „iného členského štátu“.</w:t>
      </w:r>
    </w:p>
    <w:p w:rsidR="00A56C95" w:rsidRPr="00D04354" w:rsidP="00A56C95">
      <w:pPr>
        <w:ind w:left="2268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Navrhované nové znenie § 48 ods. 1 upravuje vzájomnú  oznamovaciu povinnosť orgánov dohľadu členských štátov  v</w:t>
      </w:r>
      <w:r>
        <w:rPr>
          <w:rFonts w:ascii="Times New Roman" w:hAnsi="Times New Roman" w:cs="Times New Roman"/>
        </w:rPr>
        <w:t> </w:t>
      </w:r>
      <w:r w:rsidRPr="00D04354">
        <w:rPr>
          <w:rFonts w:ascii="Times New Roman" w:hAnsi="Times New Roman" w:cs="Times New Roman"/>
        </w:rPr>
        <w:t>prípadoch</w:t>
      </w:r>
      <w:r>
        <w:rPr>
          <w:rFonts w:ascii="Times New Roman" w:hAnsi="Times New Roman" w:cs="Times New Roman"/>
        </w:rPr>
        <w:t>,</w:t>
      </w:r>
      <w:r w:rsidRPr="00D04354">
        <w:rPr>
          <w:rFonts w:ascii="Times New Roman" w:hAnsi="Times New Roman" w:cs="Times New Roman"/>
        </w:rPr>
        <w:t xml:space="preserve"> ak vznikne kritická situácia vrátane nepriaznivého vývoja na finančných trhoch, ktorá potencionálne ohrozuje likviditu trhu a stabilitu v členských štátoch. V prvej vete je upravená oznamovacia  povinnosť Národnej banky Slovenska voči orgánu dohľadu iného členského štátu  v súvislosti s výkonom dohľadu na konsolidovanom základe, čo je potrebné </w:t>
      </w:r>
      <w:r>
        <w:rPr>
          <w:rFonts w:ascii="Times New Roman" w:hAnsi="Times New Roman" w:cs="Times New Roman"/>
        </w:rPr>
        <w:t>normatívne</w:t>
      </w:r>
      <w:r w:rsidRPr="00D04354">
        <w:rPr>
          <w:rFonts w:ascii="Times New Roman" w:hAnsi="Times New Roman" w:cs="Times New Roman"/>
        </w:rPr>
        <w:t xml:space="preserve"> vyjadriť.</w:t>
      </w:r>
    </w:p>
    <w:p w:rsidR="00A56C95" w:rsidRPr="00D04354" w:rsidP="00A56C95">
      <w:pPr>
        <w:jc w:val="both"/>
        <w:rPr>
          <w:rFonts w:ascii="Times New Roman" w:hAnsi="Times New Roman" w:cs="Times New Roman"/>
        </w:rPr>
      </w:pPr>
    </w:p>
    <w:p w:rsidR="00A56C95" w:rsidRPr="00D04354" w:rsidP="00A56C95">
      <w:pPr>
        <w:spacing w:line="360" w:lineRule="auto"/>
        <w:jc w:val="both"/>
        <w:rPr>
          <w:rFonts w:ascii="Times New Roman" w:hAnsi="Times New Roman" w:cs="Times New Roman"/>
        </w:rPr>
      </w:pPr>
    </w:p>
    <w:p w:rsidR="00A56C95" w:rsidRPr="00D04354" w:rsidP="00A56C95">
      <w:pPr>
        <w:spacing w:line="360" w:lineRule="auto"/>
        <w:jc w:val="both"/>
        <w:rPr>
          <w:rFonts w:ascii="Times New Roman" w:hAnsi="Times New Roman" w:cs="Times New Roman"/>
        </w:rPr>
      </w:pPr>
      <w:r w:rsidR="009418C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D04354">
        <w:rPr>
          <w:rFonts w:ascii="Times New Roman" w:hAnsi="Times New Roman" w:cs="Times New Roman"/>
        </w:rPr>
        <w:t xml:space="preserve"> </w:t>
      </w:r>
      <w:r w:rsidR="002407B4">
        <w:rPr>
          <w:rFonts w:ascii="Times New Roman" w:hAnsi="Times New Roman" w:cs="Times New Roman"/>
        </w:rPr>
        <w:t>V čl. I v</w:t>
      </w:r>
      <w:r w:rsidR="00905843">
        <w:rPr>
          <w:rFonts w:ascii="Times New Roman" w:hAnsi="Times New Roman" w:cs="Times New Roman"/>
        </w:rPr>
        <w:t> </w:t>
      </w:r>
      <w:r w:rsidR="002407B4">
        <w:rPr>
          <w:rFonts w:ascii="Times New Roman" w:hAnsi="Times New Roman" w:cs="Times New Roman"/>
        </w:rPr>
        <w:t>49</w:t>
      </w:r>
      <w:r w:rsidR="00905843">
        <w:rPr>
          <w:rFonts w:ascii="Times New Roman" w:hAnsi="Times New Roman" w:cs="Times New Roman"/>
        </w:rPr>
        <w:t>.</w:t>
      </w:r>
      <w:r w:rsidR="002407B4">
        <w:rPr>
          <w:rFonts w:ascii="Times New Roman" w:hAnsi="Times New Roman" w:cs="Times New Roman"/>
        </w:rPr>
        <w:t xml:space="preserve"> bode v</w:t>
      </w:r>
      <w:r w:rsidRPr="00D04354">
        <w:rPr>
          <w:rFonts w:ascii="Times New Roman" w:hAnsi="Times New Roman" w:cs="Times New Roman"/>
        </w:rPr>
        <w:t> názve § 122m  a v § 122m ods.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2  v druhom a v treťom riadku slová „1. marca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nahradiť slovami „1. apríla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>.</w:t>
      </w:r>
    </w:p>
    <w:p w:rsidR="00A56C95" w:rsidP="00A56C95">
      <w:pPr>
        <w:spacing w:line="360" w:lineRule="auto"/>
        <w:jc w:val="both"/>
        <w:rPr>
          <w:rFonts w:ascii="Times New Roman" w:hAnsi="Times New Roman" w:cs="Times New Roman"/>
        </w:rPr>
      </w:pPr>
    </w:p>
    <w:p w:rsidR="00A56C95" w:rsidRPr="00D04354" w:rsidP="00A56C95">
      <w:pPr>
        <w:ind w:left="2364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o zreálnenie navrhovanej účinnosti zákona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vo väzbe na harmonogram schôdzí Národnej rady Slovenskej republiky rešpektujúc legisvakančné lehoty a v neposlednom rade o potrebu dôsledného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 xml:space="preserve">rešpektovania ústavných právomocí prezidenta Slovenskej republiky  (čl. 102 písm. o) </w:t>
      </w:r>
      <w:r>
        <w:rPr>
          <w:rFonts w:ascii="Times New Roman" w:hAnsi="Times New Roman" w:cs="Times New Roman"/>
        </w:rPr>
        <w:t xml:space="preserve"> Ústavy Slovenskej republiky).</w:t>
      </w:r>
    </w:p>
    <w:p w:rsidR="00A56C95" w:rsidP="00A56C95">
      <w:pPr>
        <w:spacing w:line="360" w:lineRule="auto"/>
        <w:jc w:val="both"/>
        <w:rPr>
          <w:rFonts w:ascii="Times New Roman" w:hAnsi="Times New Roman" w:cs="Times New Roman"/>
        </w:rPr>
      </w:pPr>
    </w:p>
    <w:p w:rsidR="00A56C95" w:rsidRPr="00D04354" w:rsidP="00A56C95">
      <w:pPr>
        <w:spacing w:line="360" w:lineRule="auto"/>
        <w:jc w:val="both"/>
        <w:rPr>
          <w:rFonts w:ascii="Times New Roman" w:hAnsi="Times New Roman" w:cs="Times New Roman"/>
        </w:rPr>
      </w:pPr>
    </w:p>
    <w:p w:rsidR="00A56C95" w:rsidRPr="002407B4" w:rsidP="00A56C95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="009418C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D04354">
        <w:rPr>
          <w:rFonts w:ascii="Times New Roman" w:hAnsi="Times New Roman" w:cs="Times New Roman"/>
        </w:rPr>
        <w:t xml:space="preserve"> V úvodnej vete čl. II  spojku „a“ za slovami „ zákona č. 492/2009 Z. z. „nahradiť čiarkou a za slová „zákona č. 129/2010 Z. z.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 vložiť slová „a zákona č. 505/2010 Z. z.“.</w:t>
      </w:r>
    </w:p>
    <w:p w:rsidR="00A56C95" w:rsidRPr="00D04354" w:rsidP="00A56C95">
      <w:pPr>
        <w:spacing w:line="360" w:lineRule="auto"/>
        <w:jc w:val="both"/>
        <w:rPr>
          <w:rFonts w:ascii="Times New Roman" w:hAnsi="Times New Roman" w:cs="Times New Roman"/>
        </w:rPr>
      </w:pPr>
    </w:p>
    <w:p w:rsidR="00A56C95" w:rsidRPr="00D04354" w:rsidP="00A56C95">
      <w:pPr>
        <w:ind w:left="2508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Ide o legislatívno-technickú úpravu – doplnenie ostatnej novelizácie zákona č. 566/2001 Z. z. zákonom č. 505/2010 Z. z., ktorý nadobudol účinnosť 30. decembra 2010</w:t>
      </w:r>
      <w:r>
        <w:rPr>
          <w:rFonts w:ascii="Times New Roman" w:hAnsi="Times New Roman" w:cs="Times New Roman"/>
        </w:rPr>
        <w:t>.</w:t>
      </w:r>
    </w:p>
    <w:p w:rsidR="00A56C95" w:rsidP="00A56C95">
      <w:pPr>
        <w:spacing w:line="360" w:lineRule="auto"/>
        <w:jc w:val="both"/>
        <w:rPr>
          <w:rFonts w:ascii="Times New Roman" w:hAnsi="Times New Roman" w:cs="Times New Roman"/>
        </w:rPr>
      </w:pPr>
    </w:p>
    <w:p w:rsidR="00A56C95" w:rsidRPr="00D04354" w:rsidP="00A56C95">
      <w:pPr>
        <w:jc w:val="both"/>
        <w:rPr>
          <w:rFonts w:ascii="Times New Roman" w:hAnsi="Times New Roman" w:cs="Times New Roman"/>
        </w:rPr>
      </w:pPr>
    </w:p>
    <w:p w:rsidR="00A56C95" w:rsidRPr="00D04354" w:rsidP="00A56C95">
      <w:pPr>
        <w:spacing w:line="360" w:lineRule="auto"/>
        <w:jc w:val="both"/>
        <w:rPr>
          <w:rFonts w:ascii="Times New Roman" w:hAnsi="Times New Roman" w:cs="Times New Roman"/>
        </w:rPr>
      </w:pPr>
      <w:r w:rsidR="009418C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Pr="00D04354">
        <w:rPr>
          <w:rFonts w:ascii="Times New Roman" w:hAnsi="Times New Roman" w:cs="Times New Roman"/>
        </w:rPr>
        <w:t xml:space="preserve"> </w:t>
      </w:r>
      <w:r w:rsidR="002407B4">
        <w:rPr>
          <w:rFonts w:ascii="Times New Roman" w:hAnsi="Times New Roman" w:cs="Times New Roman"/>
        </w:rPr>
        <w:t xml:space="preserve">V čl. III </w:t>
      </w:r>
      <w:r w:rsidRPr="00D04354">
        <w:rPr>
          <w:rFonts w:ascii="Times New Roman" w:hAnsi="Times New Roman" w:cs="Times New Roman"/>
        </w:rPr>
        <w:t xml:space="preserve"> slová „1. marca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 xml:space="preserve"> nahradiť slovami „1. apríla</w:t>
      </w:r>
      <w:r>
        <w:rPr>
          <w:rFonts w:ascii="Times New Roman" w:hAnsi="Times New Roman" w:cs="Times New Roman"/>
        </w:rPr>
        <w:t>“</w:t>
      </w:r>
      <w:r w:rsidRPr="00D04354">
        <w:rPr>
          <w:rFonts w:ascii="Times New Roman" w:hAnsi="Times New Roman" w:cs="Times New Roman"/>
        </w:rPr>
        <w:t>.</w:t>
      </w:r>
    </w:p>
    <w:p w:rsidR="00905843" w:rsidP="00905843">
      <w:pPr>
        <w:spacing w:line="360" w:lineRule="auto"/>
        <w:jc w:val="both"/>
        <w:rPr>
          <w:rFonts w:ascii="Times New Roman" w:hAnsi="Times New Roman" w:cs="Times New Roman"/>
        </w:rPr>
      </w:pPr>
      <w:r w:rsidR="00A56C95">
        <w:rPr>
          <w:rFonts w:ascii="Times New Roman" w:hAnsi="Times New Roman" w:cs="Times New Roman"/>
        </w:rPr>
        <w:t xml:space="preserve">       </w:t>
      </w:r>
    </w:p>
    <w:p w:rsidR="00905843" w:rsidRPr="00D04354" w:rsidP="00905843">
      <w:pPr>
        <w:ind w:left="2364"/>
        <w:jc w:val="both"/>
        <w:rPr>
          <w:rFonts w:ascii="Times New Roman" w:hAnsi="Times New Roman" w:cs="Times New Roman"/>
        </w:rPr>
      </w:pPr>
      <w:r w:rsidRPr="00D04354">
        <w:rPr>
          <w:rFonts w:ascii="Times New Roman" w:hAnsi="Times New Roman" w:cs="Times New Roman"/>
        </w:rPr>
        <w:t>Ide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o zreálnenie navrhovanej účinnosti zákona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>vo väzbe na harmonogram schôdzí Národnej rady Slovenskej republiky rešpektujúc legisvakančné lehoty a v neposlednom rade o potrebu dôsledného</w:t>
      </w:r>
      <w:r>
        <w:rPr>
          <w:rFonts w:ascii="Times New Roman" w:hAnsi="Times New Roman" w:cs="Times New Roman"/>
        </w:rPr>
        <w:t xml:space="preserve"> </w:t>
      </w:r>
      <w:r w:rsidRPr="00D04354">
        <w:rPr>
          <w:rFonts w:ascii="Times New Roman" w:hAnsi="Times New Roman" w:cs="Times New Roman"/>
        </w:rPr>
        <w:t xml:space="preserve">rešpektovania ústavných právomocí prezidenta Slovenskej republiky  (čl. 102 písm. o) </w:t>
      </w:r>
      <w:r>
        <w:rPr>
          <w:rFonts w:ascii="Times New Roman" w:hAnsi="Times New Roman" w:cs="Times New Roman"/>
        </w:rPr>
        <w:t xml:space="preserve"> Ústavy Slovenskej republiky).</w:t>
      </w:r>
    </w:p>
    <w:p w:rsidR="00905843" w:rsidP="00905843">
      <w:pPr>
        <w:spacing w:line="360" w:lineRule="auto"/>
        <w:jc w:val="both"/>
        <w:rPr>
          <w:rFonts w:ascii="Times New Roman" w:hAnsi="Times New Roman" w:cs="Times New Roman"/>
        </w:rPr>
      </w:pPr>
    </w:p>
    <w:p w:rsidR="00A56C95" w:rsidP="00A56C95">
      <w:pPr>
        <w:spacing w:line="360" w:lineRule="auto"/>
        <w:jc w:val="both"/>
        <w:rPr>
          <w:rFonts w:ascii="Times New Roman" w:hAnsi="Times New Roman" w:cs="Times New Roman"/>
        </w:rPr>
      </w:pPr>
    </w:p>
    <w:p w:rsidR="00A56C95" w:rsidRPr="00D04354" w:rsidP="00A56C95">
      <w:pPr>
        <w:spacing w:line="360" w:lineRule="auto"/>
        <w:jc w:val="both"/>
        <w:rPr>
          <w:rFonts w:ascii="Times New Roman" w:hAnsi="Times New Roman" w:cs="Times New Roman"/>
        </w:rPr>
      </w:pPr>
    </w:p>
    <w:p w:rsidR="00A56C95" w:rsidP="00AC663C">
      <w:pPr>
        <w:jc w:val="both"/>
        <w:rPr>
          <w:rFonts w:ascii="Times New Roman" w:hAnsi="Times New Roman" w:cs="Times New Roman"/>
          <w:b/>
        </w:rPr>
      </w:pPr>
    </w:p>
    <w:sectPr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1A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E3E1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1A" w:rsidP="00FF144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E3E1A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1A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E3E1A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E1A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E3E1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rtl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14B2"/>
    <w:rsid w:val="00050C71"/>
    <w:rsid w:val="000569DC"/>
    <w:rsid w:val="001E7371"/>
    <w:rsid w:val="00224704"/>
    <w:rsid w:val="002407B4"/>
    <w:rsid w:val="002536CA"/>
    <w:rsid w:val="002E7CD4"/>
    <w:rsid w:val="003111C8"/>
    <w:rsid w:val="003419DB"/>
    <w:rsid w:val="00341BDF"/>
    <w:rsid w:val="0034450B"/>
    <w:rsid w:val="00351D03"/>
    <w:rsid w:val="00426893"/>
    <w:rsid w:val="004705C5"/>
    <w:rsid w:val="0047287F"/>
    <w:rsid w:val="00577FDA"/>
    <w:rsid w:val="0060139F"/>
    <w:rsid w:val="00620E53"/>
    <w:rsid w:val="00632715"/>
    <w:rsid w:val="00636B21"/>
    <w:rsid w:val="006C7E01"/>
    <w:rsid w:val="006D330D"/>
    <w:rsid w:val="00725ED9"/>
    <w:rsid w:val="007311DC"/>
    <w:rsid w:val="00781357"/>
    <w:rsid w:val="00785BDE"/>
    <w:rsid w:val="0078733F"/>
    <w:rsid w:val="00795881"/>
    <w:rsid w:val="00821FB8"/>
    <w:rsid w:val="00822B6D"/>
    <w:rsid w:val="008945F9"/>
    <w:rsid w:val="00902673"/>
    <w:rsid w:val="009027A0"/>
    <w:rsid w:val="00905843"/>
    <w:rsid w:val="009164B4"/>
    <w:rsid w:val="009418C8"/>
    <w:rsid w:val="009B5C3F"/>
    <w:rsid w:val="009D3D40"/>
    <w:rsid w:val="00A10671"/>
    <w:rsid w:val="00A443F7"/>
    <w:rsid w:val="00A52DB5"/>
    <w:rsid w:val="00A56C95"/>
    <w:rsid w:val="00AC663C"/>
    <w:rsid w:val="00B03C99"/>
    <w:rsid w:val="00B643E6"/>
    <w:rsid w:val="00BD117C"/>
    <w:rsid w:val="00C47520"/>
    <w:rsid w:val="00C5518C"/>
    <w:rsid w:val="00CE3B73"/>
    <w:rsid w:val="00D04354"/>
    <w:rsid w:val="00D758FB"/>
    <w:rsid w:val="00DD237D"/>
    <w:rsid w:val="00DE3E1A"/>
    <w:rsid w:val="00EB740B"/>
    <w:rsid w:val="00F23F88"/>
    <w:rsid w:val="00F30610"/>
    <w:rsid w:val="00F4792C"/>
    <w:rsid w:val="00F9388C"/>
    <w:rsid w:val="00FF14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1994</TotalTime>
  <Pages>1</Pages>
  <Words>795</Words>
  <Characters>4537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bankách, o cenných papieroch</dc:title>
  <dc:subject>sch.20, 25.1.2011</dc:subject>
  <dc:creator>Viera Ebringerová</dc:creator>
  <cp:keywords>UPV 117 tlač 182</cp:keywords>
  <dc:description>vládny návrh zákona</dc:description>
  <cp:lastModifiedBy>EbriVier</cp:lastModifiedBy>
  <cp:revision>2013</cp:revision>
  <cp:lastPrinted>2011-01-25T11:05:00Z</cp:lastPrinted>
  <dcterms:created xsi:type="dcterms:W3CDTF">2002-05-15T11:56:00Z</dcterms:created>
  <dcterms:modified xsi:type="dcterms:W3CDTF">2011-01-25T11:05:00Z</dcterms:modified>
  <cp:category>Uznesenie</cp:category>
</cp:coreProperties>
</file>