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6446" w:rsidRPr="006149E1" w:rsidP="006C6446">
      <w:pPr>
        <w:bidi w:val="0"/>
        <w:rPr>
          <w:rFonts w:ascii="Times New Roman" w:hAnsi="Times New Roman"/>
        </w:rPr>
      </w:pPr>
    </w:p>
    <w:p w:rsidR="00031EE6" w:rsidRPr="000D6F52" w:rsidP="00031EE6">
      <w:pPr>
        <w:bidi w:val="0"/>
        <w:jc w:val="center"/>
        <w:rPr>
          <w:rFonts w:ascii="Times New Roman" w:hAnsi="Times New Roman"/>
          <w:b/>
          <w:sz w:val="32"/>
          <w:szCs w:val="32"/>
        </w:rPr>
      </w:pPr>
      <w:r w:rsidRPr="000D6F52">
        <w:rPr>
          <w:rFonts w:ascii="Times New Roman" w:hAnsi="Times New Roman"/>
          <w:b/>
          <w:sz w:val="32"/>
          <w:szCs w:val="32"/>
        </w:rPr>
        <w:t>DOLOŽKA ZLUČITEĽNOSTI</w:t>
      </w:r>
    </w:p>
    <w:p w:rsidR="00BF2117" w:rsidP="00BF2117">
      <w:pPr>
        <w:bidi w:val="0"/>
        <w:jc w:val="center"/>
        <w:rPr>
          <w:rFonts w:ascii="Times New Roman" w:hAnsi="Times New Roman"/>
          <w:b/>
          <w:bCs/>
        </w:rPr>
      </w:pPr>
      <w:r w:rsidRPr="00ED2329">
        <w:rPr>
          <w:rFonts w:ascii="Times New Roman" w:hAnsi="Times New Roman"/>
          <w:b/>
          <w:bCs/>
        </w:rPr>
        <w:t>právneho predpisu s právom Európskej únie </w:t>
      </w:r>
    </w:p>
    <w:p w:rsidR="00BF2117" w:rsidRPr="00ED2329" w:rsidP="00BF2117">
      <w:pPr>
        <w:bidi w:val="0"/>
        <w:jc w:val="center"/>
        <w:rPr>
          <w:rFonts w:ascii="Times New Roman" w:hAnsi="Times New Roman"/>
          <w:b/>
          <w:bCs/>
        </w:rPr>
      </w:pPr>
    </w:p>
    <w:p w:rsidR="006C6446" w:rsidP="00031EE6">
      <w:pPr>
        <w:numPr>
          <w:numId w:val="1"/>
        </w:numPr>
        <w:bidi w:val="0"/>
        <w:spacing w:line="360" w:lineRule="auto"/>
        <w:ind w:left="0" w:firstLine="0"/>
        <w:rPr>
          <w:rFonts w:ascii="Times New Roman" w:hAnsi="Times New Roman"/>
        </w:rPr>
      </w:pPr>
      <w:r w:rsidRPr="006149E1">
        <w:rPr>
          <w:rFonts w:ascii="Times New Roman" w:hAnsi="Times New Roman"/>
          <w:b/>
        </w:rPr>
        <w:t xml:space="preserve">Predkladateľ právneho predpisu: </w:t>
      </w:r>
      <w:r w:rsidRPr="006149E1">
        <w:rPr>
          <w:rFonts w:ascii="Times New Roman" w:hAnsi="Times New Roman"/>
        </w:rPr>
        <w:t xml:space="preserve"> </w:t>
      </w:r>
    </w:p>
    <w:p w:rsidR="006C6446" w:rsidRPr="006149E1" w:rsidP="00031EE6">
      <w:pPr>
        <w:bidi w:val="0"/>
        <w:spacing w:line="360" w:lineRule="auto"/>
        <w:ind w:firstLine="708"/>
        <w:rPr>
          <w:rFonts w:ascii="Times New Roman" w:hAnsi="Times New Roman"/>
        </w:rPr>
      </w:pPr>
      <w:r w:rsidR="00031EE6">
        <w:rPr>
          <w:rFonts w:ascii="Times New Roman" w:hAnsi="Times New Roman"/>
        </w:rPr>
        <w:t xml:space="preserve">Poslankyňa </w:t>
      </w:r>
      <w:r>
        <w:rPr>
          <w:rFonts w:ascii="Times New Roman" w:hAnsi="Times New Roman"/>
        </w:rPr>
        <w:t xml:space="preserve"> Národnej rady Slovenskej republiky</w:t>
      </w:r>
      <w:r w:rsidR="00031EE6">
        <w:rPr>
          <w:rFonts w:ascii="Times New Roman" w:hAnsi="Times New Roman"/>
        </w:rPr>
        <w:t xml:space="preserve"> Katarína Cibulková</w:t>
      </w:r>
    </w:p>
    <w:p w:rsidR="00BF2117" w:rsidRPr="00ED2329" w:rsidP="00BF2117">
      <w:pPr>
        <w:tabs>
          <w:tab w:val="left" w:pos="360"/>
        </w:tabs>
        <w:bidi w:val="0"/>
        <w:ind w:left="360"/>
        <w:rPr>
          <w:rFonts w:ascii="Times New Roman" w:hAnsi="Times New Roman"/>
        </w:rPr>
      </w:pPr>
    </w:p>
    <w:p w:rsidR="00BF2117" w:rsidRPr="00BF2117" w:rsidP="00BF2117">
      <w:pPr>
        <w:bidi w:val="0"/>
        <w:contextualSpacing/>
        <w:jc w:val="both"/>
        <w:rPr>
          <w:rFonts w:ascii="Times New Roman" w:hAnsi="Times New Roman"/>
        </w:rPr>
      </w:pPr>
      <w:r w:rsidRPr="00ED2329">
        <w:rPr>
          <w:rFonts w:ascii="Times New Roman" w:hAnsi="Times New Roman"/>
          <w:b/>
          <w:bCs/>
        </w:rPr>
        <w:t>2.</w:t>
        <w:tab/>
        <w:t>Názov návrhu právneho predpisu:</w:t>
      </w:r>
      <w:r w:rsidRPr="00ED2329">
        <w:rPr>
          <w:rFonts w:ascii="Times New Roman" w:hAnsi="Times New Roman"/>
        </w:rPr>
        <w:t xml:space="preserve"> Návrh zákona, </w:t>
      </w:r>
      <w:r w:rsidRPr="00BF2117">
        <w:rPr>
          <w:rFonts w:ascii="Times New Roman" w:hAnsi="Times New Roman"/>
        </w:rPr>
        <w:t xml:space="preserve">ktorým sa mení a dopĺňa zákon </w:t>
      </w:r>
      <w:r>
        <w:rPr>
          <w:rFonts w:ascii="Times New Roman" w:hAnsi="Times New Roman"/>
        </w:rPr>
        <w:t xml:space="preserve">  </w:t>
      </w:r>
      <w:r w:rsidRPr="00BF2117">
        <w:rPr>
          <w:rFonts w:ascii="Times New Roman" w:hAnsi="Times New Roman"/>
        </w:rPr>
        <w:t>č. 581/2004 Z. z. o</w:t>
      </w:r>
      <w:r w:rsidRPr="00BF2117">
        <w:rPr>
          <w:rFonts w:ascii="Times New Roman" w:hAnsi="Times New Roman"/>
          <w:bCs/>
        </w:rPr>
        <w:t xml:space="preserve"> zdravotných poisťovniach, dohľade nad zdravotnou starostlivosťou a o zmene a doplnení niektorých zákonov v znení neskorších predpisov</w:t>
      </w:r>
      <w:r w:rsidRPr="00BF2117">
        <w:rPr>
          <w:rFonts w:ascii="Times New Roman" w:hAnsi="Times New Roman"/>
        </w:rPr>
        <w:t xml:space="preserve"> a o zmene a doplnení zákona č. 580/2004 Z. z. o zdravotnom poistení a o zmene a doplnení zákona č. 95/2002 Z. z. o poisťovníctve a o zmene a doplnení niektorých zákonov v znení neskorších predpisov</w:t>
      </w:r>
    </w:p>
    <w:p w:rsidR="00BF2117" w:rsidRPr="00ED2329" w:rsidP="00BF2117">
      <w:pPr>
        <w:bidi w:val="0"/>
        <w:ind w:left="360" w:hanging="360"/>
        <w:jc w:val="both"/>
        <w:rPr>
          <w:rFonts w:ascii="Times New Roman" w:hAnsi="Times New Roman"/>
        </w:rPr>
      </w:pPr>
    </w:p>
    <w:p w:rsidR="00BF2117" w:rsidRPr="00ED2329" w:rsidP="00BF2117">
      <w:pPr>
        <w:bidi w:val="0"/>
        <w:ind w:left="360" w:hanging="360"/>
        <w:rPr>
          <w:rFonts w:ascii="Times New Roman" w:hAnsi="Times New Roman"/>
          <w:b/>
          <w:bCs/>
        </w:rPr>
      </w:pPr>
      <w:r w:rsidRPr="00ED2329">
        <w:rPr>
          <w:rFonts w:ascii="Times New Roman" w:hAnsi="Times New Roman"/>
          <w:b/>
          <w:bCs/>
        </w:rPr>
        <w:t>3.</w:t>
        <w:tab/>
        <w:t>Problematika návrhu právneho predpisu:</w:t>
      </w:r>
    </w:p>
    <w:p w:rsidR="00BF2117" w:rsidRPr="00ED2329" w:rsidP="00BF2117">
      <w:pPr>
        <w:bidi w:val="0"/>
        <w:ind w:firstLine="360"/>
        <w:rPr>
          <w:rFonts w:ascii="Times New Roman" w:hAnsi="Times New Roman"/>
        </w:rPr>
      </w:pPr>
    </w:p>
    <w:p w:rsidR="00BF2117" w:rsidRPr="00ED2329" w:rsidP="00BF2117">
      <w:pPr>
        <w:bidi w:val="0"/>
        <w:ind w:left="709" w:hanging="349"/>
        <w:rPr>
          <w:rFonts w:ascii="Times New Roman" w:hAnsi="Times New Roman"/>
        </w:rPr>
      </w:pPr>
      <w:r w:rsidRPr="00ED2329">
        <w:rPr>
          <w:rFonts w:ascii="Times New Roman" w:hAnsi="Times New Roman"/>
        </w:rPr>
        <w:t>a)</w:t>
        <w:tab/>
        <w:t>je upravená v práve Európskej únie</w:t>
      </w:r>
    </w:p>
    <w:p w:rsidR="00BF2117" w:rsidRPr="00ED2329" w:rsidP="00BF2117">
      <w:pPr>
        <w:bidi w:val="0"/>
        <w:ind w:left="360"/>
        <w:rPr>
          <w:rFonts w:ascii="Times New Roman" w:hAnsi="Times New Roman"/>
        </w:rPr>
      </w:pPr>
    </w:p>
    <w:p w:rsidR="00BF2117" w:rsidRPr="00ED2329" w:rsidP="00BF2117">
      <w:pPr>
        <w:tabs>
          <w:tab w:val="left" w:pos="1068"/>
        </w:tabs>
        <w:bidi w:val="0"/>
        <w:ind w:left="879" w:hanging="171"/>
        <w:rPr>
          <w:rFonts w:ascii="Times New Roman" w:hAnsi="Times New Roman"/>
          <w:i/>
          <w:iCs/>
        </w:rPr>
      </w:pPr>
      <w:r w:rsidRPr="00ED2329">
        <w:rPr>
          <w:rFonts w:ascii="Times New Roman" w:hAnsi="Times New Roman"/>
        </w:rPr>
        <w:t>-</w:t>
        <w:tab/>
      </w:r>
      <w:r w:rsidRPr="00ED2329">
        <w:rPr>
          <w:rFonts w:ascii="Times New Roman" w:hAnsi="Times New Roman"/>
          <w:i/>
          <w:iCs/>
        </w:rPr>
        <w:t>primárnom</w:t>
      </w:r>
    </w:p>
    <w:p w:rsidR="00BF2117" w:rsidRPr="00ED2329" w:rsidP="00BF2117">
      <w:pPr>
        <w:bidi w:val="0"/>
        <w:ind w:left="851"/>
        <w:rPr>
          <w:rFonts w:ascii="Times New Roman" w:hAnsi="Times New Roman"/>
        </w:rPr>
      </w:pPr>
    </w:p>
    <w:p w:rsidR="00BF2117" w:rsidRPr="00ED2329" w:rsidP="00BF2117">
      <w:pPr>
        <w:bidi w:val="0"/>
        <w:ind w:firstLine="708"/>
        <w:jc w:val="both"/>
        <w:rPr>
          <w:rFonts w:ascii="Times New Roman" w:hAnsi="Times New Roman"/>
        </w:rPr>
      </w:pPr>
      <w:r>
        <w:rPr>
          <w:rFonts w:ascii="Times New Roman" w:hAnsi="Times New Roman"/>
        </w:rPr>
        <w:t>-</w:t>
      </w:r>
      <w:r w:rsidRPr="00ED2329">
        <w:rPr>
          <w:rFonts w:ascii="Times New Roman" w:hAnsi="Times New Roman"/>
        </w:rPr>
        <w:t> čl. 48 a 168 Zmluvy o fungovaní Európskej únie</w:t>
      </w:r>
    </w:p>
    <w:p w:rsidR="00BF2117" w:rsidRPr="00ED2329" w:rsidP="00BF2117">
      <w:pPr>
        <w:bidi w:val="0"/>
        <w:ind w:firstLine="360"/>
        <w:rPr>
          <w:rFonts w:ascii="Times New Roman" w:hAnsi="Times New Roman"/>
        </w:rPr>
      </w:pPr>
    </w:p>
    <w:p w:rsidR="00BF2117" w:rsidRPr="00ED2329" w:rsidP="00BF2117">
      <w:pPr>
        <w:widowControl w:val="0"/>
        <w:numPr>
          <w:numId w:val="3"/>
        </w:numPr>
        <w:tabs>
          <w:tab w:val="left" w:pos="1068"/>
        </w:tabs>
        <w:bidi w:val="0"/>
        <w:adjustRightInd w:val="0"/>
        <w:rPr>
          <w:rFonts w:ascii="Times New Roman" w:hAnsi="Times New Roman"/>
          <w:i/>
          <w:iCs/>
        </w:rPr>
      </w:pPr>
      <w:r w:rsidRPr="00ED2329">
        <w:rPr>
          <w:rFonts w:ascii="Times New Roman" w:hAnsi="Times New Roman"/>
          <w:i/>
          <w:iCs/>
        </w:rPr>
        <w:t>sekundárnom (prijatom po nadobudnutím platnosti Lisabonskej zmluvy, ktorou sa mení a dopĺňa Zmluva o Európskom spoločenstve a Zmluva o Európskej únii – po 30. novembri 2009)</w:t>
      </w:r>
    </w:p>
    <w:p w:rsidR="00BF2117" w:rsidRPr="00ED2329" w:rsidP="00BF2117">
      <w:pPr>
        <w:widowControl w:val="0"/>
        <w:numPr>
          <w:numId w:val="4"/>
        </w:numPr>
        <w:bidi w:val="0"/>
        <w:adjustRightInd w:val="0"/>
        <w:rPr>
          <w:rFonts w:ascii="Times New Roman" w:hAnsi="Times New Roman"/>
          <w:i/>
        </w:rPr>
      </w:pPr>
      <w:r w:rsidRPr="00ED2329">
        <w:rPr>
          <w:rFonts w:ascii="Times New Roman" w:hAnsi="Times New Roman"/>
        </w:rPr>
        <w:t xml:space="preserve">legislatívne akty </w:t>
      </w:r>
    </w:p>
    <w:p w:rsidR="00BF2117" w:rsidRPr="00ED2329" w:rsidP="00BF2117">
      <w:pPr>
        <w:bidi w:val="0"/>
        <w:ind w:firstLine="360"/>
        <w:rPr>
          <w:rFonts w:ascii="Times New Roman" w:hAnsi="Times New Roman"/>
        </w:rPr>
      </w:pPr>
      <w:r w:rsidRPr="00ED2329">
        <w:rPr>
          <w:rFonts w:ascii="Times New Roman" w:hAnsi="Times New Roman"/>
        </w:rPr>
        <w:t> </w:t>
      </w:r>
    </w:p>
    <w:p w:rsidR="00BF2117" w:rsidRPr="00ED2329" w:rsidP="00BF2117">
      <w:pPr>
        <w:numPr>
          <w:numId w:val="4"/>
        </w:numPr>
        <w:bidi w:val="0"/>
        <w:adjustRightInd w:val="0"/>
        <w:jc w:val="both"/>
        <w:rPr>
          <w:rFonts w:ascii="Times New Roman" w:hAnsi="Times New Roman"/>
          <w:i/>
        </w:rPr>
      </w:pPr>
      <w:r w:rsidRPr="00ED2329">
        <w:rPr>
          <w:rFonts w:ascii="Times New Roman" w:hAnsi="Times New Roman"/>
        </w:rPr>
        <w:t>nelegislatívne akty</w:t>
      </w:r>
    </w:p>
    <w:p w:rsidR="00BF2117" w:rsidRPr="00ED2329" w:rsidP="00BF2117">
      <w:pPr>
        <w:bidi w:val="0"/>
        <w:ind w:firstLine="708"/>
        <w:jc w:val="both"/>
        <w:rPr>
          <w:rFonts w:ascii="Times New Roman" w:hAnsi="Times New Roman"/>
        </w:rPr>
      </w:pPr>
      <w:r w:rsidRPr="00ED2329">
        <w:rPr>
          <w:rFonts w:ascii="Times New Roman" w:hAnsi="Times New Roman"/>
        </w:rPr>
        <w:t xml:space="preserve"> </w:t>
      </w:r>
    </w:p>
    <w:p w:rsidR="00BF2117" w:rsidRPr="00ED2329" w:rsidP="00BF2117">
      <w:pPr>
        <w:numPr>
          <w:numId w:val="3"/>
        </w:numPr>
        <w:tabs>
          <w:tab w:val="left" w:pos="1068"/>
        </w:tabs>
        <w:bidi w:val="0"/>
        <w:adjustRightInd w:val="0"/>
        <w:jc w:val="both"/>
        <w:rPr>
          <w:rFonts w:ascii="Times New Roman" w:hAnsi="Times New Roman"/>
          <w:i/>
        </w:rPr>
      </w:pPr>
      <w:r w:rsidRPr="00ED2329">
        <w:rPr>
          <w:rFonts w:ascii="Times New Roman" w:hAnsi="Times New Roman"/>
          <w:i/>
        </w:rPr>
        <w:t>sekundárnom (prijatom pred nadobudnutím platnosti Lisabonskej zmluvy, ktorou sa mení a dopĺňa Zmluva o Európskom spoločenstve a Zmluva o Európskej únii – do 30. novembra 2009)</w:t>
      </w:r>
    </w:p>
    <w:p w:rsidR="00BF2117" w:rsidRPr="00ED2329" w:rsidP="00BF2117">
      <w:pPr>
        <w:bidi w:val="0"/>
        <w:jc w:val="both"/>
        <w:rPr>
          <w:rFonts w:ascii="Times New Roman" w:hAnsi="Times New Roman"/>
        </w:rPr>
      </w:pPr>
    </w:p>
    <w:tbl>
      <w:tblPr>
        <w:tblStyle w:val="TableNormal"/>
        <w:tblW w:w="0" w:type="auto"/>
        <w:tblInd w:w="918" w:type="dxa"/>
      </w:tblPr>
      <w:tblGrid>
        <w:gridCol w:w="8370"/>
      </w:tblGrid>
      <w:tr>
        <w:tblPrEx>
          <w:tblW w:w="0" w:type="auto"/>
          <w:tblInd w:w="918" w:type="dxa"/>
        </w:tblPrEx>
        <w:tc>
          <w:tcPr>
            <w:tcW w:w="8658" w:type="dxa"/>
            <w:tcBorders>
              <w:top w:val="nil"/>
              <w:left w:val="nil"/>
              <w:bottom w:val="nil"/>
              <w:right w:val="nil"/>
            </w:tcBorders>
            <w:textDirection w:val="lrTb"/>
            <w:vAlign w:val="top"/>
          </w:tcPr>
          <w:p w:rsidR="00BF2117" w:rsidP="00481865">
            <w:pPr>
              <w:bidi w:val="0"/>
              <w:jc w:val="both"/>
              <w:rPr>
                <w:rFonts w:ascii="Times New Roman" w:hAnsi="Times New Roman"/>
                <w:bCs/>
                <w:iCs/>
              </w:rPr>
            </w:pPr>
            <w:r>
              <w:rPr>
                <w:rFonts w:ascii="Times New Roman" w:hAnsi="Times New Roman"/>
              </w:rPr>
              <w:t xml:space="preserve">- </w:t>
            </w:r>
            <w:r w:rsidRPr="00ED2329">
              <w:rPr>
                <w:rFonts w:ascii="Times New Roman" w:hAnsi="Times New Roman"/>
              </w:rPr>
              <w:t xml:space="preserve">nariadenie Rady (EHS) 1408/71 zo 14. júna 1971 o uplatňovaní systémov sociálneho zabezpečenia na zamestnancov, samostatne zárobkovo činné osoby a na ich rodinných príslušníkov, ktorí sa pohybujú v rámci spoločenstva v platnom znení </w:t>
            </w:r>
            <w:r w:rsidRPr="00ED2329">
              <w:rPr>
                <w:rFonts w:ascii="Times New Roman" w:hAnsi="Times New Roman"/>
                <w:bCs/>
                <w:iCs/>
              </w:rPr>
              <w:t xml:space="preserve">(Mimoriadne vydanie Ú.v. EÚ </w:t>
            </w:r>
            <w:r>
              <w:rPr>
                <w:rFonts w:ascii="Times New Roman" w:hAnsi="Times New Roman"/>
                <w:bCs/>
              </w:rPr>
              <w:t>kap. 5</w:t>
            </w:r>
            <w:r w:rsidRPr="00ED2329">
              <w:rPr>
                <w:rFonts w:ascii="Times New Roman" w:hAnsi="Times New Roman"/>
                <w:bCs/>
              </w:rPr>
              <w:t>/zv. 1</w:t>
            </w:r>
            <w:r w:rsidRPr="00ED2329">
              <w:rPr>
                <w:rFonts w:ascii="Times New Roman" w:hAnsi="Times New Roman"/>
                <w:bCs/>
                <w:iCs/>
              </w:rPr>
              <w:t>)</w:t>
            </w:r>
          </w:p>
          <w:p w:rsidR="00BF2117" w:rsidRPr="00ED2329" w:rsidP="00481865">
            <w:pPr>
              <w:bidi w:val="0"/>
              <w:jc w:val="both"/>
              <w:rPr>
                <w:rFonts w:ascii="Times New Roman" w:hAnsi="Times New Roman"/>
              </w:rPr>
            </w:pPr>
          </w:p>
          <w:p w:rsidR="00BF2117" w:rsidP="00481865">
            <w:pPr>
              <w:bidi w:val="0"/>
              <w:jc w:val="both"/>
              <w:rPr>
                <w:rFonts w:ascii="Times New Roman" w:hAnsi="Times New Roman"/>
              </w:rPr>
            </w:pPr>
            <w:r>
              <w:rPr>
                <w:rFonts w:ascii="Times New Roman" w:hAnsi="Times New Roman"/>
              </w:rPr>
              <w:t xml:space="preserve">- </w:t>
            </w:r>
            <w:r w:rsidRPr="00ED2329">
              <w:rPr>
                <w:rFonts w:ascii="Times New Roman" w:hAnsi="Times New Roman"/>
              </w:rPr>
              <w:t>nariadenie Rady (EHS) 574/72 z 21. marca 1972, ktorým sa ustanovuje postup pri vykonávaní nariadenia (EHS) č. 1408/71 o uplatňovaní systémov sociálneho zabezpečenia na zamestnancov a ich rodiny, ktorí s pohybujú v rámci spoločenstva (</w:t>
            </w:r>
            <w:r w:rsidRPr="00ED2329">
              <w:rPr>
                <w:rFonts w:ascii="Times New Roman" w:hAnsi="Times New Roman"/>
                <w:bCs/>
              </w:rPr>
              <w:t>Mimoriadne vydanie Ú. v. EÚ, kap.5/zv. 1</w:t>
            </w:r>
            <w:r w:rsidRPr="00ED2329">
              <w:rPr>
                <w:rFonts w:ascii="Times New Roman" w:hAnsi="Times New Roman"/>
              </w:rPr>
              <w:t>)</w:t>
            </w:r>
          </w:p>
          <w:p w:rsidR="00BF2117" w:rsidRPr="00ED2329" w:rsidP="00481865">
            <w:pPr>
              <w:bidi w:val="0"/>
              <w:jc w:val="both"/>
              <w:rPr>
                <w:rFonts w:ascii="Times New Roman" w:hAnsi="Times New Roman"/>
              </w:rPr>
            </w:pPr>
          </w:p>
          <w:p w:rsidR="00BF2117" w:rsidP="00481865">
            <w:pPr>
              <w:autoSpaceDE w:val="0"/>
              <w:autoSpaceDN w:val="0"/>
              <w:bidi w:val="0"/>
              <w:jc w:val="both"/>
              <w:rPr>
                <w:rFonts w:ascii="Times New Roman" w:hAnsi="Times New Roman"/>
                <w:bCs/>
                <w:iCs/>
              </w:rPr>
            </w:pPr>
            <w:r>
              <w:rPr>
                <w:rFonts w:ascii="Times New Roman" w:hAnsi="Times New Roman"/>
              </w:rPr>
              <w:t xml:space="preserve">- </w:t>
            </w:r>
            <w:r w:rsidRPr="00ED2329">
              <w:rPr>
                <w:rFonts w:ascii="Times New Roman" w:hAnsi="Times New Roman"/>
              </w:rPr>
              <w:t xml:space="preserve">nariadenie Európskeho parlamentu a Rady (ES) 883/2004 z 29. apríla 2004 o koordinácií systémov sociálneho zabezpečenia </w:t>
            </w:r>
            <w:r w:rsidRPr="00ED2329">
              <w:rPr>
                <w:rFonts w:ascii="Times New Roman" w:hAnsi="Times New Roman"/>
                <w:bCs/>
                <w:iCs/>
              </w:rPr>
              <w:t xml:space="preserve">(Mimoriadne vydanie Ú.v. EÚ, </w:t>
            </w:r>
            <w:r w:rsidRPr="00ED2329">
              <w:rPr>
                <w:rFonts w:ascii="Times New Roman" w:hAnsi="Times New Roman"/>
                <w:bCs/>
              </w:rPr>
              <w:t>kap. 05/zv. 05</w:t>
            </w:r>
            <w:r w:rsidRPr="00ED2329">
              <w:rPr>
                <w:rFonts w:ascii="Times New Roman" w:hAnsi="Times New Roman"/>
                <w:bCs/>
                <w:iCs/>
              </w:rPr>
              <w:t>)</w:t>
            </w:r>
          </w:p>
          <w:p w:rsidR="00BF2117" w:rsidRPr="00ED2329" w:rsidP="00481865">
            <w:pPr>
              <w:autoSpaceDE w:val="0"/>
              <w:autoSpaceDN w:val="0"/>
              <w:bidi w:val="0"/>
              <w:jc w:val="both"/>
              <w:rPr>
                <w:rFonts w:ascii="Times New Roman" w:hAnsi="Times New Roman"/>
                <w:bCs/>
                <w:iCs/>
              </w:rPr>
            </w:pPr>
          </w:p>
          <w:p w:rsidR="00BF2117" w:rsidRPr="00ED2329" w:rsidP="00481865">
            <w:pPr>
              <w:bidi w:val="0"/>
              <w:jc w:val="both"/>
              <w:rPr>
                <w:rFonts w:ascii="Times New Roman" w:hAnsi="Times New Roman"/>
              </w:rPr>
            </w:pPr>
            <w:r>
              <w:rPr>
                <w:rFonts w:ascii="Times New Roman" w:hAnsi="Times New Roman"/>
              </w:rPr>
              <w:t xml:space="preserve">- </w:t>
            </w:r>
            <w:r w:rsidRPr="00ED2329">
              <w:rPr>
                <w:rFonts w:ascii="Times New Roman" w:hAnsi="Times New Roman"/>
              </w:rPr>
              <w:t>nariadenie Európskeho parlamentu a Rady (ES) č. 987/2009 zo 16. septembra 2009, ktorým sa stanovuje postup vykonávania nariadenia (ES) č. 883/2004 o koordinácií systémov sociálneho zabezpečenia (Ú. v. EÚ L 284, 30.10.2009)</w:t>
            </w:r>
          </w:p>
          <w:p w:rsidR="00BF2117" w:rsidRPr="00ED2329" w:rsidP="00481865">
            <w:pPr>
              <w:bidi w:val="0"/>
              <w:jc w:val="both"/>
              <w:rPr>
                <w:rFonts w:ascii="Times New Roman" w:hAnsi="Times New Roman"/>
              </w:rPr>
            </w:pPr>
          </w:p>
        </w:tc>
      </w:tr>
    </w:tbl>
    <w:p w:rsidR="00BF2117" w:rsidRPr="00ED2329" w:rsidP="00BF2117">
      <w:pPr>
        <w:bidi w:val="0"/>
        <w:ind w:left="709" w:hanging="349"/>
        <w:rPr>
          <w:rFonts w:ascii="Times New Roman" w:hAnsi="Times New Roman"/>
        </w:rPr>
      </w:pPr>
      <w:r w:rsidRPr="00ED2329">
        <w:rPr>
          <w:rFonts w:ascii="Times New Roman" w:hAnsi="Times New Roman"/>
        </w:rPr>
        <w:t>b)</w:t>
        <w:tab/>
        <w:t>je obsiahnutá v judikatúre Súdneho dvora Európskej únie.</w:t>
      </w:r>
    </w:p>
    <w:p w:rsidR="00BF2117" w:rsidP="00BF2117">
      <w:pPr>
        <w:bidi w:val="0"/>
        <w:jc w:val="both"/>
        <w:rPr>
          <w:rFonts w:ascii="Times New Roman" w:hAnsi="Times New Roman"/>
        </w:rPr>
      </w:pPr>
      <w:r>
        <w:rPr>
          <w:rFonts w:ascii="Times New Roman" w:hAnsi="Times New Roman"/>
        </w:rPr>
        <w:t xml:space="preserve">- </w:t>
      </w:r>
      <w:r w:rsidRPr="00ED2329">
        <w:rPr>
          <w:rFonts w:ascii="Times New Roman" w:hAnsi="Times New Roman"/>
        </w:rPr>
        <w:t>rozhodnutie Súdneho dvora Európskych spoločenstiev vo veci C-120/95, Decker v Luxemburská zdravotná poisťovňa</w:t>
      </w:r>
    </w:p>
    <w:p w:rsidR="00BF2117" w:rsidRPr="00ED2329" w:rsidP="00BF2117">
      <w:pPr>
        <w:bidi w:val="0"/>
        <w:jc w:val="both"/>
        <w:rPr>
          <w:rFonts w:ascii="Times New Roman" w:hAnsi="Times New Roman"/>
        </w:rPr>
      </w:pPr>
      <w:r w:rsidRPr="00ED2329">
        <w:rPr>
          <w:rFonts w:ascii="Times New Roman" w:hAnsi="Times New Roman"/>
        </w:rPr>
        <w:br/>
      </w:r>
      <w:r>
        <w:rPr>
          <w:rFonts w:ascii="Times New Roman" w:hAnsi="Times New Roman"/>
        </w:rPr>
        <w:t xml:space="preserve">- </w:t>
      </w:r>
      <w:r w:rsidRPr="00ED2329">
        <w:rPr>
          <w:rFonts w:ascii="Times New Roman" w:hAnsi="Times New Roman"/>
        </w:rPr>
        <w:t>rozhodnutie Súdneho dvora Európskych spoločenstiev vo veci C 368/98, Abdon Vanbraekel a i. v. Alliance nationale des mutualités chrétiennes (ANMC) </w:t>
      </w:r>
    </w:p>
    <w:p w:rsidR="00BF2117" w:rsidRPr="00ED2329" w:rsidP="00BF2117">
      <w:pPr>
        <w:bidi w:val="0"/>
        <w:ind w:left="720"/>
        <w:rPr>
          <w:rFonts w:ascii="Times New Roman" w:hAnsi="Times New Roman"/>
        </w:rPr>
      </w:pPr>
      <w:r w:rsidRPr="00ED2329">
        <w:rPr>
          <w:rFonts w:ascii="Times New Roman" w:hAnsi="Times New Roman"/>
        </w:rPr>
        <w:t> </w:t>
      </w:r>
    </w:p>
    <w:p w:rsidR="00BF2117" w:rsidRPr="00ED2329" w:rsidP="00BF2117">
      <w:pPr>
        <w:bidi w:val="0"/>
        <w:ind w:left="360" w:hanging="360"/>
        <w:rPr>
          <w:rFonts w:ascii="Times New Roman" w:hAnsi="Times New Roman"/>
          <w:b/>
          <w:bCs/>
        </w:rPr>
      </w:pPr>
      <w:r w:rsidRPr="00ED2329">
        <w:rPr>
          <w:rFonts w:ascii="Times New Roman" w:hAnsi="Times New Roman"/>
          <w:b/>
          <w:bCs/>
        </w:rPr>
        <w:t>4.</w:t>
        <w:tab/>
        <w:t xml:space="preserve">Záväzky Slovenskej republiky vo vzťahu k Európskej únii: </w:t>
      </w:r>
    </w:p>
    <w:p w:rsidR="00BF2117" w:rsidRPr="00ED2329" w:rsidP="00BF2117">
      <w:pPr>
        <w:bidi w:val="0"/>
        <w:rPr>
          <w:rFonts w:ascii="Times New Roman" w:hAnsi="Times New Roman"/>
        </w:rPr>
      </w:pPr>
    </w:p>
    <w:p w:rsidR="00BF2117" w:rsidRPr="00ED2329" w:rsidP="00BF2117">
      <w:pPr>
        <w:bidi w:val="0"/>
        <w:ind w:left="709" w:hanging="349"/>
        <w:rPr>
          <w:rFonts w:ascii="Times New Roman" w:hAnsi="Times New Roman"/>
        </w:rPr>
      </w:pPr>
      <w:r w:rsidRPr="00ED2329">
        <w:rPr>
          <w:rFonts w:ascii="Times New Roman" w:hAnsi="Times New Roman"/>
        </w:rPr>
        <w:t>a)</w:t>
        <w:tab/>
        <w:t>lehota na prebratie smernice alebo lehota na implementáciu nariadenia alebo rozhodnutia</w:t>
      </w:r>
    </w:p>
    <w:p w:rsidR="00BF2117" w:rsidRPr="00ED2329" w:rsidP="00BF2117">
      <w:pPr>
        <w:bidi w:val="0"/>
        <w:ind w:left="720"/>
        <w:rPr>
          <w:rFonts w:ascii="Times New Roman" w:hAnsi="Times New Roman"/>
        </w:rPr>
      </w:pPr>
    </w:p>
    <w:p w:rsidR="00BF2117" w:rsidRPr="00ED2329" w:rsidP="00BF2117">
      <w:pPr>
        <w:bidi w:val="0"/>
        <w:ind w:left="720"/>
        <w:rPr>
          <w:rFonts w:ascii="Times New Roman" w:hAnsi="Times New Roman"/>
        </w:rPr>
      </w:pPr>
      <w:r w:rsidRPr="00ED2329">
        <w:rPr>
          <w:rFonts w:ascii="Times New Roman" w:hAnsi="Times New Roman"/>
        </w:rPr>
        <w:t>bezpredmetné </w:t>
      </w:r>
    </w:p>
    <w:p w:rsidR="00BF2117" w:rsidRPr="00ED2329" w:rsidP="00BF2117">
      <w:pPr>
        <w:bidi w:val="0"/>
        <w:rPr>
          <w:rFonts w:ascii="Times New Roman" w:hAnsi="Times New Roman"/>
        </w:rPr>
      </w:pPr>
    </w:p>
    <w:p w:rsidR="00BF2117" w:rsidP="00BF2117">
      <w:pPr>
        <w:bidi w:val="0"/>
        <w:ind w:left="709" w:hanging="352"/>
        <w:jc w:val="both"/>
        <w:rPr>
          <w:rFonts w:ascii="Times New Roman" w:hAnsi="Times New Roman"/>
        </w:rPr>
      </w:pPr>
      <w:r>
        <w:rPr>
          <w:rFonts w:ascii="Times New Roman" w:hAnsi="Times New Roman"/>
        </w:rPr>
        <w:t>b)</w:t>
        <w:tab/>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BF2117" w:rsidP="00BF2117">
      <w:pPr>
        <w:bidi w:val="0"/>
        <w:ind w:left="709" w:hanging="349"/>
        <w:rPr>
          <w:rFonts w:ascii="Times New Roman" w:hAnsi="Times New Roman"/>
        </w:rPr>
      </w:pPr>
    </w:p>
    <w:p w:rsidR="00BF2117" w:rsidP="00BF2117">
      <w:pPr>
        <w:bidi w:val="0"/>
        <w:ind w:left="709" w:hanging="1"/>
        <w:rPr>
          <w:rFonts w:ascii="Times New Roman" w:hAnsi="Times New Roman"/>
        </w:rPr>
      </w:pPr>
      <w:r>
        <w:rPr>
          <w:rFonts w:ascii="Times New Roman" w:hAnsi="Times New Roman"/>
        </w:rPr>
        <w:t>bezpredmetné</w:t>
      </w:r>
    </w:p>
    <w:p w:rsidR="00BF2117" w:rsidP="00BF2117">
      <w:pPr>
        <w:bidi w:val="0"/>
        <w:ind w:left="709" w:hanging="349"/>
        <w:rPr>
          <w:rFonts w:ascii="Times New Roman" w:hAnsi="Times New Roman"/>
        </w:rPr>
      </w:pPr>
    </w:p>
    <w:p w:rsidR="00BF2117" w:rsidRPr="00ED2329" w:rsidP="00BF2117">
      <w:pPr>
        <w:bidi w:val="0"/>
        <w:ind w:left="709" w:hanging="352"/>
        <w:jc w:val="both"/>
        <w:rPr>
          <w:rFonts w:ascii="Times New Roman" w:hAnsi="Times New Roman"/>
        </w:rPr>
      </w:pPr>
      <w:r>
        <w:rPr>
          <w:rFonts w:ascii="Times New Roman" w:hAnsi="Times New Roman"/>
        </w:rPr>
        <w:t>c</w:t>
      </w:r>
      <w:r w:rsidRPr="00ED2329">
        <w:rPr>
          <w:rFonts w:ascii="Times New Roman" w:hAnsi="Times New Roman"/>
        </w:rPr>
        <w:t>)</w:t>
        <w:tab/>
        <w:t>informácia o konaní začatom proti Slovenskej republike o porušení Zmluvy o fungovaní Európskej únie podľa čl. 258 až 260 tejto zmluvy</w:t>
      </w:r>
    </w:p>
    <w:p w:rsidR="00BF2117" w:rsidRPr="00ED2329" w:rsidP="00BF2117">
      <w:pPr>
        <w:bidi w:val="0"/>
        <w:ind w:left="720"/>
        <w:rPr>
          <w:rFonts w:ascii="Times New Roman" w:hAnsi="Times New Roman"/>
        </w:rPr>
      </w:pPr>
    </w:p>
    <w:p w:rsidR="00BF2117" w:rsidRPr="00ED2329" w:rsidP="00BF2117">
      <w:pPr>
        <w:numPr>
          <w:numId w:val="3"/>
        </w:numPr>
        <w:tabs>
          <w:tab w:val="num" w:pos="360"/>
          <w:tab w:val="clear" w:pos="1068"/>
        </w:tabs>
        <w:bidi w:val="0"/>
        <w:adjustRightInd w:val="0"/>
        <w:ind w:left="360" w:hanging="360"/>
        <w:jc w:val="both"/>
        <w:rPr>
          <w:rFonts w:ascii="Times New Roman" w:hAnsi="Times New Roman"/>
        </w:rPr>
      </w:pPr>
      <w:r w:rsidRPr="00ED2329">
        <w:rPr>
          <w:rFonts w:ascii="Times New Roman" w:hAnsi="Times New Roman"/>
        </w:rPr>
        <w:t>K (2008) 5837 (porušenie. 2007/4641), v ktorom Európska komisia upozornila na rozpor vnútroštátnej právnej úpravy § 10  zákona č. 580/2004 Z. z. s čl. 49 Zmluvy o založení ES o slobode poskytovania služieb ohľadom náhrady nákladov za zdravotnú starostlivosť poskytnutú v iných členských štátoch;</w:t>
      </w:r>
    </w:p>
    <w:p w:rsidR="00BF2117" w:rsidRPr="00ED2329" w:rsidP="00BF2117">
      <w:pPr>
        <w:numPr>
          <w:numId w:val="3"/>
        </w:numPr>
        <w:tabs>
          <w:tab w:val="num" w:pos="360"/>
          <w:tab w:val="clear" w:pos="1068"/>
        </w:tabs>
        <w:bidi w:val="0"/>
        <w:adjustRightInd w:val="0"/>
        <w:ind w:left="360" w:hanging="360"/>
        <w:jc w:val="both"/>
        <w:rPr>
          <w:rFonts w:ascii="Times New Roman" w:hAnsi="Times New Roman"/>
        </w:rPr>
      </w:pPr>
      <w:r w:rsidRPr="00ED2329">
        <w:rPr>
          <w:rFonts w:ascii="Times New Roman" w:hAnsi="Times New Roman"/>
        </w:rPr>
        <w:t xml:space="preserve">K (2009) 8843 (porušenie 2008/4268), týkajúce sa niektorých vnútroštátnych predpisov regulujúcich oblasť zdravotného poistenia, ktoré porušujú slobodu voľného pohybu kapitálu a tretiu smernicu o neživotnom poistení. V tomto okrem iného konštatuje, že § 61 ods. 1 zákona č. 581/2004 Z. z. predstavuje porušenie slobody usadiť sa zaručenej čl. 43 Zmluvy o založení ES, pretože povinný bezodplatný prevod poistného kmeňa medzi zdravotnými poisťovňami predstavuje zásah do ich súkromných majetkových práv, čo predstavuje opatrenie, ktoré je spôsobilé vylúčiť súťaž alebo urobiť menej príťažlivým výkon slobody usadiť sa.  </w:t>
      </w:r>
    </w:p>
    <w:p w:rsidR="00BF2117" w:rsidRPr="00ED2329" w:rsidP="00BF2117">
      <w:pPr>
        <w:bidi w:val="0"/>
        <w:ind w:firstLine="708"/>
        <w:rPr>
          <w:rFonts w:ascii="Times New Roman" w:hAnsi="Times New Roman"/>
        </w:rPr>
      </w:pPr>
    </w:p>
    <w:p w:rsidR="00BF2117" w:rsidP="00BF2117">
      <w:pPr>
        <w:bidi w:val="0"/>
        <w:ind w:left="709" w:hanging="352"/>
        <w:jc w:val="both"/>
        <w:rPr>
          <w:rFonts w:ascii="Times New Roman" w:hAnsi="Times New Roman"/>
        </w:rPr>
      </w:pPr>
      <w:r>
        <w:rPr>
          <w:rFonts w:ascii="Times New Roman" w:hAnsi="Times New Roman"/>
        </w:rPr>
        <w:t>d</w:t>
      </w:r>
      <w:r w:rsidRPr="00ED2329">
        <w:rPr>
          <w:rFonts w:ascii="Times New Roman" w:hAnsi="Times New Roman"/>
        </w:rPr>
        <w:t>)</w:t>
        <w:tab/>
        <w:t>informácia o právnych predpisoch, v ktorých sú preberané smernice už prebraté spolu s uvedením rozsahu tohto prebratia</w:t>
      </w:r>
    </w:p>
    <w:p w:rsidR="00BF2117" w:rsidP="00BF2117">
      <w:pPr>
        <w:bidi w:val="0"/>
        <w:ind w:left="709" w:hanging="349"/>
        <w:rPr>
          <w:rFonts w:ascii="Times New Roman" w:hAnsi="Times New Roman"/>
        </w:rPr>
      </w:pPr>
    </w:p>
    <w:p w:rsidR="00BF2117" w:rsidRPr="00ED2329" w:rsidP="00BF2117">
      <w:pPr>
        <w:bidi w:val="0"/>
        <w:ind w:left="709" w:hanging="349"/>
        <w:rPr>
          <w:rFonts w:ascii="Times New Roman" w:hAnsi="Times New Roman"/>
        </w:rPr>
      </w:pPr>
      <w:r>
        <w:rPr>
          <w:rFonts w:ascii="Times New Roman" w:hAnsi="Times New Roman"/>
        </w:rPr>
        <w:tab/>
        <w:t>bezpredmetné</w:t>
      </w:r>
    </w:p>
    <w:p w:rsidR="00BF2117" w:rsidRPr="00ED2329" w:rsidP="00BF2117">
      <w:pPr>
        <w:bidi w:val="0"/>
        <w:ind w:left="720"/>
        <w:rPr>
          <w:rFonts w:ascii="Times New Roman" w:hAnsi="Times New Roman"/>
        </w:rPr>
      </w:pPr>
    </w:p>
    <w:p w:rsidR="00BF2117" w:rsidRPr="00ED2329" w:rsidP="00BF2117">
      <w:pPr>
        <w:bidi w:val="0"/>
        <w:rPr>
          <w:rFonts w:ascii="Times New Roman" w:hAnsi="Times New Roman"/>
          <w:b/>
          <w:bCs/>
        </w:rPr>
      </w:pPr>
      <w:r>
        <w:rPr>
          <w:rFonts w:ascii="Times New Roman" w:hAnsi="Times New Roman"/>
          <w:b/>
          <w:bCs/>
        </w:rPr>
        <w:t xml:space="preserve">5.   </w:t>
      </w:r>
      <w:r w:rsidRPr="00ED2329">
        <w:rPr>
          <w:rFonts w:ascii="Times New Roman" w:hAnsi="Times New Roman"/>
          <w:b/>
          <w:bCs/>
        </w:rPr>
        <w:t>Stupeň zlučiteľnosti návrhu právneho predpisu s právom Európskej únie:</w:t>
      </w:r>
    </w:p>
    <w:p w:rsidR="00BF2117" w:rsidRPr="00ED2329" w:rsidP="00BF2117">
      <w:pPr>
        <w:bidi w:val="0"/>
        <w:rPr>
          <w:rFonts w:ascii="Times New Roman" w:hAnsi="Times New Roman"/>
        </w:rPr>
      </w:pPr>
    </w:p>
    <w:p w:rsidR="00BF2117" w:rsidRPr="00ED2329" w:rsidP="00BF2117">
      <w:pPr>
        <w:bidi w:val="0"/>
        <w:ind w:firstLine="360"/>
        <w:rPr>
          <w:rFonts w:ascii="Times New Roman" w:hAnsi="Times New Roman"/>
        </w:rPr>
      </w:pPr>
      <w:r w:rsidRPr="00ED2329">
        <w:rPr>
          <w:rFonts w:ascii="Times New Roman" w:hAnsi="Times New Roman"/>
        </w:rPr>
        <w:t>Stupeň zlučiteľnosti - úplný </w:t>
      </w:r>
    </w:p>
    <w:p w:rsidR="00BF2117" w:rsidRPr="00ED2329" w:rsidP="00BF2117">
      <w:pPr>
        <w:bidi w:val="0"/>
        <w:rPr>
          <w:rFonts w:ascii="Times New Roman" w:hAnsi="Times New Roman"/>
        </w:rPr>
      </w:pPr>
    </w:p>
    <w:p w:rsidR="00BF2117" w:rsidRPr="00ED2329" w:rsidP="00BF2117">
      <w:pPr>
        <w:bidi w:val="0"/>
        <w:ind w:left="360" w:hanging="360"/>
        <w:rPr>
          <w:rFonts w:ascii="Times New Roman" w:hAnsi="Times New Roman"/>
          <w:b/>
          <w:bCs/>
        </w:rPr>
      </w:pPr>
      <w:r>
        <w:rPr>
          <w:rFonts w:ascii="Times New Roman" w:hAnsi="Times New Roman"/>
          <w:b/>
          <w:bCs/>
        </w:rPr>
        <w:t>6.</w:t>
        <w:tab/>
      </w:r>
      <w:r w:rsidRPr="00ED2329">
        <w:rPr>
          <w:rFonts w:ascii="Times New Roman" w:hAnsi="Times New Roman"/>
          <w:b/>
          <w:bCs/>
        </w:rPr>
        <w:t xml:space="preserve">Gestor a spolupracujúce rezorty: </w:t>
      </w:r>
    </w:p>
    <w:p w:rsidR="006C6446" w:rsidRPr="006149E1" w:rsidP="00031EE6">
      <w:pPr>
        <w:bidi w:val="0"/>
        <w:spacing w:line="360" w:lineRule="auto"/>
        <w:rPr>
          <w:rFonts w:ascii="Times New Roman" w:hAnsi="Times New Roman"/>
        </w:rPr>
      </w:pPr>
    </w:p>
    <w:p w:rsidR="00BA0189" w:rsidP="00031EE6">
      <w:pPr>
        <w:bidi w:val="0"/>
        <w:spacing w:line="360" w:lineRule="auto"/>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hybridMultilevel"/>
    <w:tmpl w:val="35E4E048"/>
    <w:lvl w:ilvl="0">
      <w:start w:val="2"/>
      <w:numFmt w:val="lowerLetter"/>
      <w:lvlText w:val="%1)"/>
      <w:lvlJc w:val="left"/>
      <w:pPr>
        <w:tabs>
          <w:tab w:val="num" w:pos="570"/>
        </w:tabs>
        <w:ind w:left="570" w:hanging="390"/>
      </w:pPr>
      <w:rPr>
        <w:rFonts w:cs="Times New Roman" w:hint="default"/>
        <w:rtl w:val="0"/>
        <w:cs w:val="0"/>
      </w:rPr>
    </w:lvl>
    <w:lvl w:ilvl="1">
      <w:start w:val="1"/>
      <w:numFmt w:val="lowerLetter"/>
      <w:lvlText w:val="%2."/>
      <w:lvlJc w:val="left"/>
      <w:pPr>
        <w:tabs>
          <w:tab w:val="num" w:pos="1260"/>
        </w:tabs>
        <w:ind w:left="1260" w:hanging="360"/>
      </w:pPr>
      <w:rPr>
        <w:rFonts w:cs="Times New Roman"/>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41DF5C16"/>
    <w:multiLevelType w:val="hybridMultilevel"/>
    <w:tmpl w:val="5AC4AA56"/>
    <w:lvl w:ilvl="0">
      <w:start w:val="1"/>
      <w:numFmt w:val="decimal"/>
      <w:lvlText w:val="%1."/>
      <w:lvlJc w:val="left"/>
      <w:pPr>
        <w:tabs>
          <w:tab w:val="num" w:pos="720"/>
        </w:tabs>
        <w:ind w:left="720" w:hanging="360"/>
      </w:pPr>
      <w:rPr>
        <w:rFonts w:cs="Times New Roman"/>
        <w:b/>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Letter"/>
      <w:lvlText w:val="%3)"/>
      <w:lvlJc w:val="left"/>
      <w:pPr>
        <w:tabs>
          <w:tab w:val="num" w:pos="2340"/>
        </w:tabs>
        <w:ind w:left="2340" w:hanging="360"/>
      </w:pPr>
      <w:rPr>
        <w:rFonts w:cs="Times New Roman" w:hint="default"/>
        <w:rtl w:val="0"/>
        <w:cs w:val="0"/>
      </w:rPr>
    </w:lvl>
    <w:lvl w:ilvl="3">
      <w:start w:val="0"/>
      <w:numFmt w:val="bullet"/>
      <w:lvlText w:val="-"/>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6C6446"/>
    <w:rsid w:val="00031EE6"/>
    <w:rsid w:val="000D6F52"/>
    <w:rsid w:val="001467ED"/>
    <w:rsid w:val="00284153"/>
    <w:rsid w:val="00481865"/>
    <w:rsid w:val="006134F7"/>
    <w:rsid w:val="006149E1"/>
    <w:rsid w:val="00640E4B"/>
    <w:rsid w:val="006C6446"/>
    <w:rsid w:val="008B3049"/>
    <w:rsid w:val="009D4942"/>
    <w:rsid w:val="00B03590"/>
    <w:rsid w:val="00B1706E"/>
    <w:rsid w:val="00BA0189"/>
    <w:rsid w:val="00BF2117"/>
    <w:rsid w:val="00C043FF"/>
    <w:rsid w:val="00CB55AD"/>
    <w:rsid w:val="00D02AA7"/>
    <w:rsid w:val="00ED232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44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link w:val="Nadpis4Char"/>
    <w:uiPriority w:val="9"/>
    <w:qFormat/>
    <w:rsid w:val="006C6446"/>
    <w:pPr>
      <w:keepNext/>
      <w:spacing w:before="240" w:after="60"/>
      <w:jc w:val="left"/>
      <w:outlineLvl w:val="3"/>
    </w:pPr>
    <w:rPr>
      <w:b/>
      <w:bCs/>
      <w:sz w:val="28"/>
      <w:szCs w:val="28"/>
      <w:lang w:eastAsia="cs-CZ"/>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
    <w:semiHidden/>
    <w:locked/>
    <w:rPr>
      <w:rFonts w:ascii="Calibri" w:hAnsi="Calibri" w:cs="Times New Roman"/>
      <w:b/>
      <w:bCs/>
      <w:sz w:val="28"/>
      <w:szCs w:val="2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602</Words>
  <Characters>3589</Characters>
  <Application>Microsoft Office Word</Application>
  <DocSecurity>0</DocSecurity>
  <Lines>0</Lines>
  <Paragraphs>0</Paragraphs>
  <ScaleCrop>false</ScaleCrop>
  <Company>Kancelaria NR SR</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ZLUČITEĽNOSTI</dc:title>
  <dc:creator>Katarina_Cibulkova</dc:creator>
  <cp:lastModifiedBy>GaspJarm</cp:lastModifiedBy>
  <cp:revision>2</cp:revision>
  <dcterms:created xsi:type="dcterms:W3CDTF">2011-01-14T14:47:00Z</dcterms:created>
  <dcterms:modified xsi:type="dcterms:W3CDTF">2011-01-14T14:47:00Z</dcterms:modified>
</cp:coreProperties>
</file>