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2D6F" w:rsidP="00CD6E77">
      <w:pPr>
        <w:pStyle w:val="Title"/>
        <w:bidi w:val="0"/>
        <w:rPr>
          <w:rFonts w:ascii="Times New Roman" w:hAnsi="Times New Roman"/>
          <w:b/>
          <w:bCs/>
          <w:sz w:val="24"/>
        </w:rPr>
      </w:pPr>
      <w:r>
        <w:rPr>
          <w:rFonts w:ascii="Times New Roman" w:hAnsi="Times New Roman"/>
          <w:b/>
          <w:bCs/>
          <w:sz w:val="24"/>
        </w:rPr>
        <w:t>NÁRODNÁ  RADA  SLOVENSKEJ  REPUBLIKY</w:t>
      </w:r>
    </w:p>
    <w:p w:rsidR="00632D6F" w:rsidP="00632D6F">
      <w:pPr>
        <w:pBdr>
          <w:bottom w:val="single" w:sz="12" w:space="1" w:color="auto"/>
        </w:pBdr>
        <w:bidi w:val="0"/>
        <w:jc w:val="center"/>
        <w:rPr>
          <w:rFonts w:ascii="Times New Roman" w:hAnsi="Times New Roman"/>
        </w:rPr>
      </w:pPr>
      <w:r>
        <w:rPr>
          <w:rFonts w:ascii="Times New Roman" w:hAnsi="Times New Roman"/>
        </w:rPr>
        <w:t>V. volebné obdobie</w:t>
      </w:r>
    </w:p>
    <w:p w:rsidR="00632D6F" w:rsidP="00632D6F">
      <w:pPr>
        <w:pStyle w:val="Heading3"/>
        <w:bidi w:val="0"/>
        <w:spacing w:before="40"/>
        <w:rPr>
          <w:rFonts w:ascii="Times New Roman" w:hAnsi="Times New Roman"/>
        </w:rPr>
      </w:pPr>
    </w:p>
    <w:p w:rsidR="00632D6F" w:rsidRPr="000176E5" w:rsidP="00632D6F">
      <w:pPr>
        <w:pStyle w:val="Heading3"/>
        <w:bidi w:val="0"/>
        <w:spacing w:before="40"/>
        <w:rPr>
          <w:rFonts w:ascii="Times New Roman" w:hAnsi="Times New Roman"/>
          <w:sz w:val="36"/>
          <w:szCs w:val="36"/>
        </w:rPr>
      </w:pPr>
      <w:r w:rsidR="004D2816">
        <w:rPr>
          <w:rFonts w:ascii="Times New Roman" w:hAnsi="Times New Roman"/>
          <w:sz w:val="36"/>
          <w:szCs w:val="36"/>
        </w:rPr>
        <w:t>......</w:t>
      </w:r>
    </w:p>
    <w:p w:rsidR="00632D6F" w:rsidP="00632D6F">
      <w:pPr>
        <w:pStyle w:val="Heading2"/>
        <w:bidi w:val="0"/>
        <w:spacing w:before="120"/>
        <w:rPr>
          <w:rFonts w:hint="default"/>
        </w:rPr>
      </w:pPr>
      <w:r>
        <w:rPr>
          <w:rFonts w:hint="default"/>
        </w:rPr>
        <w:t>NÁ</w:t>
      </w:r>
      <w:r>
        <w:rPr>
          <w:rFonts w:hint="default"/>
        </w:rPr>
        <w:t>VRH</w:t>
      </w:r>
    </w:p>
    <w:p w:rsidR="00632D6F" w:rsidP="00632D6F">
      <w:pPr>
        <w:pStyle w:val="Title"/>
        <w:bidi w:val="0"/>
        <w:rPr>
          <w:rFonts w:ascii="Times New Roman" w:hAnsi="Times New Roman"/>
          <w:b/>
          <w:sz w:val="24"/>
        </w:rPr>
      </w:pPr>
    </w:p>
    <w:p w:rsidR="00632D6F" w:rsidP="00632D6F">
      <w:pPr>
        <w:pStyle w:val="Title"/>
        <w:bidi w:val="0"/>
        <w:spacing w:after="120"/>
        <w:rPr>
          <w:rFonts w:ascii="Times New Roman" w:hAnsi="Times New Roman"/>
          <w:b/>
          <w:sz w:val="24"/>
        </w:rPr>
      </w:pPr>
      <w:r w:rsidR="00CD6E77">
        <w:rPr>
          <w:rFonts w:ascii="Times New Roman" w:hAnsi="Times New Roman"/>
          <w:b/>
          <w:sz w:val="24"/>
        </w:rPr>
        <w:t>Zákon</w:t>
      </w:r>
    </w:p>
    <w:p w:rsidR="00632D6F" w:rsidP="00632D6F">
      <w:pPr>
        <w:pStyle w:val="jaspinormlny"/>
        <w:bidi w:val="0"/>
        <w:spacing w:line="240" w:lineRule="auto"/>
        <w:jc w:val="center"/>
        <w:outlineLvl w:val="0"/>
        <w:rPr>
          <w:rFonts w:ascii="Times New Roman" w:hAnsi="Times New Roman"/>
        </w:rPr>
      </w:pPr>
      <w:r>
        <w:rPr>
          <w:rFonts w:ascii="Times New Roman" w:hAnsi="Times New Roman"/>
          <w:bCs/>
        </w:rPr>
        <w:t>z .................... 20</w:t>
      </w:r>
      <w:r w:rsidR="004D2816">
        <w:rPr>
          <w:rFonts w:ascii="Times New Roman" w:hAnsi="Times New Roman"/>
          <w:bCs/>
        </w:rPr>
        <w:t>10</w:t>
      </w:r>
    </w:p>
    <w:p w:rsidR="00632D6F" w:rsidP="00632D6F">
      <w:pPr>
        <w:bidi w:val="0"/>
        <w:jc w:val="center"/>
        <w:outlineLvl w:val="1"/>
        <w:rPr>
          <w:rFonts w:ascii="Times New Roman" w:hAnsi="Times New Roman"/>
          <w:b/>
          <w:bCs/>
          <w:noProof/>
          <w:u w:val="words"/>
        </w:rPr>
      </w:pPr>
    </w:p>
    <w:p w:rsidR="00FA2FCA" w:rsidP="00F54816">
      <w:pPr>
        <w:bidi w:val="0"/>
        <w:jc w:val="center"/>
        <w:rPr>
          <w:rFonts w:ascii="Times New Roman" w:hAnsi="Times New Roman"/>
          <w:b/>
        </w:rPr>
      </w:pPr>
      <w:r w:rsidRPr="004D2816" w:rsidR="004D2816">
        <w:rPr>
          <w:rFonts w:ascii="Times New Roman" w:hAnsi="Times New Roman"/>
          <w:b/>
        </w:rPr>
        <w:t>ktorým sa mení a dopĺňa zákon</w:t>
      </w:r>
      <w:r w:rsidR="004D2816">
        <w:rPr>
          <w:rFonts w:ascii="Times New Roman" w:hAnsi="Times New Roman"/>
          <w:b/>
        </w:rPr>
        <w:t xml:space="preserve"> č. </w:t>
      </w:r>
      <w:r w:rsidRPr="004D2816" w:rsidR="004D2816">
        <w:rPr>
          <w:rFonts w:ascii="Times New Roman" w:hAnsi="Times New Roman"/>
          <w:b/>
        </w:rPr>
        <w:t>493/2009 Z.z. o niektorých opatreniach týkajúcich sa strategických spoločností a o zmene a doplnení niektorých zákonov</w:t>
      </w:r>
    </w:p>
    <w:p w:rsidR="00FA2FCA" w:rsidP="00FA2FCA">
      <w:pPr>
        <w:bidi w:val="0"/>
        <w:jc w:val="center"/>
        <w:rPr>
          <w:rFonts w:ascii="Times New Roman" w:hAnsi="Times New Roman"/>
          <w:b/>
        </w:rPr>
      </w:pPr>
    </w:p>
    <w:p w:rsidR="00CD6E77" w:rsidP="00FA2FCA">
      <w:pPr>
        <w:bidi w:val="0"/>
        <w:jc w:val="center"/>
        <w:rPr>
          <w:rFonts w:ascii="Times New Roman" w:hAnsi="Times New Roman"/>
          <w:b/>
        </w:rPr>
      </w:pPr>
    </w:p>
    <w:p w:rsidR="00FA2FCA" w:rsidP="00407D92">
      <w:pPr>
        <w:bidi w:val="0"/>
        <w:ind w:firstLine="567"/>
        <w:rPr>
          <w:rFonts w:ascii="Times New Roman" w:hAnsi="Times New Roman"/>
        </w:rPr>
      </w:pPr>
      <w:r>
        <w:rPr>
          <w:rFonts w:ascii="Times New Roman" w:hAnsi="Times New Roman"/>
        </w:rPr>
        <w:t>Národná rada Slovenskej republiky sa uzniesla na tomto zákone:</w:t>
      </w:r>
    </w:p>
    <w:p w:rsidR="00FA2FCA" w:rsidP="00FA2FCA">
      <w:pPr>
        <w:bidi w:val="0"/>
        <w:rPr>
          <w:rFonts w:ascii="Times New Roman" w:hAnsi="Times New Roman"/>
        </w:rPr>
      </w:pPr>
    </w:p>
    <w:p w:rsidR="004D2816" w:rsidP="004D2816">
      <w:pPr>
        <w:pStyle w:val="tl1"/>
        <w:bidi w:val="0"/>
        <w:jc w:val="center"/>
        <w:rPr>
          <w:rFonts w:ascii="Times New Roman" w:hAnsi="Times New Roman"/>
        </w:rPr>
      </w:pPr>
      <w:r>
        <w:rPr>
          <w:rFonts w:ascii="Times New Roman" w:hAnsi="Times New Roman"/>
        </w:rPr>
        <w:t>Čl. I</w:t>
      </w:r>
    </w:p>
    <w:p w:rsidR="004D2816" w:rsidP="004D2816">
      <w:pPr>
        <w:pStyle w:val="tl1"/>
        <w:bidi w:val="0"/>
        <w:rPr>
          <w:rFonts w:ascii="Times New Roman" w:hAnsi="Times New Roman"/>
        </w:rPr>
      </w:pPr>
      <w:r>
        <w:rPr>
          <w:rFonts w:ascii="Times New Roman" w:hAnsi="Times New Roman"/>
        </w:rPr>
        <w:t xml:space="preserve"> </w:t>
      </w:r>
    </w:p>
    <w:p w:rsidR="00E6224E" w:rsidP="004D2816">
      <w:pPr>
        <w:pStyle w:val="tl1"/>
        <w:bidi w:val="0"/>
        <w:rPr>
          <w:rFonts w:ascii="Times New Roman" w:hAnsi="Times New Roman"/>
        </w:rPr>
      </w:pPr>
      <w:r w:rsidR="004D2816">
        <w:rPr>
          <w:rFonts w:ascii="Times New Roman" w:hAnsi="Times New Roman"/>
        </w:rPr>
        <w:t xml:space="preserve">      Zákon Národnej rady Slovenskej republiky č. </w:t>
      </w:r>
      <w:r w:rsidRPr="004D2816" w:rsidR="004D2816">
        <w:rPr>
          <w:rFonts w:ascii="Times New Roman" w:hAnsi="Times New Roman"/>
        </w:rPr>
        <w:t>493/2009 Z.z. o niektorých opatreniach týkajúcich sa strategických spoločností a o zmene a doplnení niektorých zákonov</w:t>
      </w:r>
      <w:r w:rsidR="004D2816">
        <w:rPr>
          <w:rFonts w:ascii="Times New Roman" w:hAnsi="Times New Roman"/>
        </w:rPr>
        <w:t xml:space="preserve"> sa mení a dopĺňa takto:</w:t>
      </w:r>
    </w:p>
    <w:p w:rsidR="00E002F8" w:rsidP="00E002F8">
      <w:pPr>
        <w:bidi w:val="0"/>
        <w:rPr>
          <w:rFonts w:ascii="Times New Roman" w:hAnsi="Times New Roman"/>
        </w:rPr>
      </w:pPr>
    </w:p>
    <w:p w:rsidR="007759A2" w:rsidP="00093899">
      <w:pPr>
        <w:numPr>
          <w:numId w:val="11"/>
        </w:numPr>
        <w:bidi w:val="0"/>
        <w:rPr>
          <w:rFonts w:ascii="Times New Roman" w:hAnsi="Times New Roman"/>
        </w:rPr>
      </w:pPr>
      <w:r w:rsidR="00093899">
        <w:rPr>
          <w:rFonts w:ascii="Times New Roman" w:hAnsi="Times New Roman"/>
        </w:rPr>
        <w:t xml:space="preserve"> </w:t>
      </w:r>
      <w:r>
        <w:rPr>
          <w:rFonts w:ascii="Times New Roman" w:hAnsi="Times New Roman"/>
        </w:rPr>
        <w:t>Čl. I znie:</w:t>
      </w:r>
    </w:p>
    <w:p w:rsidR="007759A2" w:rsidP="007759A2">
      <w:pPr>
        <w:bidi w:val="0"/>
        <w:jc w:val="center"/>
        <w:rPr>
          <w:rFonts w:ascii="Times New Roman" w:hAnsi="Times New Roman"/>
        </w:rPr>
      </w:pPr>
      <w:r>
        <w:rPr>
          <w:rFonts w:ascii="Times New Roman" w:hAnsi="Times New Roman"/>
        </w:rPr>
        <w:t>§ 1</w:t>
      </w:r>
    </w:p>
    <w:p w:rsidR="007759A2" w:rsidP="007759A2">
      <w:pPr>
        <w:bidi w:val="0"/>
        <w:jc w:val="center"/>
        <w:rPr>
          <w:rFonts w:ascii="Times New Roman" w:hAnsi="Times New Roman"/>
        </w:rPr>
      </w:pPr>
    </w:p>
    <w:p w:rsidR="007759A2" w:rsidP="007759A2">
      <w:pPr>
        <w:pStyle w:val="tl1"/>
        <w:bidi w:val="0"/>
        <w:rPr>
          <w:rFonts w:ascii="Times New Roman" w:hAnsi="Times New Roman"/>
        </w:rPr>
      </w:pPr>
      <w:r w:rsidRPr="007759A2">
        <w:rPr>
          <w:rFonts w:ascii="Times New Roman" w:hAnsi="Times New Roman"/>
        </w:rPr>
        <w:t>Tento zákon upravuje niektoré opatrenia týkajúce sa strategicky významných obchodných spoločností (ďalej len "strategická spoločnosť") ako opatrení na zmiernenie krízovej ekonomickej situácie strategickej spoločnosti a vplyvov globálnej hospodárskej krízy.</w:t>
      </w:r>
    </w:p>
    <w:p w:rsidR="007759A2" w:rsidP="007759A2">
      <w:pPr>
        <w:pStyle w:val="tl1"/>
        <w:bidi w:val="0"/>
        <w:rPr>
          <w:rFonts w:ascii="Times New Roman" w:hAnsi="Times New Roman"/>
        </w:rPr>
      </w:pPr>
    </w:p>
    <w:p w:rsidR="007759A2" w:rsidP="007759A2">
      <w:pPr>
        <w:pStyle w:val="tl1"/>
        <w:bidi w:val="0"/>
        <w:jc w:val="center"/>
        <w:rPr>
          <w:rFonts w:ascii="Times New Roman" w:hAnsi="Times New Roman"/>
        </w:rPr>
      </w:pPr>
      <w:r>
        <w:rPr>
          <w:rFonts w:ascii="Times New Roman" w:hAnsi="Times New Roman"/>
        </w:rPr>
        <w:t>§ 2</w:t>
      </w:r>
    </w:p>
    <w:p w:rsidR="007759A2" w:rsidP="007759A2">
      <w:pPr>
        <w:pStyle w:val="tl1"/>
        <w:bidi w:val="0"/>
        <w:jc w:val="center"/>
        <w:rPr>
          <w:rFonts w:ascii="Times New Roman" w:hAnsi="Times New Roman"/>
        </w:rPr>
      </w:pPr>
    </w:p>
    <w:p w:rsidR="007759A2" w:rsidP="007759A2">
      <w:pPr>
        <w:pStyle w:val="tl1"/>
        <w:bidi w:val="0"/>
        <w:rPr>
          <w:rFonts w:ascii="Times New Roman" w:hAnsi="Times New Roman"/>
        </w:rPr>
      </w:pPr>
      <w:r>
        <w:rPr>
          <w:rFonts w:ascii="Times New Roman" w:hAnsi="Times New Roman"/>
        </w:rPr>
        <w:t>Na účely tohto zákona sa strategickou spoločnosťou rozumie obchodná spoločnosť, o ktorej strategickom význame rozhodne vláda Slovenskej republiky (ďalej len „vláda“) a na majetok ktorej bol vyhlásený konkurz a je dôležitá na ochranu zdravia, pre bezpečnosť štátu a riadny chod hospodárstva a</w:t>
      </w:r>
    </w:p>
    <w:p w:rsidR="007759A2" w:rsidP="007759A2">
      <w:pPr>
        <w:pStyle w:val="tl1"/>
        <w:bidi w:val="0"/>
        <w:ind w:firstLine="567"/>
        <w:rPr>
          <w:rFonts w:ascii="Times New Roman" w:hAnsi="Times New Roman"/>
        </w:rPr>
      </w:pPr>
    </w:p>
    <w:p w:rsidR="007759A2" w:rsidP="007759A2">
      <w:pPr>
        <w:pStyle w:val="tl1"/>
        <w:numPr>
          <w:numId w:val="6"/>
        </w:numPr>
        <w:bidi w:val="0"/>
        <w:jc w:val="left"/>
        <w:rPr>
          <w:rFonts w:ascii="Times New Roman" w:hAnsi="Times New Roman"/>
        </w:rPr>
      </w:pPr>
      <w:r>
        <w:rPr>
          <w:rFonts w:ascii="Times New Roman" w:hAnsi="Times New Roman"/>
        </w:rPr>
        <w:t>má viac ako 500 zamestnancov,</w:t>
      </w:r>
    </w:p>
    <w:p w:rsidR="007759A2" w:rsidP="007759A2">
      <w:pPr>
        <w:pStyle w:val="tl1"/>
        <w:numPr>
          <w:numId w:val="6"/>
        </w:numPr>
        <w:bidi w:val="0"/>
        <w:rPr>
          <w:rFonts w:ascii="Times New Roman" w:hAnsi="Times New Roman"/>
        </w:rPr>
      </w:pPr>
      <w:r>
        <w:rPr>
          <w:rFonts w:ascii="Times New Roman" w:hAnsi="Times New Roman"/>
        </w:rPr>
        <w:t>významným spôsobom dodáva energiu, plyn, teplo, produkty rafinérskeho priemyslu pre obyvateľstvo, pre ostatný priemysel a celoštátnu dopravu, alebo</w:t>
      </w:r>
    </w:p>
    <w:p w:rsidR="007759A2" w:rsidP="007759A2">
      <w:pPr>
        <w:pStyle w:val="tl1"/>
        <w:numPr>
          <w:numId w:val="6"/>
        </w:numPr>
        <w:bidi w:val="0"/>
        <w:jc w:val="left"/>
        <w:rPr>
          <w:rFonts w:ascii="Times New Roman" w:hAnsi="Times New Roman"/>
        </w:rPr>
      </w:pPr>
      <w:r>
        <w:rPr>
          <w:rFonts w:ascii="Times New Roman" w:hAnsi="Times New Roman"/>
        </w:rPr>
        <w:t>prevádzkuje vodné dielo, čistiareň odpadových vôd, verejnú kanalizáciu alebo verejný vodovod.</w:t>
      </w:r>
    </w:p>
    <w:p w:rsidR="007759A2" w:rsidP="007759A2">
      <w:pPr>
        <w:pStyle w:val="tl1"/>
        <w:bidi w:val="0"/>
        <w:jc w:val="center"/>
        <w:rPr>
          <w:rFonts w:ascii="Times New Roman" w:hAnsi="Times New Roman"/>
        </w:rPr>
      </w:pPr>
      <w:r>
        <w:rPr>
          <w:rFonts w:ascii="Times New Roman" w:hAnsi="Times New Roman"/>
        </w:rPr>
        <w:t>§ 3</w:t>
      </w:r>
    </w:p>
    <w:p w:rsidR="007759A2" w:rsidP="007759A2">
      <w:pPr>
        <w:pStyle w:val="tl1"/>
        <w:bidi w:val="0"/>
        <w:ind w:left="360"/>
        <w:jc w:val="center"/>
        <w:rPr>
          <w:rFonts w:ascii="Times New Roman" w:hAnsi="Times New Roman"/>
        </w:rPr>
      </w:pPr>
    </w:p>
    <w:p w:rsidR="007759A2" w:rsidP="007759A2">
      <w:pPr>
        <w:pStyle w:val="tl1"/>
        <w:bidi w:val="0"/>
        <w:ind w:firstLine="567"/>
        <w:rPr>
          <w:rFonts w:ascii="Times New Roman" w:hAnsi="Times New Roman"/>
        </w:rPr>
      </w:pPr>
      <w:r>
        <w:rPr>
          <w:rFonts w:ascii="Times New Roman" w:hAnsi="Times New Roman"/>
        </w:rPr>
        <w:t>(1) Návrh na rozhodnutie podľa § 2 podáva vláde minister hospodárstva Slovenskej republiky alebo minister financií Slovenskej republiky.</w:t>
      </w:r>
    </w:p>
    <w:p w:rsidR="007759A2" w:rsidP="007759A2">
      <w:pPr>
        <w:pStyle w:val="tl1"/>
        <w:bidi w:val="0"/>
        <w:jc w:val="left"/>
        <w:rPr>
          <w:rFonts w:ascii="Times New Roman" w:hAnsi="Times New Roman"/>
        </w:rPr>
      </w:pPr>
    </w:p>
    <w:p w:rsidR="007759A2" w:rsidRPr="00887A96" w:rsidP="007759A2">
      <w:pPr>
        <w:pStyle w:val="tl1"/>
        <w:bidi w:val="0"/>
        <w:ind w:firstLine="567"/>
        <w:rPr>
          <w:rFonts w:ascii="Times New Roman" w:hAnsi="Times New Roman"/>
          <w:vertAlign w:val="superscript"/>
        </w:rPr>
      </w:pPr>
      <w:r>
        <w:rPr>
          <w:rFonts w:ascii="Times New Roman" w:hAnsi="Times New Roman"/>
        </w:rPr>
        <w:t>(2) Rozhodnutie vlády o strategickom význame obchodnej spoločnosti sa uverejní v Zbierke zákonov Slovenskej republiky.</w:t>
      </w:r>
      <w:r>
        <w:rPr>
          <w:rStyle w:val="FootnoteReference"/>
          <w:rFonts w:ascii="Times New Roman" w:hAnsi="Times New Roman"/>
          <w:rtl w:val="0"/>
        </w:rPr>
        <w:footnoteReference w:id="2"/>
      </w:r>
      <w:r>
        <w:rPr>
          <w:rFonts w:ascii="Times New Roman" w:hAnsi="Times New Roman"/>
          <w:vertAlign w:val="superscript"/>
        </w:rPr>
        <w:t>)</w:t>
      </w:r>
    </w:p>
    <w:p w:rsidR="007759A2" w:rsidP="007759A2">
      <w:pPr>
        <w:pStyle w:val="tl1"/>
        <w:bidi w:val="0"/>
        <w:jc w:val="left"/>
        <w:rPr>
          <w:rFonts w:ascii="Times New Roman" w:hAnsi="Times New Roman"/>
        </w:rPr>
      </w:pPr>
    </w:p>
    <w:p w:rsidR="007759A2" w:rsidP="007759A2">
      <w:pPr>
        <w:pStyle w:val="tl1"/>
        <w:bidi w:val="0"/>
        <w:ind w:firstLine="567"/>
        <w:rPr>
          <w:rFonts w:ascii="Times New Roman" w:hAnsi="Times New Roman"/>
        </w:rPr>
      </w:pPr>
      <w:r>
        <w:rPr>
          <w:rFonts w:ascii="Times New Roman" w:hAnsi="Times New Roman"/>
        </w:rPr>
        <w:t xml:space="preserve">(3) </w:t>
      </w:r>
      <w:r w:rsidRPr="007759A2">
        <w:rPr>
          <w:rFonts w:ascii="Times New Roman" w:hAnsi="Times New Roman"/>
        </w:rPr>
        <w:t>Vláda rozhodnutie podľa § 2 zašle bezodkladne správcovi konkurznej podstaty a každému príslušnému štátnemu orgánu, ktorý rozhoduje o právach vlastníkov v strategickej spoločnosti</w:t>
      </w:r>
      <w:r>
        <w:rPr>
          <w:rFonts w:ascii="Times New Roman" w:hAnsi="Times New Roman"/>
        </w:rPr>
        <w:t>.</w:t>
      </w:r>
    </w:p>
    <w:p w:rsidR="007759A2" w:rsidP="007759A2">
      <w:pPr>
        <w:pStyle w:val="tl1"/>
        <w:bidi w:val="0"/>
        <w:jc w:val="center"/>
        <w:rPr>
          <w:rFonts w:ascii="Times New Roman" w:hAnsi="Times New Roman"/>
        </w:rPr>
      </w:pPr>
      <w:r>
        <w:rPr>
          <w:rFonts w:ascii="Times New Roman" w:hAnsi="Times New Roman"/>
        </w:rPr>
        <w:t>§ 4</w:t>
      </w:r>
    </w:p>
    <w:p w:rsidR="007759A2" w:rsidP="007759A2">
      <w:pPr>
        <w:pStyle w:val="tl1"/>
        <w:bidi w:val="0"/>
        <w:ind w:left="360"/>
        <w:jc w:val="center"/>
        <w:rPr>
          <w:rFonts w:ascii="Times New Roman" w:hAnsi="Times New Roman"/>
        </w:rPr>
      </w:pPr>
    </w:p>
    <w:p w:rsidR="000B7C39" w:rsidRPr="000B7C39" w:rsidP="000B7C39">
      <w:pPr>
        <w:pStyle w:val="tl1"/>
        <w:bidi w:val="0"/>
        <w:ind w:firstLine="567"/>
        <w:rPr>
          <w:rFonts w:ascii="Times New Roman" w:hAnsi="Times New Roman"/>
        </w:rPr>
      </w:pPr>
      <w:r w:rsidRPr="000B7C39">
        <w:rPr>
          <w:rFonts w:ascii="Times New Roman" w:hAnsi="Times New Roman"/>
        </w:rPr>
        <w:t xml:space="preserve">(1) Pred uskutočnením predaja majetku strategickej spoločnosti je správca konkurznej podstaty strategickej spoločnosti povinný písomne ponúknuť predaj majetku strategickej spoločnosti Slovenskej republike zastúpenej Fondom národného majetku Slovenskej republiky za cenu určenú na základe ponukového konania. Ak nie je možné určiť cenu na základe ponukového konania, určí ju znalec. </w:t>
      </w:r>
    </w:p>
    <w:p w:rsidR="000B7C39" w:rsidRPr="000B7C39" w:rsidP="000B7C39">
      <w:pPr>
        <w:pStyle w:val="tl1"/>
        <w:bidi w:val="0"/>
        <w:ind w:firstLine="567"/>
        <w:rPr>
          <w:rFonts w:ascii="Times New Roman" w:hAnsi="Times New Roman"/>
        </w:rPr>
      </w:pPr>
    </w:p>
    <w:p w:rsidR="000B7C39" w:rsidRPr="000B7C39" w:rsidP="000B7C39">
      <w:pPr>
        <w:pStyle w:val="tl1"/>
        <w:bidi w:val="0"/>
        <w:ind w:firstLine="567"/>
        <w:rPr>
          <w:rFonts w:ascii="Times New Roman" w:hAnsi="Times New Roman"/>
        </w:rPr>
      </w:pPr>
      <w:r w:rsidRPr="000B7C39">
        <w:rPr>
          <w:rFonts w:ascii="Times New Roman" w:hAnsi="Times New Roman"/>
        </w:rPr>
        <w:t>(2) Ak Slovenská republika ponuku podľa odseku 1 prijme, je správca konkurznej podstaty strategickej spoločnosti povinný do 60 dní odo dňa prijatia ponuky, ak nie je dohodnuté inak, uzavrieť s právnickou osobou určenou vládou kúpnu zmluvu; ak Slovenská republika ponuku neprijme do 120 dní od doručenia ponuky, prednostné právo jej zaniká.</w:t>
      </w:r>
    </w:p>
    <w:p w:rsidR="000B7C39" w:rsidRPr="000B7C39" w:rsidP="000B7C39">
      <w:pPr>
        <w:pStyle w:val="tl1"/>
        <w:bidi w:val="0"/>
        <w:ind w:firstLine="567"/>
        <w:rPr>
          <w:rFonts w:ascii="Times New Roman" w:hAnsi="Times New Roman"/>
        </w:rPr>
      </w:pPr>
    </w:p>
    <w:p w:rsidR="007759A2" w:rsidP="00805A38">
      <w:pPr>
        <w:pStyle w:val="tl1"/>
        <w:bidi w:val="0"/>
        <w:ind w:firstLine="567"/>
        <w:rPr>
          <w:rFonts w:ascii="Times New Roman" w:hAnsi="Times New Roman"/>
        </w:rPr>
      </w:pPr>
      <w:r w:rsidRPr="000B7C39" w:rsidR="000B7C39">
        <w:rPr>
          <w:rFonts w:ascii="Times New Roman" w:hAnsi="Times New Roman"/>
        </w:rPr>
        <w:t>(3) Ak sa Slovenská republika stane vlastníkom strategickej spoločnosti na základe opatrení podľa tohto zákona a pominú dôvody týchto opatrení, Slovenská republika môže ponúknuť strategickú spoločnosť na predaj novému vlastníkovi na základe obchodnej verejnej súťaže</w:t>
      </w:r>
      <w:r w:rsidRPr="000B7C39" w:rsidR="000B7C39">
        <w:rPr>
          <w:rFonts w:ascii="Times New Roman" w:hAnsi="Times New Roman"/>
          <w:vertAlign w:val="superscript"/>
        </w:rPr>
        <w:t>.</w:t>
      </w:r>
      <w:r>
        <w:rPr>
          <w:rStyle w:val="FootnoteReference"/>
          <w:rFonts w:ascii="Times New Roman" w:hAnsi="Times New Roman"/>
          <w:rtl w:val="0"/>
        </w:rPr>
        <w:footnoteReference w:id="3"/>
      </w:r>
      <w:r>
        <w:rPr>
          <w:rFonts w:ascii="Times New Roman" w:hAnsi="Times New Roman"/>
          <w:vertAlign w:val="superscript"/>
        </w:rPr>
        <w:t>)</w:t>
      </w:r>
      <w:r>
        <w:rPr>
          <w:rFonts w:ascii="Times New Roman" w:hAnsi="Times New Roman"/>
        </w:rPr>
        <w:t xml:space="preserve">  </w:t>
      </w:r>
      <w:r w:rsidRPr="00E0100C">
        <w:rPr>
          <w:rFonts w:ascii="Times New Roman" w:hAnsi="Times New Roman"/>
        </w:rPr>
        <w:tab/>
      </w:r>
    </w:p>
    <w:p w:rsidR="007759A2" w:rsidP="007759A2">
      <w:pPr>
        <w:pStyle w:val="tl1"/>
        <w:bidi w:val="0"/>
        <w:jc w:val="center"/>
        <w:rPr>
          <w:rFonts w:ascii="Times New Roman" w:hAnsi="Times New Roman"/>
        </w:rPr>
      </w:pPr>
      <w:r w:rsidRPr="00206190">
        <w:rPr>
          <w:rFonts w:ascii="Times New Roman" w:hAnsi="Times New Roman"/>
        </w:rPr>
        <w:t>§ 5</w:t>
      </w:r>
    </w:p>
    <w:p w:rsidR="007759A2" w:rsidP="007759A2">
      <w:pPr>
        <w:pStyle w:val="tl1"/>
        <w:bidi w:val="0"/>
        <w:jc w:val="center"/>
        <w:rPr>
          <w:rFonts w:ascii="Times New Roman" w:hAnsi="Times New Roman"/>
        </w:rPr>
      </w:pPr>
    </w:p>
    <w:p w:rsidR="007759A2" w:rsidP="007759A2">
      <w:pPr>
        <w:pStyle w:val="tl1"/>
        <w:bidi w:val="0"/>
        <w:ind w:firstLine="567"/>
        <w:rPr>
          <w:rFonts w:ascii="Times New Roman" w:hAnsi="Times New Roman"/>
        </w:rPr>
      </w:pPr>
      <w:r w:rsidRPr="000B7C39" w:rsidR="000B7C39">
        <w:rPr>
          <w:rFonts w:ascii="Times New Roman" w:hAnsi="Times New Roman"/>
        </w:rPr>
        <w:t>Správca konkurznej podstaty strategickej spoločnosti je povinný okrem povinností ustanovených v osobitnom predpise</w:t>
      </w:r>
      <w:r>
        <w:rPr>
          <w:rStyle w:val="FootnoteReference"/>
          <w:rFonts w:ascii="Times New Roman" w:hAnsi="Times New Roman"/>
          <w:rtl w:val="0"/>
        </w:rPr>
        <w:footnoteReference w:id="4"/>
      </w:r>
      <w:r>
        <w:rPr>
          <w:rFonts w:ascii="Times New Roman" w:hAnsi="Times New Roman"/>
          <w:vertAlign w:val="superscript"/>
        </w:rPr>
        <w:t>)</w:t>
      </w:r>
      <w:r>
        <w:rPr>
          <w:rFonts w:ascii="Times New Roman" w:hAnsi="Times New Roman"/>
        </w:rPr>
        <w:t xml:space="preserve"> </w:t>
      </w:r>
      <w:r w:rsidR="000B7C39">
        <w:rPr>
          <w:rFonts w:ascii="Times New Roman" w:hAnsi="Times New Roman"/>
        </w:rPr>
        <w:t>zabezpečiť</w:t>
      </w:r>
    </w:p>
    <w:p w:rsidR="007759A2" w:rsidP="007759A2">
      <w:pPr>
        <w:pStyle w:val="tl1"/>
        <w:numPr>
          <w:numId w:val="5"/>
        </w:numPr>
        <w:bidi w:val="0"/>
        <w:rPr>
          <w:rFonts w:ascii="Times New Roman" w:hAnsi="Times New Roman"/>
        </w:rPr>
      </w:pPr>
      <w:r w:rsidR="000B7C39">
        <w:rPr>
          <w:rFonts w:ascii="Times New Roman" w:hAnsi="Times New Roman"/>
        </w:rPr>
        <w:t>prevádzku strategickej spoločnosti,</w:t>
      </w:r>
    </w:p>
    <w:p w:rsidR="007759A2" w:rsidRPr="00206190" w:rsidP="007759A2">
      <w:pPr>
        <w:pStyle w:val="tl1"/>
        <w:numPr>
          <w:numId w:val="5"/>
        </w:numPr>
        <w:bidi w:val="0"/>
        <w:rPr>
          <w:rFonts w:ascii="Times New Roman" w:hAnsi="Times New Roman"/>
        </w:rPr>
      </w:pPr>
      <w:r w:rsidR="000B7C39">
        <w:rPr>
          <w:rFonts w:ascii="Times New Roman" w:hAnsi="Times New Roman"/>
        </w:rPr>
        <w:t>aby nedošlo k neodôvodnenému hromadnému prepúšťaniu zamestnancov</w:t>
      </w:r>
      <w:r>
        <w:rPr>
          <w:rFonts w:ascii="Times New Roman" w:hAnsi="Times New Roman"/>
        </w:rPr>
        <w:t>.</w:t>
      </w:r>
      <w:r>
        <w:rPr>
          <w:rStyle w:val="FootnoteReference"/>
          <w:rFonts w:ascii="Times New Roman" w:hAnsi="Times New Roman"/>
          <w:rtl w:val="0"/>
        </w:rPr>
        <w:footnoteReference w:id="5"/>
      </w:r>
      <w:r w:rsidRPr="000B7C39">
        <w:rPr>
          <w:rFonts w:ascii="Times New Roman" w:hAnsi="Times New Roman"/>
          <w:vertAlign w:val="superscript"/>
        </w:rPr>
        <w:t>)</w:t>
      </w:r>
    </w:p>
    <w:p w:rsidR="007759A2" w:rsidP="007759A2">
      <w:pPr>
        <w:pStyle w:val="tl1"/>
        <w:bidi w:val="0"/>
        <w:jc w:val="left"/>
        <w:rPr>
          <w:rFonts w:ascii="Times New Roman" w:hAnsi="Times New Roman"/>
          <w:b/>
        </w:rPr>
      </w:pPr>
    </w:p>
    <w:p w:rsidR="007759A2" w:rsidP="007759A2">
      <w:pPr>
        <w:pStyle w:val="tl1"/>
        <w:bidi w:val="0"/>
        <w:jc w:val="center"/>
        <w:rPr>
          <w:rFonts w:ascii="Times New Roman" w:hAnsi="Times New Roman"/>
        </w:rPr>
      </w:pPr>
      <w:r>
        <w:rPr>
          <w:rFonts w:ascii="Times New Roman" w:hAnsi="Times New Roman"/>
        </w:rPr>
        <w:t>§ 6</w:t>
      </w:r>
    </w:p>
    <w:p w:rsidR="007759A2" w:rsidP="007759A2">
      <w:pPr>
        <w:pStyle w:val="tl1"/>
        <w:bidi w:val="0"/>
        <w:rPr>
          <w:rFonts w:ascii="Times New Roman" w:hAnsi="Times New Roman"/>
        </w:rPr>
      </w:pPr>
    </w:p>
    <w:p w:rsidR="007759A2" w:rsidRPr="006C2503" w:rsidP="007759A2">
      <w:pPr>
        <w:pStyle w:val="tl1"/>
        <w:bidi w:val="0"/>
        <w:rPr>
          <w:rFonts w:ascii="Times New Roman" w:hAnsi="Times New Roman"/>
          <w:vertAlign w:val="superscript"/>
        </w:rPr>
      </w:pPr>
      <w:r>
        <w:rPr>
          <w:rFonts w:ascii="Times New Roman" w:hAnsi="Times New Roman"/>
        </w:rPr>
        <w:tab/>
      </w:r>
      <w:r w:rsidRPr="000B7C39" w:rsidR="000B7C39">
        <w:rPr>
          <w:rFonts w:ascii="Times New Roman" w:hAnsi="Times New Roman"/>
        </w:rPr>
        <w:t>Vláda môže rozhodnúť o strategickom význame spoločnosti, ktorá je v konkurze len do zasadnutia prvej schôdze veriteľov tejto spoločnosti</w:t>
      </w:r>
      <w:r>
        <w:rPr>
          <w:rFonts w:ascii="Times New Roman" w:hAnsi="Times New Roman"/>
        </w:rPr>
        <w:t>.</w:t>
      </w:r>
      <w:r>
        <w:rPr>
          <w:rStyle w:val="FootnoteReference"/>
          <w:rFonts w:ascii="Times New Roman" w:hAnsi="Times New Roman"/>
          <w:rtl w:val="0"/>
        </w:rPr>
        <w:footnoteReference w:id="6"/>
      </w:r>
      <w:r>
        <w:rPr>
          <w:rFonts w:ascii="Times New Roman" w:hAnsi="Times New Roman"/>
          <w:vertAlign w:val="superscript"/>
        </w:rPr>
        <w:t>)</w:t>
      </w:r>
    </w:p>
    <w:p w:rsidR="007759A2" w:rsidP="007759A2">
      <w:pPr>
        <w:pStyle w:val="tl1"/>
        <w:bidi w:val="0"/>
        <w:jc w:val="center"/>
        <w:rPr>
          <w:rFonts w:ascii="Times New Roman" w:hAnsi="Times New Roman"/>
        </w:rPr>
      </w:pPr>
    </w:p>
    <w:p w:rsidR="007759A2" w:rsidP="007759A2">
      <w:pPr>
        <w:pStyle w:val="tl1"/>
        <w:bidi w:val="0"/>
        <w:jc w:val="center"/>
        <w:rPr>
          <w:rFonts w:ascii="Times New Roman" w:hAnsi="Times New Roman"/>
        </w:rPr>
      </w:pPr>
      <w:r>
        <w:rPr>
          <w:rFonts w:ascii="Times New Roman" w:hAnsi="Times New Roman"/>
        </w:rPr>
        <w:t>§ 7</w:t>
      </w:r>
    </w:p>
    <w:p w:rsidR="007759A2" w:rsidP="007759A2">
      <w:pPr>
        <w:pStyle w:val="tl1"/>
        <w:bidi w:val="0"/>
        <w:jc w:val="center"/>
        <w:rPr>
          <w:rFonts w:ascii="Times New Roman" w:hAnsi="Times New Roman"/>
        </w:rPr>
      </w:pPr>
    </w:p>
    <w:p w:rsidR="007759A2" w:rsidP="007759A2">
      <w:pPr>
        <w:pStyle w:val="tl1"/>
        <w:bidi w:val="0"/>
        <w:ind w:firstLine="567"/>
        <w:rPr>
          <w:rFonts w:ascii="Times New Roman" w:hAnsi="Times New Roman"/>
        </w:rPr>
      </w:pPr>
      <w:r>
        <w:rPr>
          <w:rFonts w:ascii="Times New Roman" w:hAnsi="Times New Roman"/>
        </w:rPr>
        <w:t>Ustanovenia tohto článku sa vzťahujú aj na obchodné spoločnosti,</w:t>
      </w:r>
      <w:r w:rsidR="002E62D5">
        <w:rPr>
          <w:rFonts w:ascii="Times New Roman" w:hAnsi="Times New Roman"/>
        </w:rPr>
        <w:t xml:space="preserve"> </w:t>
      </w:r>
      <w:r>
        <w:rPr>
          <w:rFonts w:ascii="Times New Roman" w:hAnsi="Times New Roman"/>
        </w:rPr>
        <w:t xml:space="preserve">o ktorých strategickom význame rozhodla vláda Slovenskej republiky </w:t>
      </w:r>
      <w:r w:rsidR="002E62D5">
        <w:rPr>
          <w:rFonts w:ascii="Times New Roman" w:hAnsi="Times New Roman"/>
        </w:rPr>
        <w:t>a toto rozhodnutie nebolo vládou Slovenskej republiky zrušené</w:t>
      </w:r>
      <w:r>
        <w:rPr>
          <w:rFonts w:ascii="Times New Roman" w:hAnsi="Times New Roman"/>
        </w:rPr>
        <w:t>.</w:t>
      </w:r>
    </w:p>
    <w:p w:rsidR="002E62D5" w:rsidRPr="00DE65C6" w:rsidP="007759A2">
      <w:pPr>
        <w:pStyle w:val="tl1"/>
        <w:bidi w:val="0"/>
        <w:ind w:firstLine="567"/>
        <w:rPr>
          <w:rFonts w:ascii="Times New Roman" w:hAnsi="Times New Roman"/>
        </w:rPr>
      </w:pPr>
    </w:p>
    <w:p w:rsidR="00E002F8" w:rsidP="00093899">
      <w:pPr>
        <w:numPr>
          <w:numId w:val="11"/>
        </w:numPr>
        <w:bidi w:val="0"/>
        <w:rPr>
          <w:rFonts w:ascii="Times New Roman" w:hAnsi="Times New Roman"/>
        </w:rPr>
      </w:pPr>
      <w:r>
        <w:rPr>
          <w:rFonts w:ascii="Times New Roman" w:hAnsi="Times New Roman"/>
        </w:rPr>
        <w:t xml:space="preserve">Čl. IV </w:t>
      </w:r>
      <w:r w:rsidRPr="00E002F8">
        <w:rPr>
          <w:rFonts w:ascii="Times New Roman" w:hAnsi="Times New Roman"/>
        </w:rPr>
        <w:t xml:space="preserve"> znie:</w:t>
      </w:r>
      <w:r>
        <w:rPr>
          <w:rFonts w:ascii="Times New Roman" w:hAnsi="Times New Roman"/>
        </w:rPr>
        <w:t xml:space="preserve"> </w:t>
      </w:r>
    </w:p>
    <w:p w:rsidR="00E002F8" w:rsidP="00E002F8">
      <w:pPr>
        <w:bidi w:val="0"/>
        <w:rPr>
          <w:rFonts w:ascii="Times New Roman" w:hAnsi="Times New Roman"/>
        </w:rPr>
      </w:pPr>
    </w:p>
    <w:p w:rsidR="00E002F8" w:rsidP="00E002F8">
      <w:pPr>
        <w:bidi w:val="0"/>
        <w:jc w:val="both"/>
        <w:rPr>
          <w:rFonts w:ascii="Times New Roman" w:hAnsi="Times New Roman"/>
        </w:rPr>
      </w:pPr>
      <w:r>
        <w:rPr>
          <w:rFonts w:ascii="Times New Roman" w:hAnsi="Times New Roman"/>
        </w:rPr>
        <w:t>„Tento zákon nadobúda účinnosť dňom vyhlásenia a čl. I stráca účinnosť 31. decembra 2012.“</w:t>
      </w:r>
    </w:p>
    <w:p w:rsidR="00341E7D" w:rsidP="00341E7D">
      <w:pPr>
        <w:bidi w:val="0"/>
        <w:ind w:left="360"/>
        <w:jc w:val="center"/>
        <w:rPr>
          <w:rFonts w:ascii="Times New Roman" w:hAnsi="Times New Roman"/>
        </w:rPr>
      </w:pPr>
      <w:r>
        <w:rPr>
          <w:rFonts w:ascii="Times New Roman" w:hAnsi="Times New Roman"/>
        </w:rPr>
        <w:t>Čl. II.</w:t>
      </w:r>
    </w:p>
    <w:p w:rsidR="00341E7D" w:rsidP="00341E7D">
      <w:pPr>
        <w:bidi w:val="0"/>
        <w:rPr>
          <w:rFonts w:ascii="Times New Roman" w:hAnsi="Times New Roman"/>
        </w:rPr>
      </w:pPr>
    </w:p>
    <w:p w:rsidR="00B853D4" w:rsidRPr="00FA2FCA" w:rsidP="00805A38">
      <w:pPr>
        <w:bidi w:val="0"/>
        <w:jc w:val="both"/>
        <w:rPr>
          <w:rFonts w:ascii="Times New Roman" w:hAnsi="Times New Roman"/>
        </w:rPr>
      </w:pPr>
      <w:r w:rsidR="00341E7D">
        <w:rPr>
          <w:rFonts w:ascii="Times New Roman" w:hAnsi="Times New Roman"/>
        </w:rPr>
        <w:t>Tento zákon nadobúda účinnosť dňom vyhlásenia.</w:t>
      </w:r>
    </w:p>
    <w:sectPr w:rsidSect="00CD6E77">
      <w:pgSz w:w="11906" w:h="16838"/>
      <w:pgMar w:top="1247"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BD8">
      <w:pPr>
        <w:bidi w:val="0"/>
        <w:rPr>
          <w:rFonts w:ascii="Times New Roman" w:hAnsi="Times New Roman"/>
        </w:rPr>
      </w:pPr>
      <w:r>
        <w:rPr>
          <w:rFonts w:ascii="Times New Roman" w:hAnsi="Times New Roman"/>
        </w:rPr>
        <w:separator/>
      </w:r>
    </w:p>
  </w:footnote>
  <w:footnote w:type="continuationSeparator" w:id="1">
    <w:p w:rsidR="00237BD8">
      <w:pPr>
        <w:bidi w:val="0"/>
        <w:rPr>
          <w:rFonts w:ascii="Times New Roman" w:hAnsi="Times New Roman"/>
        </w:rPr>
      </w:pPr>
      <w:r>
        <w:rPr>
          <w:rFonts w:ascii="Times New Roman" w:hAnsi="Times New Roman"/>
        </w:rPr>
        <w:continuationSeparator/>
      </w:r>
    </w:p>
  </w:footnote>
  <w:footnote w:id="2">
    <w:p w:rsidP="007759A2">
      <w:pPr>
        <w:pStyle w:val="FootnoteText"/>
        <w:bidi w:val="0"/>
        <w:rPr>
          <w:rFonts w:ascii="Times New Roman" w:hAnsi="Times New Roman"/>
        </w:rPr>
      </w:pPr>
      <w:r w:rsidR="007759A2">
        <w:rPr>
          <w:rStyle w:val="FootnoteReference"/>
          <w:rFonts w:ascii="Times New Roman" w:hAnsi="Times New Roman"/>
        </w:rPr>
        <w:footnoteRef/>
      </w:r>
      <w:r w:rsidR="007759A2">
        <w:rPr>
          <w:rFonts w:ascii="Times New Roman" w:hAnsi="Times New Roman"/>
          <w:vertAlign w:val="superscript"/>
        </w:rPr>
        <w:t>)</w:t>
      </w:r>
      <w:r w:rsidR="007759A2">
        <w:rPr>
          <w:rFonts w:ascii="Times New Roman" w:hAnsi="Times New Roman"/>
        </w:rPr>
        <w:t xml:space="preserve"> § 1 ods. 2 zákona č. 1/1993 Zb. o Zbierke zákonov Slovenskej republiky. </w:t>
      </w:r>
    </w:p>
  </w:footnote>
  <w:footnote w:id="3">
    <w:p w:rsidP="007759A2">
      <w:pPr>
        <w:pStyle w:val="FootnoteText"/>
        <w:bidi w:val="0"/>
        <w:ind w:left="180" w:hanging="180"/>
        <w:jc w:val="both"/>
        <w:rPr>
          <w:rFonts w:ascii="Times New Roman" w:hAnsi="Times New Roman"/>
        </w:rPr>
      </w:pPr>
      <w:r w:rsidR="007759A2">
        <w:rPr>
          <w:rStyle w:val="FootnoteReference"/>
          <w:rFonts w:ascii="Times New Roman" w:hAnsi="Times New Roman"/>
        </w:rPr>
        <w:footnoteRef/>
      </w:r>
      <w:r w:rsidR="007759A2">
        <w:rPr>
          <w:rFonts w:ascii="Times New Roman" w:hAnsi="Times New Roman"/>
          <w:vertAlign w:val="superscript"/>
        </w:rPr>
        <w:t>)</w:t>
      </w:r>
      <w:r w:rsidR="007759A2">
        <w:rPr>
          <w:rFonts w:ascii="Times New Roman" w:hAnsi="Times New Roman"/>
        </w:rPr>
        <w:t xml:space="preserve"> </w:t>
      </w:r>
      <w:r w:rsidRPr="000B7C39" w:rsidR="000B7C39">
        <w:rPr>
          <w:rFonts w:ascii="Times New Roman" w:hAnsi="Times New Roman"/>
        </w:rPr>
        <w:t>§ 281 a nasl. Obchodného zákonníka.</w:t>
      </w:r>
    </w:p>
  </w:footnote>
  <w:footnote w:id="4">
    <w:p w:rsidP="007759A2">
      <w:pPr>
        <w:pStyle w:val="FootnoteText"/>
        <w:bidi w:val="0"/>
        <w:ind w:left="180" w:hanging="180"/>
        <w:jc w:val="both"/>
        <w:rPr>
          <w:rFonts w:ascii="Times New Roman" w:hAnsi="Times New Roman"/>
        </w:rPr>
      </w:pPr>
      <w:r w:rsidR="007759A2">
        <w:rPr>
          <w:rStyle w:val="FootnoteReference"/>
          <w:rFonts w:ascii="Times New Roman" w:hAnsi="Times New Roman"/>
        </w:rPr>
        <w:footnoteRef/>
      </w:r>
      <w:r w:rsidR="007759A2">
        <w:rPr>
          <w:rFonts w:ascii="Times New Roman" w:hAnsi="Times New Roman"/>
          <w:vertAlign w:val="superscript"/>
        </w:rPr>
        <w:t>)</w:t>
      </w:r>
      <w:r w:rsidR="007759A2">
        <w:rPr>
          <w:rFonts w:ascii="Times New Roman" w:hAnsi="Times New Roman"/>
        </w:rPr>
        <w:t xml:space="preserve"> Zákon č. 7/2005 Z. z. o konkurze a reštrukturalizácii a o zmene a doplnení niektorých zákonov v znení neskorších predpisov.</w:t>
      </w:r>
    </w:p>
  </w:footnote>
  <w:footnote w:id="5">
    <w:p w:rsidP="007759A2">
      <w:pPr>
        <w:pStyle w:val="FootnoteText"/>
        <w:bidi w:val="0"/>
        <w:rPr>
          <w:rFonts w:ascii="Times New Roman" w:hAnsi="Times New Roman"/>
        </w:rPr>
      </w:pPr>
      <w:r w:rsidR="007759A2">
        <w:rPr>
          <w:rStyle w:val="FootnoteReference"/>
          <w:rFonts w:ascii="Times New Roman" w:hAnsi="Times New Roman"/>
        </w:rPr>
        <w:footnoteRef/>
      </w:r>
      <w:r w:rsidR="007759A2">
        <w:rPr>
          <w:rFonts w:ascii="Times New Roman" w:hAnsi="Times New Roman"/>
          <w:vertAlign w:val="superscript"/>
        </w:rPr>
        <w:t>)</w:t>
      </w:r>
      <w:r w:rsidR="007759A2">
        <w:rPr>
          <w:rFonts w:ascii="Times New Roman" w:hAnsi="Times New Roman"/>
        </w:rPr>
        <w:t xml:space="preserve"> § </w:t>
      </w:r>
      <w:r w:rsidR="000B7C39">
        <w:rPr>
          <w:rFonts w:ascii="Times New Roman" w:hAnsi="Times New Roman"/>
        </w:rPr>
        <w:t>56 zákona č. 7/2005 Z. z.</w:t>
      </w:r>
    </w:p>
  </w:footnote>
  <w:footnote w:id="6">
    <w:p w:rsidP="007759A2">
      <w:pPr>
        <w:pStyle w:val="FootnoteText"/>
        <w:bidi w:val="0"/>
        <w:rPr>
          <w:rFonts w:ascii="Times New Roman" w:hAnsi="Times New Roman"/>
        </w:rPr>
      </w:pPr>
      <w:r w:rsidR="007759A2">
        <w:rPr>
          <w:rStyle w:val="FootnoteReference"/>
          <w:rFonts w:ascii="Times New Roman" w:hAnsi="Times New Roman"/>
        </w:rPr>
        <w:footnoteRef/>
      </w:r>
      <w:r w:rsidR="007759A2">
        <w:rPr>
          <w:rFonts w:ascii="Times New Roman" w:hAnsi="Times New Roman"/>
          <w:vertAlign w:val="superscript"/>
        </w:rPr>
        <w:t>)</w:t>
      </w:r>
      <w:r w:rsidR="007759A2">
        <w:rPr>
          <w:rFonts w:ascii="Times New Roman" w:hAnsi="Times New Roman"/>
        </w:rPr>
        <w:t xml:space="preserve"> § </w:t>
      </w:r>
      <w:r w:rsidR="000B7C39">
        <w:rPr>
          <w:rFonts w:ascii="Times New Roman" w:hAnsi="Times New Roman"/>
        </w:rPr>
        <w:t>33</w:t>
      </w:r>
      <w:r w:rsidR="007759A2">
        <w:rPr>
          <w:rFonts w:ascii="Times New Roman" w:hAnsi="Times New Roman"/>
        </w:rPr>
        <w:t xml:space="preserve"> zákona č. 7/2005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C54"/>
    <w:multiLevelType w:val="hybridMultilevel"/>
    <w:tmpl w:val="3B0E12B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32EE0781"/>
    <w:multiLevelType w:val="hybridMultilevel"/>
    <w:tmpl w:val="38349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738114E"/>
    <w:multiLevelType w:val="hybridMultilevel"/>
    <w:tmpl w:val="38349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C8918CD"/>
    <w:multiLevelType w:val="hybridMultilevel"/>
    <w:tmpl w:val="5E72BB02"/>
    <w:lvl w:ilvl="0">
      <w:start w:val="1"/>
      <w:numFmt w:val="decimal"/>
      <w:lvlText w:val="(%1)"/>
      <w:lvlJc w:val="left"/>
      <w:pPr>
        <w:tabs>
          <w:tab w:val="num" w:pos="720"/>
        </w:tabs>
        <w:ind w:left="720" w:hanging="360"/>
      </w:pPr>
      <w:rPr>
        <w:rFonts w:cs="Times New Roman" w:hint="default"/>
        <w:rtl w:val="0"/>
        <w:cs w:val="0"/>
      </w:rPr>
    </w:lvl>
    <w:lvl w:ilvl="1">
      <w:start w:val="1"/>
      <w:numFmt w:val="lowerLetter"/>
      <w:pStyle w:val="tl2"/>
      <w:lvlText w:val="%2)"/>
      <w:lvlJc w:val="left"/>
      <w:pPr>
        <w:tabs>
          <w:tab w:val="num" w:pos="1680"/>
        </w:tabs>
        <w:ind w:left="1680" w:hanging="60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D8E3DE8"/>
    <w:multiLevelType w:val="hybridMultilevel"/>
    <w:tmpl w:val="870E8D2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DFF3360"/>
    <w:multiLevelType w:val="hybridMultilevel"/>
    <w:tmpl w:val="763EAE2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D64BB6"/>
    <w:multiLevelType w:val="hybridMultilevel"/>
    <w:tmpl w:val="DBA276A8"/>
    <w:lvl w:ilvl="0">
      <w:start w:val="1"/>
      <w:numFmt w:val="upperRoman"/>
      <w:lvlText w:val="%1."/>
      <w:lvlJc w:val="left"/>
      <w:pPr>
        <w:ind w:left="2520" w:hanging="72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7">
    <w:nsid w:val="5BD0764E"/>
    <w:multiLevelType w:val="hybridMultilevel"/>
    <w:tmpl w:val="FFC84C6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CE503BA"/>
    <w:multiLevelType w:val="hybridMultilevel"/>
    <w:tmpl w:val="23FE5024"/>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20C0C94"/>
    <w:multiLevelType w:val="hybridMultilevel"/>
    <w:tmpl w:val="7CF8A08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724876EB"/>
    <w:multiLevelType w:val="hybridMultilevel"/>
    <w:tmpl w:val="E4CE398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3"/>
  </w:num>
  <w:num w:numId="3">
    <w:abstractNumId w:val="4"/>
  </w:num>
  <w:num w:numId="4">
    <w:abstractNumId w:val="5"/>
  </w:num>
  <w:num w:numId="5">
    <w:abstractNumId w:val="10"/>
  </w:num>
  <w:num w:numId="6">
    <w:abstractNumId w:val="9"/>
  </w:num>
  <w:num w:numId="7">
    <w:abstractNumId w:val="0"/>
  </w:num>
  <w:num w:numId="8">
    <w:abstractNumId w:val="2"/>
  </w:num>
  <w:num w:numId="9">
    <w:abstractNumId w:val="1"/>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567"/>
  <w:hyphenationZone w:val="425"/>
  <w:characterSpacingControl w:val="doNotCompress"/>
  <w:footnotePr>
    <w:footnote w:id="0"/>
    <w:footnote w:id="1"/>
  </w:footnotePr>
  <w:compat>
    <w:doNotUseIndentAsNumberingTabStop/>
    <w:allowSpaceOfSameStyleInTable/>
    <w:splitPgBreakAndParaMark/>
    <w:useAnsiKerningPairs/>
  </w:compat>
  <w:rsids>
    <w:rsidRoot w:val="00FA2FCA"/>
    <w:rsid w:val="000176E5"/>
    <w:rsid w:val="000526F0"/>
    <w:rsid w:val="0008767E"/>
    <w:rsid w:val="00093899"/>
    <w:rsid w:val="00096CCB"/>
    <w:rsid w:val="000B03A8"/>
    <w:rsid w:val="000B7C39"/>
    <w:rsid w:val="000C3A87"/>
    <w:rsid w:val="000C732E"/>
    <w:rsid w:val="00117D22"/>
    <w:rsid w:val="00121DBB"/>
    <w:rsid w:val="001318E5"/>
    <w:rsid w:val="00152EC6"/>
    <w:rsid w:val="00157C1A"/>
    <w:rsid w:val="001923BC"/>
    <w:rsid w:val="001B002F"/>
    <w:rsid w:val="001F3933"/>
    <w:rsid w:val="00206190"/>
    <w:rsid w:val="002334BD"/>
    <w:rsid w:val="00237BD8"/>
    <w:rsid w:val="0025466E"/>
    <w:rsid w:val="00276549"/>
    <w:rsid w:val="002E62D5"/>
    <w:rsid w:val="002F750B"/>
    <w:rsid w:val="00341E7D"/>
    <w:rsid w:val="0034689A"/>
    <w:rsid w:val="00381F47"/>
    <w:rsid w:val="003834CF"/>
    <w:rsid w:val="003A3DD3"/>
    <w:rsid w:val="003A5BCD"/>
    <w:rsid w:val="003D6F17"/>
    <w:rsid w:val="003F5462"/>
    <w:rsid w:val="00407D92"/>
    <w:rsid w:val="00443BEE"/>
    <w:rsid w:val="0045519A"/>
    <w:rsid w:val="00461500"/>
    <w:rsid w:val="004C7DC8"/>
    <w:rsid w:val="004D2816"/>
    <w:rsid w:val="00547DBB"/>
    <w:rsid w:val="00555B8A"/>
    <w:rsid w:val="005856E7"/>
    <w:rsid w:val="00593EB7"/>
    <w:rsid w:val="00595BB2"/>
    <w:rsid w:val="005A6A26"/>
    <w:rsid w:val="005E5642"/>
    <w:rsid w:val="005F73E9"/>
    <w:rsid w:val="006051E9"/>
    <w:rsid w:val="00632D6F"/>
    <w:rsid w:val="006C2503"/>
    <w:rsid w:val="007229B3"/>
    <w:rsid w:val="00744329"/>
    <w:rsid w:val="00774FEB"/>
    <w:rsid w:val="007759A2"/>
    <w:rsid w:val="007A67F5"/>
    <w:rsid w:val="007B7D22"/>
    <w:rsid w:val="00805A38"/>
    <w:rsid w:val="00811EBE"/>
    <w:rsid w:val="008245EF"/>
    <w:rsid w:val="00846AF0"/>
    <w:rsid w:val="00887A96"/>
    <w:rsid w:val="008B113D"/>
    <w:rsid w:val="008B3F83"/>
    <w:rsid w:val="008C0301"/>
    <w:rsid w:val="008E432E"/>
    <w:rsid w:val="008E4DDC"/>
    <w:rsid w:val="00945163"/>
    <w:rsid w:val="009551DB"/>
    <w:rsid w:val="009878A4"/>
    <w:rsid w:val="00A2663B"/>
    <w:rsid w:val="00A313D4"/>
    <w:rsid w:val="00A84910"/>
    <w:rsid w:val="00AB5E9F"/>
    <w:rsid w:val="00AE2578"/>
    <w:rsid w:val="00B43179"/>
    <w:rsid w:val="00B533F6"/>
    <w:rsid w:val="00B66767"/>
    <w:rsid w:val="00B70975"/>
    <w:rsid w:val="00B853D4"/>
    <w:rsid w:val="00BC3F7D"/>
    <w:rsid w:val="00BF4D29"/>
    <w:rsid w:val="00C00C36"/>
    <w:rsid w:val="00C56416"/>
    <w:rsid w:val="00C816E0"/>
    <w:rsid w:val="00C81FF9"/>
    <w:rsid w:val="00CA056B"/>
    <w:rsid w:val="00CA308E"/>
    <w:rsid w:val="00CD4479"/>
    <w:rsid w:val="00CD6E77"/>
    <w:rsid w:val="00DE65C6"/>
    <w:rsid w:val="00DF2315"/>
    <w:rsid w:val="00E002F8"/>
    <w:rsid w:val="00E00C9E"/>
    <w:rsid w:val="00E0100C"/>
    <w:rsid w:val="00E357B6"/>
    <w:rsid w:val="00E41820"/>
    <w:rsid w:val="00E6224E"/>
    <w:rsid w:val="00E7364D"/>
    <w:rsid w:val="00EB7C01"/>
    <w:rsid w:val="00EC4B53"/>
    <w:rsid w:val="00F331A5"/>
    <w:rsid w:val="00F35F01"/>
    <w:rsid w:val="00F54816"/>
    <w:rsid w:val="00F83A73"/>
    <w:rsid w:val="00FA0DD1"/>
    <w:rsid w:val="00FA2FC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qFormat/>
    <w:rsid w:val="00632D6F"/>
    <w:pPr>
      <w:keepNext/>
      <w:jc w:val="center"/>
      <w:outlineLvl w:val="1"/>
    </w:pPr>
    <w:rPr>
      <w:rFonts w:ascii="Times New Roman" w:eastAsia="Arial Unicode MS" w:hAnsi="Times New Roman"/>
      <w:b/>
      <w:bCs/>
    </w:rPr>
  </w:style>
  <w:style w:type="paragraph" w:styleId="Heading3">
    <w:name w:val="heading 3"/>
    <w:basedOn w:val="Normal"/>
    <w:next w:val="Normal"/>
    <w:qFormat/>
    <w:rsid w:val="00632D6F"/>
    <w:pPr>
      <w:keepNext/>
      <w:jc w:val="center"/>
      <w:outlineLvl w:val="2"/>
    </w:pPr>
    <w:rPr>
      <w:b/>
      <w:bCs/>
      <w:noProof/>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tl1">
    <w:name w:val="Štýl1"/>
    <w:basedOn w:val="Normal"/>
    <w:rsid w:val="00FA2FCA"/>
    <w:pPr>
      <w:jc w:val="both"/>
    </w:pPr>
  </w:style>
  <w:style w:type="paragraph" w:styleId="FootnoteText">
    <w:name w:val="footnote text"/>
    <w:basedOn w:val="Normal"/>
    <w:semiHidden/>
    <w:rsid w:val="0025466E"/>
    <w:pPr>
      <w:jc w:val="left"/>
    </w:pPr>
    <w:rPr>
      <w:sz w:val="20"/>
      <w:szCs w:val="20"/>
    </w:rPr>
  </w:style>
  <w:style w:type="character" w:styleId="FootnoteReference">
    <w:name w:val="footnote reference"/>
    <w:basedOn w:val="DefaultParagraphFont"/>
    <w:semiHidden/>
    <w:rsid w:val="0025466E"/>
    <w:rPr>
      <w:rFonts w:cs="Times New Roman"/>
      <w:vertAlign w:val="superscript"/>
      <w:rtl w:val="0"/>
      <w:cs w:val="0"/>
    </w:rPr>
  </w:style>
  <w:style w:type="paragraph" w:customStyle="1" w:styleId="tl2">
    <w:name w:val="Štýl2"/>
    <w:basedOn w:val="tl1"/>
    <w:rsid w:val="009551DB"/>
    <w:pPr>
      <w:numPr>
        <w:ilvl w:val="1"/>
        <w:numId w:val="2"/>
      </w:numPr>
      <w:tabs>
        <w:tab w:val="num" w:pos="1680"/>
      </w:tabs>
      <w:ind w:left="1680" w:hanging="600"/>
      <w:jc w:val="both"/>
    </w:pPr>
  </w:style>
  <w:style w:type="paragraph" w:styleId="BalloonText">
    <w:name w:val="Balloon Text"/>
    <w:basedOn w:val="Normal"/>
    <w:semiHidden/>
    <w:rsid w:val="005E5642"/>
    <w:pPr>
      <w:jc w:val="left"/>
    </w:pPr>
    <w:rPr>
      <w:rFonts w:ascii="Tahoma" w:hAnsi="Tahoma" w:cs="Tahoma"/>
      <w:sz w:val="16"/>
      <w:szCs w:val="16"/>
    </w:rPr>
  </w:style>
  <w:style w:type="paragraph" w:customStyle="1" w:styleId="jaspinormlny">
    <w:name w:val="jaspinormlny"/>
    <w:basedOn w:val="Normal"/>
    <w:rsid w:val="00632D6F"/>
    <w:pPr>
      <w:widowControl w:val="0"/>
      <w:adjustRightInd w:val="0"/>
      <w:spacing w:line="360" w:lineRule="atLeast"/>
      <w:jc w:val="both"/>
      <w:textAlignment w:val="baseline"/>
    </w:pPr>
  </w:style>
  <w:style w:type="paragraph" w:styleId="Title">
    <w:name w:val="Title"/>
    <w:basedOn w:val="Normal"/>
    <w:qFormat/>
    <w:rsid w:val="00632D6F"/>
    <w:pPr>
      <w:jc w:val="center"/>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492</Words>
  <Characters>3081</Characters>
  <Application>Microsoft Office Word</Application>
  <DocSecurity>0</DocSecurity>
  <Lines>0</Lines>
  <Paragraphs>0</Paragraphs>
  <ScaleCrop>false</ScaleCrop>
  <Company>MH SR</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manyova</dc:creator>
  <cp:lastModifiedBy>GaspJarm</cp:lastModifiedBy>
  <cp:revision>2</cp:revision>
  <cp:lastPrinted>2009-10-26T13:46:00Z</cp:lastPrinted>
  <dcterms:created xsi:type="dcterms:W3CDTF">2011-01-14T14:31:00Z</dcterms:created>
  <dcterms:modified xsi:type="dcterms:W3CDTF">2011-01-14T14:31:00Z</dcterms:modified>
</cp:coreProperties>
</file>