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05C75" w:rsidP="00D05C75">
      <w:pPr>
        <w:bidi w:val="0"/>
        <w:jc w:val="center"/>
        <w:rPr>
          <w:rFonts w:ascii="Times New Roman" w:hAnsi="Times New Roman"/>
          <w:b/>
          <w:sz w:val="28"/>
          <w:szCs w:val="28"/>
        </w:rPr>
      </w:pPr>
      <w:r>
        <w:rPr>
          <w:rFonts w:ascii="Times New Roman" w:hAnsi="Times New Roman"/>
          <w:b/>
          <w:sz w:val="28"/>
          <w:szCs w:val="28"/>
        </w:rPr>
        <w:t>Dôvodová správa</w:t>
      </w:r>
    </w:p>
    <w:p w:rsidR="00D05C75" w:rsidP="00D05C75">
      <w:pPr>
        <w:bidi w:val="0"/>
        <w:jc w:val="center"/>
        <w:rPr>
          <w:rFonts w:ascii="Times New Roman" w:hAnsi="Times New Roman"/>
          <w:b/>
          <w:sz w:val="28"/>
          <w:szCs w:val="28"/>
        </w:rPr>
      </w:pPr>
    </w:p>
    <w:p w:rsidR="00BB1843" w:rsidP="00D05C75">
      <w:pPr>
        <w:bidi w:val="0"/>
        <w:jc w:val="center"/>
        <w:rPr>
          <w:rFonts w:ascii="Times New Roman" w:hAnsi="Times New Roman"/>
          <w:b/>
          <w:sz w:val="28"/>
          <w:szCs w:val="28"/>
        </w:rPr>
      </w:pPr>
    </w:p>
    <w:p w:rsidR="00D05C75" w:rsidP="00D05C75">
      <w:pPr>
        <w:numPr>
          <w:numId w:val="1"/>
        </w:numPr>
        <w:tabs>
          <w:tab w:val="clear" w:pos="720"/>
        </w:tabs>
        <w:bidi w:val="0"/>
        <w:ind w:left="360"/>
        <w:jc w:val="both"/>
        <w:rPr>
          <w:rFonts w:ascii="Times New Roman" w:hAnsi="Times New Roman"/>
          <w:b/>
        </w:rPr>
      </w:pPr>
      <w:r>
        <w:rPr>
          <w:rFonts w:ascii="Times New Roman" w:hAnsi="Times New Roman"/>
          <w:b/>
        </w:rPr>
        <w:t>Všeobecná časť</w:t>
      </w:r>
    </w:p>
    <w:p w:rsidR="006E0F6B">
      <w:pPr>
        <w:bidi w:val="0"/>
        <w:rPr>
          <w:rFonts w:ascii="Times New Roman" w:hAnsi="Times New Roman"/>
        </w:rPr>
      </w:pPr>
    </w:p>
    <w:p w:rsidR="00BB1843">
      <w:pPr>
        <w:bidi w:val="0"/>
        <w:rPr>
          <w:rFonts w:ascii="Times New Roman" w:hAnsi="Times New Roman"/>
        </w:rPr>
      </w:pPr>
    </w:p>
    <w:p w:rsidR="00135585" w:rsidRPr="005B4D5B" w:rsidP="00105371">
      <w:pPr>
        <w:bidi w:val="0"/>
        <w:ind w:firstLine="708"/>
        <w:jc w:val="both"/>
        <w:rPr>
          <w:rFonts w:ascii="Times New Roman" w:hAnsi="Times New Roman"/>
        </w:rPr>
      </w:pPr>
      <w:r w:rsidR="00D05C75">
        <w:rPr>
          <w:rFonts w:ascii="Times New Roman" w:hAnsi="Times New Roman"/>
        </w:rPr>
        <w:t>Lisabonská zmluva</w:t>
      </w:r>
      <w:r>
        <w:rPr>
          <w:rFonts w:ascii="Times New Roman" w:hAnsi="Times New Roman"/>
        </w:rPr>
        <w:t xml:space="preserve">, </w:t>
      </w:r>
      <w:r w:rsidR="00126579">
        <w:rPr>
          <w:rFonts w:ascii="Times New Roman" w:hAnsi="Times New Roman"/>
        </w:rPr>
        <w:t xml:space="preserve">ktorá nadobudla platnosť 1. decembra </w:t>
      </w:r>
      <w:smartTag w:uri="urn:schemas-microsoft-com:office:smarttags" w:element="metricconverter">
        <w:smartTagPr>
          <w:attr w:name="ProductID" w:val="2009 a"/>
        </w:smartTagPr>
        <w:r w:rsidR="00126579">
          <w:rPr>
            <w:rFonts w:ascii="Times New Roman" w:hAnsi="Times New Roman"/>
          </w:rPr>
          <w:t>2009 a</w:t>
        </w:r>
      </w:smartTag>
      <w:r w:rsidR="00126579">
        <w:rPr>
          <w:rFonts w:ascii="Times New Roman" w:hAnsi="Times New Roman"/>
        </w:rPr>
        <w:t xml:space="preserve"> </w:t>
      </w:r>
      <w:r>
        <w:rPr>
          <w:rFonts w:ascii="Times New Roman" w:hAnsi="Times New Roman"/>
        </w:rPr>
        <w:t xml:space="preserve">ktorej znenie je výsledkom niekoľko rokov trvajúcich diskusií na rôznych úrovniach politického a spoločenského života, prináša okrem iného návod na elimináciu tzv. demokratického deficitu v Európskej únii. Nástrojmi tohto procesu majú byť </w:t>
      </w:r>
      <w:r w:rsidR="00123F64">
        <w:rPr>
          <w:rFonts w:ascii="Times New Roman" w:hAnsi="Times New Roman"/>
        </w:rPr>
        <w:t>aj</w:t>
      </w:r>
      <w:r>
        <w:rPr>
          <w:rFonts w:ascii="Times New Roman" w:hAnsi="Times New Roman"/>
        </w:rPr>
        <w:t xml:space="preserve"> národné parlamenty, pre ktoré</w:t>
      </w:r>
      <w:r w:rsidR="00D05C75">
        <w:rPr>
          <w:rFonts w:ascii="Times New Roman" w:hAnsi="Times New Roman"/>
        </w:rPr>
        <w:t xml:space="preserve"> </w:t>
      </w:r>
      <w:r w:rsidR="00725736">
        <w:rPr>
          <w:rFonts w:ascii="Times New Roman" w:hAnsi="Times New Roman"/>
        </w:rPr>
        <w:t xml:space="preserve">zavádza </w:t>
      </w:r>
      <w:r w:rsidR="00521E8E">
        <w:rPr>
          <w:rFonts w:ascii="Times New Roman" w:hAnsi="Times New Roman"/>
        </w:rPr>
        <w:t>nov</w:t>
      </w:r>
      <w:r>
        <w:rPr>
          <w:rFonts w:ascii="Times New Roman" w:hAnsi="Times New Roman"/>
        </w:rPr>
        <w:t>é</w:t>
      </w:r>
      <w:r w:rsidR="00521E8E">
        <w:rPr>
          <w:rFonts w:ascii="Times New Roman" w:hAnsi="Times New Roman"/>
        </w:rPr>
        <w:t xml:space="preserve"> kompetenci</w:t>
      </w:r>
      <w:r>
        <w:rPr>
          <w:rFonts w:ascii="Times New Roman" w:hAnsi="Times New Roman"/>
        </w:rPr>
        <w:t xml:space="preserve">e v podobe možnosti </w:t>
      </w:r>
      <w:r w:rsidR="00521E8E">
        <w:rPr>
          <w:rFonts w:ascii="Times New Roman" w:hAnsi="Times New Roman"/>
        </w:rPr>
        <w:t>za</w:t>
      </w:r>
      <w:r w:rsidR="00123F64">
        <w:rPr>
          <w:rFonts w:ascii="Times New Roman" w:hAnsi="Times New Roman"/>
        </w:rPr>
        <w:t>siahnuť do tvorby legislatívy Európskej únie</w:t>
      </w:r>
      <w:r w:rsidR="00521E8E">
        <w:rPr>
          <w:rFonts w:ascii="Times New Roman" w:hAnsi="Times New Roman"/>
        </w:rPr>
        <w:t xml:space="preserve"> priamo, prostredníctvom vyslovenia stanoviska k súladu legisl</w:t>
      </w:r>
      <w:r w:rsidR="00123F64">
        <w:rPr>
          <w:rFonts w:ascii="Times New Roman" w:hAnsi="Times New Roman"/>
        </w:rPr>
        <w:t>atívnych návrhov Európskej únie</w:t>
      </w:r>
      <w:r w:rsidR="00521E8E">
        <w:rPr>
          <w:rFonts w:ascii="Times New Roman" w:hAnsi="Times New Roman"/>
        </w:rPr>
        <w:t xml:space="preserve"> so zásadou subsidiarity.</w:t>
      </w:r>
      <w:r w:rsidR="00126579">
        <w:rPr>
          <w:rFonts w:ascii="Times New Roman" w:hAnsi="Times New Roman"/>
        </w:rPr>
        <w:t xml:space="preserve"> Národné parlamenty majú </w:t>
      </w:r>
      <w:r w:rsidR="00123F64">
        <w:rPr>
          <w:rFonts w:ascii="Times New Roman" w:hAnsi="Times New Roman"/>
        </w:rPr>
        <w:t>právo žalovať orgány Európskej únie</w:t>
      </w:r>
      <w:r w:rsidR="00521E8E">
        <w:rPr>
          <w:rFonts w:ascii="Times New Roman" w:hAnsi="Times New Roman"/>
        </w:rPr>
        <w:t xml:space="preserve"> z dôvodu porušen</w:t>
      </w:r>
      <w:r w:rsidR="00126579">
        <w:rPr>
          <w:rFonts w:ascii="Times New Roman" w:hAnsi="Times New Roman"/>
        </w:rPr>
        <w:t>ia tejto zásady pred S</w:t>
      </w:r>
      <w:r w:rsidR="00521E8E">
        <w:rPr>
          <w:rFonts w:ascii="Times New Roman" w:hAnsi="Times New Roman"/>
        </w:rPr>
        <w:t>údnym dvorom</w:t>
      </w:r>
      <w:r w:rsidR="00126579">
        <w:rPr>
          <w:rFonts w:ascii="Times New Roman" w:hAnsi="Times New Roman"/>
        </w:rPr>
        <w:t xml:space="preserve"> Európskej únie</w:t>
      </w:r>
      <w:r w:rsidR="00521E8E">
        <w:rPr>
          <w:rFonts w:ascii="Times New Roman" w:hAnsi="Times New Roman"/>
        </w:rPr>
        <w:t xml:space="preserve">. Avšak nebudú mať právo podať žalobu priamo vo svojom mene, ale podľa </w:t>
      </w:r>
      <w:r w:rsidR="00725736">
        <w:rPr>
          <w:rFonts w:ascii="Times New Roman" w:hAnsi="Times New Roman"/>
        </w:rPr>
        <w:t>článku 8 Protokolu o uplatňovaní zásad subsidiarity a proporcionality, pripojeného k Zmluve o Európskej únii a k Zmluve o fungovaní Európskej únie,</w:t>
      </w:r>
      <w:r w:rsidR="00521E8E">
        <w:rPr>
          <w:rFonts w:ascii="Times New Roman" w:hAnsi="Times New Roman"/>
        </w:rPr>
        <w:t xml:space="preserve"> </w:t>
      </w:r>
      <w:r w:rsidR="00725736">
        <w:rPr>
          <w:rFonts w:ascii="Times New Roman" w:hAnsi="Times New Roman"/>
        </w:rPr>
        <w:t xml:space="preserve">tak môžu urobiť členské štáty v súlade s právnym poriadkom </w:t>
      </w:r>
      <w:r w:rsidRPr="005B4D5B" w:rsidR="00725736">
        <w:rPr>
          <w:rFonts w:ascii="Times New Roman" w:hAnsi="Times New Roman"/>
        </w:rPr>
        <w:t xml:space="preserve">v mene svojho </w:t>
      </w:r>
      <w:r w:rsidRPr="005B4D5B">
        <w:rPr>
          <w:rFonts w:ascii="Times New Roman" w:hAnsi="Times New Roman"/>
        </w:rPr>
        <w:t>národného parlamentu alebo komory národného parlamentu</w:t>
      </w:r>
      <w:r w:rsidRPr="005B4D5B" w:rsidR="00725736">
        <w:rPr>
          <w:rFonts w:ascii="Times New Roman" w:hAnsi="Times New Roman"/>
        </w:rPr>
        <w:t xml:space="preserve">. </w:t>
      </w:r>
    </w:p>
    <w:p w:rsidR="00135585" w:rsidP="00D05C75">
      <w:pPr>
        <w:bidi w:val="0"/>
        <w:jc w:val="both"/>
        <w:rPr>
          <w:rFonts w:ascii="Times New Roman" w:hAnsi="Times New Roman"/>
        </w:rPr>
      </w:pPr>
    </w:p>
    <w:p w:rsidR="00DE1A7F" w:rsidP="00105371">
      <w:pPr>
        <w:bidi w:val="0"/>
        <w:ind w:firstLine="708"/>
        <w:jc w:val="both"/>
        <w:rPr>
          <w:rFonts w:ascii="Times New Roman" w:hAnsi="Times New Roman"/>
        </w:rPr>
      </w:pPr>
      <w:r w:rsidRPr="00D9641B" w:rsidR="00105371">
        <w:rPr>
          <w:rFonts w:ascii="Times New Roman" w:hAnsi="Times New Roman"/>
        </w:rPr>
        <w:t xml:space="preserve">Lisabonská zmluva posilňuje právomoci národných parlamentov a priamo ich zapája do rozhodovacích procesov v Európskej únii. Kým doposiaľ mali </w:t>
      </w:r>
      <w:r w:rsidR="00105371">
        <w:rPr>
          <w:rFonts w:ascii="Times New Roman" w:hAnsi="Times New Roman"/>
        </w:rPr>
        <w:t xml:space="preserve">národné parlamenty </w:t>
      </w:r>
      <w:r w:rsidRPr="00D9641B" w:rsidR="00105371">
        <w:rPr>
          <w:rFonts w:ascii="Times New Roman" w:hAnsi="Times New Roman"/>
        </w:rPr>
        <w:t xml:space="preserve">možnosť podieľať sa priamo na rozhodovaní iba v prípadoch rozširovania Európskej únie schvaľovaním prístupových zmlúv, teraz </w:t>
      </w:r>
      <w:r w:rsidR="00105371">
        <w:rPr>
          <w:rFonts w:ascii="Times New Roman" w:hAnsi="Times New Roman"/>
        </w:rPr>
        <w:t>majú</w:t>
      </w:r>
      <w:r w:rsidRPr="00D9641B" w:rsidR="00105371">
        <w:rPr>
          <w:rFonts w:ascii="Times New Roman" w:hAnsi="Times New Roman"/>
        </w:rPr>
        <w:t xml:space="preserve"> právomoc zasiahnuť do legislatívneho procesu priamo</w:t>
      </w:r>
      <w:r w:rsidR="00105371">
        <w:rPr>
          <w:rFonts w:ascii="Times New Roman" w:hAnsi="Times New Roman"/>
        </w:rPr>
        <w:t xml:space="preserve">, a to </w:t>
      </w:r>
      <w:r w:rsidRPr="00D9641B" w:rsidR="00105371">
        <w:rPr>
          <w:rFonts w:ascii="Times New Roman" w:hAnsi="Times New Roman"/>
        </w:rPr>
        <w:t xml:space="preserve">prostredníctvom stanoviska k súladu návrhov </w:t>
      </w:r>
      <w:r w:rsidR="00105371">
        <w:rPr>
          <w:rFonts w:ascii="Times New Roman" w:hAnsi="Times New Roman"/>
        </w:rPr>
        <w:t>právnych</w:t>
      </w:r>
      <w:r w:rsidRPr="00D9641B" w:rsidR="00105371">
        <w:rPr>
          <w:rFonts w:ascii="Times New Roman" w:hAnsi="Times New Roman"/>
        </w:rPr>
        <w:t xml:space="preserve"> </w:t>
      </w:r>
      <w:r w:rsidR="00105371">
        <w:rPr>
          <w:rFonts w:ascii="Times New Roman" w:hAnsi="Times New Roman"/>
        </w:rPr>
        <w:t xml:space="preserve">aktov Európskej únie </w:t>
      </w:r>
      <w:r w:rsidRPr="00D9641B" w:rsidR="00105371">
        <w:rPr>
          <w:rFonts w:ascii="Times New Roman" w:hAnsi="Times New Roman"/>
        </w:rPr>
        <w:t xml:space="preserve">so zásadou subsidiarity. Lisabonská zmluva predstavuje pre </w:t>
      </w:r>
      <w:r w:rsidR="00105371">
        <w:rPr>
          <w:rFonts w:ascii="Times New Roman" w:hAnsi="Times New Roman"/>
        </w:rPr>
        <w:t>národné parlamenty prínos</w:t>
      </w:r>
      <w:r w:rsidRPr="00D9641B" w:rsidR="00105371">
        <w:rPr>
          <w:rFonts w:ascii="Times New Roman" w:hAnsi="Times New Roman"/>
        </w:rPr>
        <w:t xml:space="preserve"> tým, že im zveruje právomoc strážiť v politickej rovine dodržiavanie princípu subsidiarity, vrátane práva na </w:t>
      </w:r>
      <w:r w:rsidR="00105371">
        <w:rPr>
          <w:rFonts w:ascii="Times New Roman" w:hAnsi="Times New Roman"/>
        </w:rPr>
        <w:t>iniciovanie podania</w:t>
      </w:r>
      <w:r w:rsidRPr="00D9641B" w:rsidR="00105371">
        <w:rPr>
          <w:rFonts w:ascii="Times New Roman" w:hAnsi="Times New Roman"/>
        </w:rPr>
        <w:t xml:space="preserve"> žaloby na porušenie tohto princípu </w:t>
      </w:r>
      <w:r w:rsidR="00105371">
        <w:rPr>
          <w:rFonts w:ascii="Times New Roman" w:hAnsi="Times New Roman"/>
        </w:rPr>
        <w:t>právnym aktom Súdnemu dvoru Európskej únie</w:t>
      </w:r>
      <w:r w:rsidRPr="00D9641B" w:rsidR="00105371">
        <w:rPr>
          <w:rFonts w:ascii="Times New Roman" w:hAnsi="Times New Roman"/>
        </w:rPr>
        <w:t>. Lisabonská zmluva má</w:t>
      </w:r>
      <w:r w:rsidR="00105371">
        <w:rPr>
          <w:rFonts w:ascii="Times New Roman" w:hAnsi="Times New Roman"/>
        </w:rPr>
        <w:t xml:space="preserve"> z tohto pohľadu</w:t>
      </w:r>
      <w:r w:rsidRPr="00D9641B" w:rsidR="00105371">
        <w:rPr>
          <w:rFonts w:ascii="Times New Roman" w:hAnsi="Times New Roman"/>
        </w:rPr>
        <w:t xml:space="preserve"> dopad aj na postavenie Národnej rady Slovenskej republiky (ďalej len „národná </w:t>
      </w:r>
      <w:r w:rsidR="00105371">
        <w:rPr>
          <w:rFonts w:ascii="Times New Roman" w:hAnsi="Times New Roman"/>
        </w:rPr>
        <w:t>rada“) ako na národný parlament členského štátu. Z tohto pohľadu sú významné dva protokoly pripojené k Lisabonskej zmluve, a to Protokol o úlohe národných parlamentov v Európskej únii, ktorý sa Lisabonskou zmluvou pripojí k Zmluve o Európskej únii, k Zmluve o fungovaní Európskej únie a k Zmluve o založení Európskeho spoločenstva pre atómovú energiu a Protokol o uplatňovaní zásad subsidiarity a proporcionality, ktorý sa Lisabonskou zmluvou pripojí k Zmluve o Európskej únii a k Zmluve o fungovaní Európskej únie</w:t>
      </w:r>
      <w:r>
        <w:rPr>
          <w:rFonts w:ascii="Times New Roman" w:hAnsi="Times New Roman"/>
        </w:rPr>
        <w:t>.</w:t>
      </w:r>
    </w:p>
    <w:p w:rsidR="00DE1A7F" w:rsidP="00105371">
      <w:pPr>
        <w:bidi w:val="0"/>
        <w:ind w:firstLine="708"/>
        <w:jc w:val="both"/>
        <w:rPr>
          <w:rFonts w:ascii="Times New Roman" w:hAnsi="Times New Roman"/>
        </w:rPr>
      </w:pPr>
    </w:p>
    <w:p w:rsidR="00DE1A7F" w:rsidP="00105371">
      <w:pPr>
        <w:bidi w:val="0"/>
        <w:ind w:firstLine="708"/>
        <w:jc w:val="both"/>
        <w:rPr>
          <w:rFonts w:ascii="Times New Roman" w:hAnsi="Times New Roman"/>
        </w:rPr>
      </w:pPr>
      <w:r w:rsidR="009D46AD">
        <w:rPr>
          <w:rFonts w:ascii="Times New Roman" w:hAnsi="Times New Roman"/>
        </w:rPr>
        <w:t>Z hľadiska postavenia n</w:t>
      </w:r>
      <w:r>
        <w:rPr>
          <w:rFonts w:ascii="Times New Roman" w:hAnsi="Times New Roman"/>
        </w:rPr>
        <w:t>á</w:t>
      </w:r>
      <w:r w:rsidR="009D46AD">
        <w:rPr>
          <w:rFonts w:ascii="Times New Roman" w:hAnsi="Times New Roman"/>
        </w:rPr>
        <w:t>rodnej rady</w:t>
      </w:r>
      <w:r>
        <w:rPr>
          <w:rFonts w:ascii="Times New Roman" w:hAnsi="Times New Roman"/>
        </w:rPr>
        <w:t xml:space="preserve"> ako národného parlamentu by predmetom úpravy v rovine</w:t>
      </w:r>
      <w:r w:rsidR="009D46AD">
        <w:rPr>
          <w:rFonts w:ascii="Times New Roman" w:hAnsi="Times New Roman"/>
        </w:rPr>
        <w:t xml:space="preserve"> ústavného vzťahu a spolupráce n</w:t>
      </w:r>
      <w:r>
        <w:rPr>
          <w:rFonts w:ascii="Times New Roman" w:hAnsi="Times New Roman"/>
        </w:rPr>
        <w:t>á</w:t>
      </w:r>
      <w:r w:rsidR="009D46AD">
        <w:rPr>
          <w:rFonts w:ascii="Times New Roman" w:hAnsi="Times New Roman"/>
        </w:rPr>
        <w:t>rodnej rady</w:t>
      </w:r>
      <w:r>
        <w:rPr>
          <w:rFonts w:ascii="Times New Roman" w:hAnsi="Times New Roman"/>
        </w:rPr>
        <w:t xml:space="preserve"> a vlády Slovenskej republiky v záležitostiach Európskej únie mali byť nasledovné oblasti –</w:t>
      </w:r>
    </w:p>
    <w:p w:rsidR="00DE1A7F" w:rsidP="00DE1A7F">
      <w:pPr>
        <w:bidi w:val="0"/>
        <w:jc w:val="both"/>
        <w:rPr>
          <w:rFonts w:ascii="Times New Roman" w:hAnsi="Times New Roman"/>
        </w:rPr>
      </w:pPr>
    </w:p>
    <w:p w:rsidR="00DE1A7F" w:rsidP="00DE1A7F">
      <w:pPr>
        <w:numPr>
          <w:numId w:val="5"/>
        </w:numPr>
        <w:bidi w:val="0"/>
        <w:jc w:val="both"/>
        <w:rPr>
          <w:rFonts w:ascii="Times New Roman" w:hAnsi="Times New Roman"/>
        </w:rPr>
      </w:pPr>
      <w:r>
        <w:rPr>
          <w:rFonts w:ascii="Times New Roman" w:hAnsi="Times New Roman"/>
        </w:rPr>
        <w:t>výkon politickej kontroly dodržiavania princípu subsidiarity v legislatívnych aktoch Európskej únie,</w:t>
      </w:r>
    </w:p>
    <w:p w:rsidR="00DE1A7F" w:rsidP="00DE1A7F">
      <w:pPr>
        <w:numPr>
          <w:numId w:val="5"/>
        </w:numPr>
        <w:bidi w:val="0"/>
        <w:jc w:val="both"/>
        <w:rPr>
          <w:rFonts w:ascii="Times New Roman" w:hAnsi="Times New Roman"/>
        </w:rPr>
      </w:pPr>
      <w:r>
        <w:rPr>
          <w:rFonts w:ascii="Times New Roman" w:hAnsi="Times New Roman"/>
        </w:rPr>
        <w:t xml:space="preserve">možnosť podania žaloby v prípade porušenia tohto princípu legislatívnym aktom Európskej únie a </w:t>
      </w:r>
    </w:p>
    <w:p w:rsidR="00105371" w:rsidRPr="007A0479" w:rsidP="00DE1A7F">
      <w:pPr>
        <w:numPr>
          <w:numId w:val="5"/>
        </w:numPr>
        <w:bidi w:val="0"/>
        <w:jc w:val="both"/>
        <w:rPr>
          <w:rFonts w:ascii="Times New Roman" w:hAnsi="Times New Roman"/>
        </w:rPr>
      </w:pPr>
      <w:r w:rsidR="00DE1A7F">
        <w:rPr>
          <w:rFonts w:ascii="Times New Roman" w:hAnsi="Times New Roman"/>
        </w:rPr>
        <w:t>možnosť prijatia stanoviska vo forme záväzného mandátu pre predsedu vlády pri návrhu na použitie prechodovej klauzuly.</w:t>
      </w:r>
    </w:p>
    <w:p w:rsidR="00105371" w:rsidP="00105371">
      <w:pPr>
        <w:bidi w:val="0"/>
        <w:jc w:val="both"/>
        <w:rPr>
          <w:rFonts w:ascii="Times New Roman" w:hAnsi="Times New Roman"/>
        </w:rPr>
      </w:pPr>
    </w:p>
    <w:p w:rsidR="00BC19EE" w:rsidP="00BC19EE">
      <w:pPr>
        <w:bidi w:val="0"/>
        <w:ind w:firstLine="708"/>
        <w:jc w:val="both"/>
        <w:rPr>
          <w:rFonts w:ascii="Times New Roman" w:hAnsi="Times New Roman"/>
        </w:rPr>
      </w:pPr>
      <w:r>
        <w:rPr>
          <w:rFonts w:ascii="Times New Roman" w:hAnsi="Times New Roman"/>
        </w:rPr>
        <w:t>Úpravou vyššie uvedených o</w:t>
      </w:r>
      <w:r w:rsidR="009D46AD">
        <w:rPr>
          <w:rFonts w:ascii="Times New Roman" w:hAnsi="Times New Roman"/>
        </w:rPr>
        <w:t>kruhov v ústavnom zákone získa národná rada</w:t>
      </w:r>
      <w:r>
        <w:rPr>
          <w:rFonts w:ascii="Times New Roman" w:hAnsi="Times New Roman"/>
        </w:rPr>
        <w:t xml:space="preserve"> ako národný parlament postavenie, ktoré jej patrí na základe Lisabonskej zmluvy.</w:t>
      </w:r>
    </w:p>
    <w:p w:rsidR="00BC19EE" w:rsidP="00BC19EE">
      <w:pPr>
        <w:bidi w:val="0"/>
        <w:ind w:left="708"/>
        <w:jc w:val="both"/>
        <w:rPr>
          <w:rFonts w:ascii="Times New Roman" w:hAnsi="Times New Roman"/>
        </w:rPr>
      </w:pPr>
    </w:p>
    <w:p w:rsidR="005B4D5B" w:rsidP="005B4D5B">
      <w:pPr>
        <w:bidi w:val="0"/>
        <w:jc w:val="both"/>
        <w:rPr>
          <w:rFonts w:ascii="Times New Roman" w:hAnsi="Times New Roman"/>
        </w:rPr>
      </w:pPr>
      <w:r w:rsidR="00572793">
        <w:rPr>
          <w:rFonts w:ascii="Times New Roman" w:hAnsi="Times New Roman"/>
        </w:rPr>
        <w:tab/>
        <w:t>Predložený návrh ústavného zákona je v súlade s Ústavou Slovenskej republiky, ústavnými zákonmi a inými zákonmi Slovenskej republiky, medzinárodnými zmluvami a inými medzinárodnými dokumentmi, ktorými je Slovenská republika viazaná.</w:t>
      </w:r>
    </w:p>
    <w:p w:rsidR="00DE1A7F" w:rsidP="005B4D5B">
      <w:pPr>
        <w:bidi w:val="0"/>
        <w:jc w:val="both"/>
        <w:rPr>
          <w:rFonts w:ascii="Times New Roman" w:hAnsi="Times New Roman"/>
        </w:rPr>
      </w:pPr>
    </w:p>
    <w:p w:rsidR="00DE1A7F" w:rsidP="005B4D5B">
      <w:pPr>
        <w:bidi w:val="0"/>
        <w:jc w:val="both"/>
        <w:rPr>
          <w:rFonts w:ascii="Times New Roman" w:hAnsi="Times New Roman"/>
          <w:b/>
        </w:rPr>
      </w:pPr>
      <w:r>
        <w:rPr>
          <w:rFonts w:ascii="Times New Roman" w:hAnsi="Times New Roman"/>
        </w:rPr>
        <w:tab/>
        <w:t xml:space="preserve">Predložený návrh ústavného zákona si nevyžiada zvýšené nároky na verejné rozpočty, nebude mať dopad na </w:t>
      </w:r>
      <w:r w:rsidRPr="00CC4DD5">
        <w:rPr>
          <w:rFonts w:ascii="Times New Roman" w:hAnsi="Times New Roman"/>
        </w:rPr>
        <w:t>obyvateľov, hospodárenie podnikateľskej sféry a iných právnických osôb</w:t>
      </w:r>
      <w:r>
        <w:rPr>
          <w:rFonts w:ascii="Times New Roman" w:hAnsi="Times New Roman"/>
        </w:rPr>
        <w:t>, ani na životné prostredie, zamestnanosť a na podnikateľské prostredie.</w:t>
      </w:r>
    </w:p>
    <w:p w:rsidR="005B4D5B" w:rsidP="005B4D5B">
      <w:pPr>
        <w:bidi w:val="0"/>
        <w:jc w:val="both"/>
        <w:rPr>
          <w:rFonts w:ascii="Times New Roman" w:hAnsi="Times New Roman"/>
          <w:b/>
        </w:rPr>
      </w:pPr>
    </w:p>
    <w:p w:rsidR="00BB1843" w:rsidP="005B4D5B">
      <w:pPr>
        <w:bidi w:val="0"/>
        <w:jc w:val="both"/>
        <w:rPr>
          <w:rFonts w:ascii="Times New Roman" w:hAnsi="Times New Roman"/>
          <w:b/>
        </w:rPr>
      </w:pPr>
    </w:p>
    <w:p w:rsidR="00BB1843" w:rsidP="005B4D5B">
      <w:pPr>
        <w:bidi w:val="0"/>
        <w:jc w:val="both"/>
        <w:rPr>
          <w:rFonts w:ascii="Times New Roman" w:hAnsi="Times New Roman"/>
          <w:b/>
        </w:rPr>
      </w:pPr>
    </w:p>
    <w:p w:rsidR="00BB1843" w:rsidP="005B4D5B">
      <w:pPr>
        <w:bidi w:val="0"/>
        <w:jc w:val="both"/>
        <w:rPr>
          <w:rFonts w:ascii="Times New Roman" w:hAnsi="Times New Roman"/>
          <w:b/>
        </w:rPr>
      </w:pPr>
    </w:p>
    <w:p w:rsidR="00BB1843" w:rsidP="005B4D5B">
      <w:pPr>
        <w:bidi w:val="0"/>
        <w:jc w:val="both"/>
        <w:rPr>
          <w:rFonts w:ascii="Times New Roman" w:hAnsi="Times New Roman"/>
          <w:b/>
        </w:rPr>
      </w:pPr>
    </w:p>
    <w:p w:rsidR="00BB1843" w:rsidP="005B4D5B">
      <w:pPr>
        <w:bidi w:val="0"/>
        <w:jc w:val="both"/>
        <w:rPr>
          <w:rFonts w:ascii="Times New Roman" w:hAnsi="Times New Roman"/>
          <w:b/>
        </w:rPr>
      </w:pPr>
    </w:p>
    <w:p w:rsidR="00BB1843" w:rsidP="005B4D5B">
      <w:pPr>
        <w:bidi w:val="0"/>
        <w:jc w:val="both"/>
        <w:rPr>
          <w:rFonts w:ascii="Times New Roman" w:hAnsi="Times New Roman"/>
          <w:b/>
        </w:rPr>
      </w:pPr>
    </w:p>
    <w:p w:rsidR="00BB1843" w:rsidP="005B4D5B">
      <w:pPr>
        <w:bidi w:val="0"/>
        <w:jc w:val="both"/>
        <w:rPr>
          <w:rFonts w:ascii="Times New Roman" w:hAnsi="Times New Roman"/>
          <w:b/>
        </w:rPr>
      </w:pPr>
    </w:p>
    <w:p w:rsidR="00BB1843" w:rsidP="005B4D5B">
      <w:pPr>
        <w:bidi w:val="0"/>
        <w:jc w:val="both"/>
        <w:rPr>
          <w:rFonts w:ascii="Times New Roman" w:hAnsi="Times New Roman"/>
          <w:b/>
        </w:rPr>
      </w:pPr>
    </w:p>
    <w:p w:rsidR="00BB1843" w:rsidP="005B4D5B">
      <w:pPr>
        <w:bidi w:val="0"/>
        <w:jc w:val="both"/>
        <w:rPr>
          <w:rFonts w:ascii="Times New Roman" w:hAnsi="Times New Roman"/>
          <w:b/>
        </w:rPr>
      </w:pPr>
    </w:p>
    <w:p w:rsidR="00BB1843" w:rsidP="005B4D5B">
      <w:pPr>
        <w:bidi w:val="0"/>
        <w:jc w:val="both"/>
        <w:rPr>
          <w:rFonts w:ascii="Times New Roman" w:hAnsi="Times New Roman"/>
          <w:b/>
        </w:rPr>
      </w:pPr>
    </w:p>
    <w:p w:rsidR="00BB1843"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BC19EE" w:rsidP="005B4D5B">
      <w:pPr>
        <w:bidi w:val="0"/>
        <w:jc w:val="both"/>
        <w:rPr>
          <w:rFonts w:ascii="Times New Roman" w:hAnsi="Times New Roman"/>
          <w:b/>
        </w:rPr>
      </w:pPr>
    </w:p>
    <w:p w:rsidR="009D46AD" w:rsidP="005B4D5B">
      <w:pPr>
        <w:bidi w:val="0"/>
        <w:jc w:val="both"/>
        <w:rPr>
          <w:rFonts w:ascii="Times New Roman" w:hAnsi="Times New Roman"/>
          <w:b/>
        </w:rPr>
      </w:pPr>
    </w:p>
    <w:p w:rsidR="009D46AD" w:rsidP="005B4D5B">
      <w:pPr>
        <w:bidi w:val="0"/>
        <w:jc w:val="both"/>
        <w:rPr>
          <w:rFonts w:ascii="Times New Roman" w:hAnsi="Times New Roman"/>
          <w:b/>
        </w:rPr>
      </w:pPr>
    </w:p>
    <w:p w:rsidR="009D46AD" w:rsidP="005B4D5B">
      <w:pPr>
        <w:bidi w:val="0"/>
        <w:jc w:val="both"/>
        <w:rPr>
          <w:rFonts w:ascii="Times New Roman" w:hAnsi="Times New Roman"/>
          <w:b/>
        </w:rPr>
      </w:pPr>
    </w:p>
    <w:p w:rsidR="009D46AD" w:rsidP="005B4D5B">
      <w:pPr>
        <w:bidi w:val="0"/>
        <w:jc w:val="both"/>
        <w:rPr>
          <w:rFonts w:ascii="Times New Roman" w:hAnsi="Times New Roman"/>
          <w:b/>
        </w:rPr>
      </w:pPr>
    </w:p>
    <w:p w:rsidR="00BB1843" w:rsidP="005B4D5B">
      <w:pPr>
        <w:bidi w:val="0"/>
        <w:jc w:val="both"/>
        <w:rPr>
          <w:rFonts w:ascii="Times New Roman" w:hAnsi="Times New Roman"/>
          <w:b/>
        </w:rPr>
      </w:pPr>
    </w:p>
    <w:p w:rsidR="005B4D5B" w:rsidRPr="00B27D8B" w:rsidP="005B4D5B">
      <w:pPr>
        <w:bidi w:val="0"/>
        <w:jc w:val="center"/>
        <w:outlineLvl w:val="0"/>
        <w:rPr>
          <w:rFonts w:ascii="Times New Roman" w:hAnsi="Times New Roman"/>
          <w:b/>
        </w:rPr>
      </w:pPr>
      <w:r w:rsidRPr="00B27D8B">
        <w:rPr>
          <w:rFonts w:ascii="Times New Roman" w:hAnsi="Times New Roman"/>
          <w:b/>
        </w:rPr>
        <w:t>D O L O Ž K A</w:t>
      </w:r>
    </w:p>
    <w:p w:rsidR="005B4D5B" w:rsidRPr="00B27D8B" w:rsidP="005B4D5B">
      <w:pPr>
        <w:bidi w:val="0"/>
        <w:jc w:val="center"/>
        <w:rPr>
          <w:rFonts w:ascii="Times New Roman" w:hAnsi="Times New Roman"/>
          <w:b/>
        </w:rPr>
      </w:pPr>
      <w:r w:rsidRPr="00B27D8B">
        <w:rPr>
          <w:rFonts w:ascii="Times New Roman" w:hAnsi="Times New Roman"/>
          <w:b/>
        </w:rPr>
        <w:t>finančných, ekonomických, environmentálnych vplyvov, vplyvov na zamestnanosť</w:t>
      </w:r>
    </w:p>
    <w:p w:rsidR="005B4D5B" w:rsidRPr="00B27D8B" w:rsidP="005B4D5B">
      <w:pPr>
        <w:bidi w:val="0"/>
        <w:jc w:val="center"/>
        <w:rPr>
          <w:rFonts w:ascii="Times New Roman" w:hAnsi="Times New Roman"/>
          <w:b/>
        </w:rPr>
      </w:pPr>
      <w:r w:rsidRPr="00B27D8B">
        <w:rPr>
          <w:rFonts w:ascii="Times New Roman" w:hAnsi="Times New Roman"/>
          <w:b/>
        </w:rPr>
        <w:t>a podnikateľské prostredie</w:t>
      </w:r>
    </w:p>
    <w:p w:rsidR="005B4D5B" w:rsidRPr="00CC4DD5" w:rsidP="005B4D5B">
      <w:pPr>
        <w:bidi w:val="0"/>
        <w:rPr>
          <w:rFonts w:ascii="Times New Roman" w:hAnsi="Times New Roman"/>
        </w:rPr>
      </w:pPr>
    </w:p>
    <w:p w:rsidR="00BC19EE" w:rsidP="005B4D5B">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B53E37" w:rsidRPr="004A1376" w:rsidP="00B53E37">
      <w:pPr>
        <w:numPr>
          <w:ilvl w:val="1"/>
          <w:numId w:val="3"/>
        </w:numPr>
        <w:tabs>
          <w:tab w:val="left" w:pos="360"/>
          <w:tab w:val="left" w:pos="1440"/>
        </w:tabs>
        <w:bidi w:val="0"/>
        <w:adjustRightInd w:val="0"/>
        <w:ind w:left="360"/>
        <w:jc w:val="both"/>
        <w:rPr>
          <w:rFonts w:ascii="Times New Roman" w:hAnsi="Times New Roman"/>
          <w:b/>
          <w:bCs/>
          <w:color w:val="000000"/>
        </w:rPr>
      </w:pPr>
      <w:r>
        <w:rPr>
          <w:rFonts w:ascii="Times New Roman" w:hAnsi="Times New Roman"/>
          <w:b/>
          <w:bCs/>
          <w:color w:val="000000"/>
        </w:rPr>
        <w:t>Vplyvy</w:t>
      </w:r>
      <w:r w:rsidRPr="004A1376">
        <w:rPr>
          <w:rFonts w:ascii="Times New Roman" w:hAnsi="Times New Roman"/>
          <w:b/>
          <w:bCs/>
          <w:color w:val="000000"/>
        </w:rPr>
        <w:t xml:space="preserve"> na verejné financie:</w:t>
      </w:r>
    </w:p>
    <w:p w:rsidR="00B53E37" w:rsidRPr="00CC4DD5" w:rsidP="00B53E37">
      <w:pPr>
        <w:bidi w:val="0"/>
        <w:rPr>
          <w:rFonts w:ascii="Times New Roman" w:hAnsi="Times New Roman"/>
        </w:rPr>
      </w:pPr>
    </w:p>
    <w:p w:rsidR="00B53E37" w:rsidRPr="00CC4DD5" w:rsidP="00B53E37">
      <w:pPr>
        <w:bidi w:val="0"/>
        <w:jc w:val="both"/>
        <w:outlineLvl w:val="0"/>
        <w:rPr>
          <w:rFonts w:ascii="Times New Roman" w:hAnsi="Times New Roman"/>
        </w:rPr>
      </w:pPr>
      <w:r w:rsidRPr="00CC4DD5">
        <w:rPr>
          <w:rFonts w:ascii="Times New Roman" w:hAnsi="Times New Roman"/>
        </w:rPr>
        <w:t>Návrh zákona nemá vplyv na verejné financie.</w:t>
      </w:r>
      <w:r>
        <w:rPr>
          <w:rFonts w:ascii="Times New Roman" w:hAnsi="Times New Roman"/>
        </w:rPr>
        <w:t xml:space="preserve"> Prípadné náklady, ktoré môžu vzniknúť zo zastupovania v konaní pred Európskym súdnym dvorom (odmena povereného zástupcu v prípade, ak ním nebude poslanec národnej rady, náklady na cestovné do sídla Európskeho súdneho dvora v Luxemburgu a pod.) budú hradené z rozpočtu Kancelárie Národnej rady SR.  </w:t>
      </w:r>
    </w:p>
    <w:p w:rsidR="00B53E37" w:rsidRPr="00CC4DD5" w:rsidP="00B53E37">
      <w:pPr>
        <w:bidi w:val="0"/>
        <w:rPr>
          <w:rFonts w:ascii="Times New Roman" w:hAnsi="Times New Roman"/>
        </w:rPr>
      </w:pPr>
    </w:p>
    <w:p w:rsidR="00B53E37" w:rsidRPr="00B27D8B" w:rsidP="00B53E37">
      <w:pPr>
        <w:bidi w:val="0"/>
        <w:jc w:val="both"/>
        <w:rPr>
          <w:rFonts w:ascii="Times New Roman" w:hAnsi="Times New Roman"/>
          <w:b/>
        </w:rPr>
      </w:pPr>
      <w:r w:rsidRPr="00B27D8B">
        <w:rPr>
          <w:rFonts w:ascii="Times New Roman" w:hAnsi="Times New Roman"/>
          <w:b/>
        </w:rPr>
        <w:t>2. Vplyvy na obyvateľov, hospodárenie podnikateľskej sféry a iných právnických osôb</w:t>
      </w:r>
      <w:r>
        <w:rPr>
          <w:rFonts w:ascii="Times New Roman" w:hAnsi="Times New Roman"/>
          <w:b/>
        </w:rPr>
        <w:t>:</w:t>
      </w:r>
    </w:p>
    <w:p w:rsidR="00B53E37" w:rsidRPr="00CC4DD5" w:rsidP="00B53E37">
      <w:pPr>
        <w:bidi w:val="0"/>
        <w:rPr>
          <w:rFonts w:ascii="Times New Roman" w:hAnsi="Times New Roman"/>
        </w:rPr>
      </w:pPr>
    </w:p>
    <w:p w:rsidR="00B53E37" w:rsidRPr="00CC4DD5" w:rsidP="00B53E37">
      <w:pPr>
        <w:bidi w:val="0"/>
        <w:jc w:val="both"/>
        <w:rPr>
          <w:rFonts w:ascii="Times New Roman" w:hAnsi="Times New Roman"/>
        </w:rPr>
      </w:pPr>
      <w:r w:rsidRPr="00CC4DD5">
        <w:rPr>
          <w:rFonts w:ascii="Times New Roman" w:hAnsi="Times New Roman"/>
        </w:rPr>
        <w:t>Realizáciou predloženého návrhu zákona sa nepredpokladá negatívny vplyv na obyvateľov, hospodárenie podnikateľskej sféry a iných právnických osôb.</w:t>
      </w:r>
    </w:p>
    <w:p w:rsidR="00B53E37" w:rsidRPr="00CC4DD5" w:rsidP="00B53E37">
      <w:pPr>
        <w:bidi w:val="0"/>
        <w:rPr>
          <w:rFonts w:ascii="Times New Roman" w:hAnsi="Times New Roman"/>
        </w:rPr>
      </w:pPr>
    </w:p>
    <w:p w:rsidR="00B53E37" w:rsidRPr="00B27D8B" w:rsidP="00B53E37">
      <w:pPr>
        <w:bidi w:val="0"/>
        <w:rPr>
          <w:rFonts w:ascii="Times New Roman" w:hAnsi="Times New Roman"/>
          <w:b/>
        </w:rPr>
      </w:pPr>
      <w:r w:rsidRPr="00B27D8B">
        <w:rPr>
          <w:rFonts w:ascii="Times New Roman" w:hAnsi="Times New Roman"/>
          <w:b/>
        </w:rPr>
        <w:t>3. Vplyvy na životné prostredie</w:t>
      </w:r>
      <w:r>
        <w:rPr>
          <w:rFonts w:ascii="Times New Roman" w:hAnsi="Times New Roman"/>
          <w:b/>
        </w:rPr>
        <w:t>:</w:t>
      </w:r>
    </w:p>
    <w:p w:rsidR="00B53E37" w:rsidRPr="00CC4DD5" w:rsidP="00B53E37">
      <w:pPr>
        <w:bidi w:val="0"/>
        <w:rPr>
          <w:rFonts w:ascii="Times New Roman" w:hAnsi="Times New Roman"/>
        </w:rPr>
      </w:pPr>
    </w:p>
    <w:p w:rsidR="00B53E37" w:rsidRPr="00CC4DD5" w:rsidP="00B53E37">
      <w:pPr>
        <w:bidi w:val="0"/>
        <w:jc w:val="both"/>
        <w:rPr>
          <w:rFonts w:ascii="Times New Roman" w:hAnsi="Times New Roman"/>
        </w:rPr>
      </w:pPr>
      <w:r w:rsidRPr="00CC4DD5">
        <w:rPr>
          <w:rFonts w:ascii="Times New Roman" w:hAnsi="Times New Roman"/>
        </w:rPr>
        <w:t xml:space="preserve">Realizáciou predloženého návrhu zákona sa nepredpokladá </w:t>
      </w:r>
      <w:r>
        <w:rPr>
          <w:rFonts w:ascii="Times New Roman" w:hAnsi="Times New Roman"/>
        </w:rPr>
        <w:t xml:space="preserve">negatívny </w:t>
      </w:r>
      <w:r w:rsidRPr="00CC4DD5">
        <w:rPr>
          <w:rFonts w:ascii="Times New Roman" w:hAnsi="Times New Roman"/>
        </w:rPr>
        <w:t xml:space="preserve">vplyv na životné </w:t>
      </w:r>
      <w:r>
        <w:rPr>
          <w:rFonts w:ascii="Times New Roman" w:hAnsi="Times New Roman"/>
        </w:rPr>
        <w:t>p</w:t>
      </w:r>
      <w:r w:rsidRPr="00CC4DD5">
        <w:rPr>
          <w:rFonts w:ascii="Times New Roman" w:hAnsi="Times New Roman"/>
        </w:rPr>
        <w:t>rostredie.</w:t>
      </w:r>
    </w:p>
    <w:p w:rsidR="00B53E37" w:rsidRPr="00CC4DD5" w:rsidP="00B53E37">
      <w:pPr>
        <w:bidi w:val="0"/>
        <w:rPr>
          <w:rFonts w:ascii="Times New Roman" w:hAnsi="Times New Roman"/>
        </w:rPr>
      </w:pPr>
    </w:p>
    <w:p w:rsidR="00B53E37" w:rsidRPr="00B27D8B" w:rsidP="00B53E37">
      <w:pPr>
        <w:bidi w:val="0"/>
        <w:rPr>
          <w:rFonts w:ascii="Times New Roman" w:hAnsi="Times New Roman"/>
          <w:b/>
        </w:rPr>
      </w:pPr>
      <w:r w:rsidRPr="00B27D8B">
        <w:rPr>
          <w:rFonts w:ascii="Times New Roman" w:hAnsi="Times New Roman"/>
          <w:b/>
        </w:rPr>
        <w:t>4. Vplyvy na zamestnanosť</w:t>
      </w:r>
      <w:r>
        <w:rPr>
          <w:rFonts w:ascii="Times New Roman" w:hAnsi="Times New Roman"/>
          <w:b/>
        </w:rPr>
        <w:t>:</w:t>
      </w:r>
    </w:p>
    <w:p w:rsidR="00B53E37" w:rsidRPr="00CC4DD5" w:rsidP="00B53E37">
      <w:pPr>
        <w:bidi w:val="0"/>
        <w:rPr>
          <w:rFonts w:ascii="Times New Roman" w:hAnsi="Times New Roman"/>
        </w:rPr>
      </w:pPr>
    </w:p>
    <w:p w:rsidR="00B53E37" w:rsidRPr="00CC4DD5" w:rsidP="00B53E37">
      <w:pPr>
        <w:bidi w:val="0"/>
        <w:jc w:val="both"/>
        <w:rPr>
          <w:rFonts w:ascii="Times New Roman" w:hAnsi="Times New Roman"/>
        </w:rPr>
      </w:pPr>
      <w:r w:rsidRPr="00CC4DD5">
        <w:rPr>
          <w:rFonts w:ascii="Times New Roman" w:hAnsi="Times New Roman"/>
        </w:rPr>
        <w:t xml:space="preserve">Realizáciou predloženého návrhu zákona sa nepredpokladá </w:t>
      </w:r>
      <w:r>
        <w:rPr>
          <w:rFonts w:ascii="Times New Roman" w:hAnsi="Times New Roman"/>
        </w:rPr>
        <w:t xml:space="preserve">negatívny </w:t>
      </w:r>
      <w:r w:rsidRPr="00CC4DD5">
        <w:rPr>
          <w:rFonts w:ascii="Times New Roman" w:hAnsi="Times New Roman"/>
        </w:rPr>
        <w:t>vplyv na nezamestnanosť a ani na zamestnanosť občanov Slovenskej republiky.</w:t>
      </w:r>
      <w:r>
        <w:rPr>
          <w:rFonts w:ascii="Times New Roman" w:hAnsi="Times New Roman"/>
        </w:rPr>
        <w:t xml:space="preserve"> </w:t>
      </w:r>
    </w:p>
    <w:p w:rsidR="00B53E37" w:rsidRPr="00CC4DD5" w:rsidP="00B53E37">
      <w:pPr>
        <w:bidi w:val="0"/>
        <w:rPr>
          <w:rFonts w:ascii="Times New Roman" w:hAnsi="Times New Roman"/>
        </w:rPr>
      </w:pPr>
    </w:p>
    <w:p w:rsidR="00B53E37" w:rsidRPr="00B27D8B" w:rsidP="00B53E37">
      <w:pPr>
        <w:bidi w:val="0"/>
        <w:rPr>
          <w:rFonts w:ascii="Times New Roman" w:hAnsi="Times New Roman"/>
          <w:b/>
        </w:rPr>
      </w:pPr>
      <w:r w:rsidRPr="00B27D8B">
        <w:rPr>
          <w:rFonts w:ascii="Times New Roman" w:hAnsi="Times New Roman"/>
          <w:b/>
        </w:rPr>
        <w:t>5. Vplyvy na podnikateľské prostredie</w:t>
      </w:r>
      <w:r>
        <w:rPr>
          <w:rFonts w:ascii="Times New Roman" w:hAnsi="Times New Roman"/>
          <w:b/>
        </w:rPr>
        <w:t>:</w:t>
      </w:r>
    </w:p>
    <w:p w:rsidR="00B53E37" w:rsidRPr="00CC4DD5" w:rsidP="00B53E37">
      <w:pPr>
        <w:bidi w:val="0"/>
        <w:rPr>
          <w:rFonts w:ascii="Times New Roman" w:hAnsi="Times New Roman"/>
        </w:rPr>
      </w:pPr>
    </w:p>
    <w:p w:rsidR="00B53E37" w:rsidRPr="00CC4DD5" w:rsidP="00B53E37">
      <w:pPr>
        <w:bidi w:val="0"/>
        <w:jc w:val="both"/>
        <w:rPr>
          <w:rFonts w:ascii="Times New Roman" w:hAnsi="Times New Roman"/>
        </w:rPr>
      </w:pPr>
      <w:r w:rsidRPr="00CC4DD5">
        <w:rPr>
          <w:rFonts w:ascii="Times New Roman" w:hAnsi="Times New Roman"/>
        </w:rPr>
        <w:t xml:space="preserve">Realizáciou predloženého návrhu zákona sa nepredpokladá </w:t>
      </w:r>
      <w:r>
        <w:rPr>
          <w:rFonts w:ascii="Times New Roman" w:hAnsi="Times New Roman"/>
        </w:rPr>
        <w:t xml:space="preserve">negatívny </w:t>
      </w:r>
      <w:r w:rsidRPr="00CC4DD5">
        <w:rPr>
          <w:rFonts w:ascii="Times New Roman" w:hAnsi="Times New Roman"/>
        </w:rPr>
        <w:t>vplyv na podnikateľské prostredie.</w:t>
      </w:r>
    </w:p>
    <w:p w:rsidR="00B53E37" w:rsidRPr="00CC4DD5" w:rsidP="00B53E37">
      <w:pPr>
        <w:bidi w:val="0"/>
        <w:rPr>
          <w:rFonts w:ascii="Times New Roman" w:hAnsi="Times New Roman"/>
        </w:rPr>
      </w:pPr>
    </w:p>
    <w:p w:rsidR="00B53E37" w:rsidRPr="00CC4DD5" w:rsidP="00B53E37">
      <w:pPr>
        <w:bidi w:val="0"/>
        <w:rPr>
          <w:rFonts w:ascii="Times New Roman" w:hAnsi="Times New Roman"/>
        </w:rPr>
      </w:pPr>
    </w:p>
    <w:p w:rsidR="00B53E37" w:rsidP="00B53E37">
      <w:pPr>
        <w:bidi w:val="0"/>
        <w:rPr>
          <w:rFonts w:ascii="Times New Roman" w:hAnsi="Times New Roman"/>
        </w:rPr>
      </w:pPr>
    </w:p>
    <w:p w:rsidR="00B53E37" w:rsidP="00B53E37">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D2617E" w:rsidP="005B4D5B">
      <w:pPr>
        <w:bidi w:val="0"/>
        <w:rPr>
          <w:rFonts w:ascii="Times New Roman" w:hAnsi="Times New Roman"/>
        </w:rPr>
      </w:pPr>
    </w:p>
    <w:p w:rsidR="00BC19EE" w:rsidP="005B4D5B">
      <w:pPr>
        <w:bidi w:val="0"/>
        <w:rPr>
          <w:rFonts w:ascii="Times New Roman" w:hAnsi="Times New Roman"/>
        </w:rPr>
      </w:pPr>
    </w:p>
    <w:p w:rsidR="00BB1843" w:rsidP="005B4D5B">
      <w:pPr>
        <w:bidi w:val="0"/>
        <w:rPr>
          <w:rFonts w:ascii="Times New Roman" w:hAnsi="Times New Roman"/>
        </w:rPr>
      </w:pPr>
    </w:p>
    <w:p w:rsidR="00BB1843" w:rsidP="005B4D5B">
      <w:pPr>
        <w:bidi w:val="0"/>
        <w:rPr>
          <w:rFonts w:ascii="Times New Roman" w:hAnsi="Times New Roman"/>
        </w:rPr>
      </w:pPr>
    </w:p>
    <w:p w:rsidR="005B4D5B" w:rsidP="005B4D5B">
      <w:pPr>
        <w:bidi w:val="0"/>
        <w:jc w:val="center"/>
        <w:rPr>
          <w:rFonts w:ascii="Times New Roman" w:hAnsi="Times New Roman"/>
          <w:b/>
          <w:bCs/>
        </w:rPr>
      </w:pPr>
      <w:r w:rsidRPr="007400F8">
        <w:rPr>
          <w:rFonts w:ascii="Times New Roman" w:hAnsi="Times New Roman"/>
          <w:b/>
          <w:bCs/>
        </w:rPr>
        <w:t>D</w:t>
      </w:r>
      <w:r>
        <w:rPr>
          <w:rFonts w:ascii="Times New Roman" w:hAnsi="Times New Roman"/>
          <w:b/>
          <w:bCs/>
        </w:rPr>
        <w:t>OLOŽKA ZLUČITEĽNOSTI</w:t>
      </w:r>
    </w:p>
    <w:p w:rsidR="005B4D5B" w:rsidP="005B4D5B">
      <w:pPr>
        <w:bidi w:val="0"/>
        <w:jc w:val="center"/>
        <w:rPr>
          <w:rFonts w:ascii="Times New Roman" w:hAnsi="Times New Roman"/>
          <w:b/>
        </w:rPr>
      </w:pPr>
      <w:r w:rsidRPr="007400F8">
        <w:rPr>
          <w:rFonts w:ascii="Times New Roman" w:hAnsi="Times New Roman"/>
          <w:b/>
        </w:rPr>
        <w:t xml:space="preserve">právneho predpisu </w:t>
      </w:r>
    </w:p>
    <w:p w:rsidR="005B4D5B" w:rsidRPr="003672AD" w:rsidP="005B4D5B">
      <w:pPr>
        <w:bidi w:val="0"/>
        <w:jc w:val="center"/>
        <w:rPr>
          <w:rFonts w:ascii="Times New Roman" w:hAnsi="Times New Roman"/>
          <w:b/>
          <w:color w:val="FF0000"/>
        </w:rPr>
      </w:pPr>
      <w:r w:rsidR="00126579">
        <w:rPr>
          <w:rFonts w:ascii="Times New Roman" w:hAnsi="Times New Roman"/>
          <w:b/>
        </w:rPr>
        <w:t>s </w:t>
      </w:r>
      <w:r w:rsidRPr="007400F8">
        <w:rPr>
          <w:rFonts w:ascii="Times New Roman" w:hAnsi="Times New Roman"/>
          <w:b/>
        </w:rPr>
        <w:t>právom Európskej únie</w:t>
      </w:r>
      <w:r>
        <w:rPr>
          <w:rFonts w:ascii="Times New Roman" w:hAnsi="Times New Roman"/>
          <w:b/>
        </w:rPr>
        <w:t xml:space="preserve"> </w:t>
      </w:r>
    </w:p>
    <w:p w:rsidR="005B4D5B" w:rsidP="005B4D5B">
      <w:pPr>
        <w:bidi w:val="0"/>
        <w:jc w:val="both"/>
        <w:rPr>
          <w:rFonts w:ascii="Times New Roman" w:hAnsi="Times New Roman"/>
          <w:bCs/>
        </w:rPr>
      </w:pPr>
    </w:p>
    <w:p w:rsidR="005B4D5B" w:rsidRPr="007400F8" w:rsidP="005B4D5B">
      <w:pPr>
        <w:bidi w:val="0"/>
        <w:jc w:val="both"/>
        <w:rPr>
          <w:rFonts w:ascii="Times New Roman" w:hAnsi="Times New Roman"/>
          <w:bCs/>
        </w:rPr>
      </w:pPr>
    </w:p>
    <w:p w:rsidR="005B4D5B" w:rsidRPr="00B27D8B" w:rsidP="005B4D5B">
      <w:pPr>
        <w:tabs>
          <w:tab w:val="left" w:pos="708"/>
          <w:tab w:val="left" w:pos="1416"/>
          <w:tab w:val="left" w:pos="2124"/>
          <w:tab w:val="left" w:pos="2832"/>
          <w:tab w:val="left" w:pos="3540"/>
          <w:tab w:val="center" w:pos="4536"/>
        </w:tabs>
        <w:bidi w:val="0"/>
        <w:jc w:val="both"/>
        <w:rPr>
          <w:rFonts w:ascii="Times New Roman" w:hAnsi="Times New Roman"/>
          <w:b/>
          <w:bCs/>
        </w:rPr>
      </w:pPr>
      <w:r w:rsidRPr="00B27D8B">
        <w:rPr>
          <w:rFonts w:ascii="Times New Roman" w:hAnsi="Times New Roman"/>
          <w:b/>
          <w:bCs/>
        </w:rPr>
        <w:t xml:space="preserve">1.       </w:t>
        <w:tab/>
        <w:t xml:space="preserve">Predkladateľ právneho predpisu: </w:t>
        <w:tab/>
      </w:r>
    </w:p>
    <w:p w:rsidR="005B4D5B" w:rsidRPr="007400F8" w:rsidP="005B4D5B">
      <w:pPr>
        <w:bidi w:val="0"/>
        <w:jc w:val="both"/>
        <w:rPr>
          <w:rFonts w:ascii="Times New Roman" w:hAnsi="Times New Roman"/>
          <w:bCs/>
        </w:rPr>
      </w:pPr>
      <w:r w:rsidRPr="007400F8">
        <w:rPr>
          <w:rFonts w:ascii="Times New Roman" w:hAnsi="Times New Roman"/>
          <w:bCs/>
        </w:rPr>
        <w:tab/>
      </w:r>
      <w:r>
        <w:rPr>
          <w:rFonts w:ascii="Times New Roman" w:hAnsi="Times New Roman"/>
          <w:bCs/>
        </w:rPr>
        <w:t xml:space="preserve">Výbor Národnej rady </w:t>
      </w:r>
      <w:r w:rsidRPr="007400F8">
        <w:rPr>
          <w:rFonts w:ascii="Times New Roman" w:hAnsi="Times New Roman"/>
          <w:bCs/>
        </w:rPr>
        <w:t xml:space="preserve">Slovenskej republiky </w:t>
      </w:r>
      <w:r>
        <w:rPr>
          <w:rFonts w:ascii="Times New Roman" w:hAnsi="Times New Roman"/>
          <w:bCs/>
        </w:rPr>
        <w:t xml:space="preserve">pre európske záležitosti </w:t>
      </w:r>
    </w:p>
    <w:p w:rsidR="005B4D5B" w:rsidP="005B4D5B">
      <w:pPr>
        <w:bidi w:val="0"/>
        <w:jc w:val="both"/>
        <w:rPr>
          <w:rFonts w:ascii="Times New Roman" w:hAnsi="Times New Roman"/>
          <w:bCs/>
        </w:rPr>
      </w:pPr>
      <w:r w:rsidRPr="007400F8">
        <w:rPr>
          <w:rFonts w:ascii="Times New Roman" w:hAnsi="Times New Roman"/>
          <w:bCs/>
        </w:rPr>
        <w:tab/>
      </w:r>
    </w:p>
    <w:p w:rsidR="005B4D5B" w:rsidRPr="00B27D8B" w:rsidP="005B4D5B">
      <w:pPr>
        <w:tabs>
          <w:tab w:val="left" w:pos="360"/>
          <w:tab w:val="left" w:pos="720"/>
          <w:tab w:val="left" w:pos="900"/>
        </w:tabs>
        <w:bidi w:val="0"/>
        <w:jc w:val="both"/>
        <w:rPr>
          <w:rFonts w:ascii="Times New Roman" w:hAnsi="Times New Roman"/>
          <w:b/>
          <w:bCs/>
        </w:rPr>
      </w:pPr>
      <w:r w:rsidRPr="00B27D8B">
        <w:rPr>
          <w:rFonts w:ascii="Times New Roman" w:hAnsi="Times New Roman"/>
          <w:b/>
          <w:bCs/>
        </w:rPr>
        <w:t xml:space="preserve">2.       </w:t>
        <w:tab/>
        <w:t>Názov návrhu právneho predpisu:</w:t>
        <w:tab/>
      </w:r>
    </w:p>
    <w:p w:rsidR="005B4D5B" w:rsidRPr="005B4D5B" w:rsidP="00B052E1">
      <w:pPr>
        <w:bidi w:val="0"/>
        <w:ind w:left="708" w:firstLine="1"/>
        <w:jc w:val="both"/>
        <w:rPr>
          <w:rFonts w:ascii="Times New Roman" w:hAnsi="Times New Roman"/>
        </w:rPr>
      </w:pPr>
      <w:r w:rsidR="00105371">
        <w:rPr>
          <w:rFonts w:ascii="Times New Roman" w:hAnsi="Times New Roman"/>
        </w:rPr>
        <w:t>Ústavný z</w:t>
      </w:r>
      <w:r w:rsidRPr="005B4D5B">
        <w:rPr>
          <w:rFonts w:ascii="Times New Roman" w:hAnsi="Times New Roman"/>
        </w:rPr>
        <w:t xml:space="preserve">ákon, </w:t>
      </w:r>
      <w:r w:rsidRPr="005B4D5B">
        <w:rPr>
          <w:rFonts w:ascii="Times New Roman" w:hAnsi="Times New Roman"/>
          <w:bCs/>
        </w:rPr>
        <w:t>ktorým sa </w:t>
      </w:r>
      <w:r w:rsidR="00105371">
        <w:rPr>
          <w:rFonts w:ascii="Times New Roman" w:hAnsi="Times New Roman"/>
          <w:bCs/>
        </w:rPr>
        <w:t xml:space="preserve">mení a </w:t>
      </w:r>
      <w:r w:rsidRPr="005B4D5B">
        <w:rPr>
          <w:rFonts w:ascii="Times New Roman" w:hAnsi="Times New Roman"/>
          <w:bCs/>
        </w:rPr>
        <w:t xml:space="preserve">dopĺňa ústavný zákon Národnej rady Slovenskej republiky č. 397/2004 Z.z. </w:t>
      </w:r>
      <w:r w:rsidRPr="005B4D5B">
        <w:rPr>
          <w:rFonts w:ascii="Times New Roman" w:hAnsi="Times New Roman"/>
        </w:rPr>
        <w:t>o spolupráci Národnej rady Slovenskej republiky a vlády Slovenskej republiky</w:t>
      </w:r>
      <w:r w:rsidRPr="005B4D5B">
        <w:rPr>
          <w:rFonts w:ascii="Times New Roman" w:hAnsi="Times New Roman"/>
          <w:color w:val="FF0000"/>
        </w:rPr>
        <w:t xml:space="preserve"> </w:t>
      </w:r>
      <w:r w:rsidRPr="005B4D5B">
        <w:rPr>
          <w:rFonts w:ascii="Times New Roman" w:hAnsi="Times New Roman"/>
        </w:rPr>
        <w:t xml:space="preserve">v záležitostiach Európskej únie </w:t>
      </w:r>
    </w:p>
    <w:p w:rsidR="005B4D5B" w:rsidRPr="007400F8" w:rsidP="00126579">
      <w:pPr>
        <w:pStyle w:val="BodyText"/>
        <w:bidi w:val="0"/>
        <w:jc w:val="both"/>
        <w:rPr>
          <w:rFonts w:ascii="Times New Roman" w:hAnsi="Times New Roman"/>
        </w:rPr>
      </w:pPr>
    </w:p>
    <w:p w:rsidR="005B4D5B" w:rsidP="005B4D5B">
      <w:pPr>
        <w:bidi w:val="0"/>
        <w:jc w:val="both"/>
        <w:rPr>
          <w:rFonts w:ascii="Times New Roman" w:hAnsi="Times New Roman"/>
          <w:b/>
          <w:bCs/>
        </w:rPr>
      </w:pPr>
      <w:r w:rsidRPr="00B27D8B">
        <w:rPr>
          <w:rFonts w:ascii="Times New Roman" w:hAnsi="Times New Roman"/>
          <w:b/>
          <w:bCs/>
        </w:rPr>
        <w:t>3.</w:t>
        <w:tab/>
        <w:t>Problematika návrhu právneho predpisu:</w:t>
      </w:r>
    </w:p>
    <w:p w:rsidR="005B4D5B" w:rsidRPr="00B27D8B" w:rsidP="005B4D5B">
      <w:pPr>
        <w:bidi w:val="0"/>
        <w:jc w:val="both"/>
        <w:rPr>
          <w:rFonts w:ascii="Times New Roman" w:hAnsi="Times New Roman"/>
          <w:b/>
          <w:bCs/>
        </w:rPr>
      </w:pPr>
    </w:p>
    <w:p w:rsidR="00126579" w:rsidP="00126579">
      <w:pPr>
        <w:bidi w:val="0"/>
        <w:ind w:firstLine="708"/>
        <w:rPr>
          <w:rFonts w:ascii="Times New Roman" w:hAnsi="Times New Roman"/>
        </w:rPr>
      </w:pPr>
      <w:r>
        <w:rPr>
          <w:rFonts w:ascii="Times New Roman" w:hAnsi="Times New Roman"/>
        </w:rPr>
        <w:t>Čl. 1, čl. 5 ods. 3, čl. 12 Zmluvy o Európskej únii</w:t>
      </w:r>
    </w:p>
    <w:p w:rsidR="00126579" w:rsidP="00126579">
      <w:pPr>
        <w:bidi w:val="0"/>
        <w:rPr>
          <w:rFonts w:ascii="Times New Roman" w:hAnsi="Times New Roman"/>
        </w:rPr>
      </w:pPr>
    </w:p>
    <w:p w:rsidR="00126579" w:rsidP="00126579">
      <w:pPr>
        <w:bidi w:val="0"/>
        <w:ind w:firstLine="708"/>
        <w:rPr>
          <w:rFonts w:ascii="Times New Roman" w:hAnsi="Times New Roman"/>
        </w:rPr>
      </w:pPr>
      <w:r>
        <w:rPr>
          <w:rFonts w:ascii="Times New Roman" w:hAnsi="Times New Roman"/>
        </w:rPr>
        <w:t>Čl. 69, čl. 289 ods. 3 a 4 Zmluvy o fungovaní Európskej únie</w:t>
      </w:r>
    </w:p>
    <w:p w:rsidR="00126579" w:rsidP="00126579">
      <w:pPr>
        <w:bidi w:val="0"/>
        <w:rPr>
          <w:rFonts w:ascii="Times New Roman" w:hAnsi="Times New Roman"/>
        </w:rPr>
      </w:pPr>
    </w:p>
    <w:p w:rsidR="00126579" w:rsidP="00126579">
      <w:pPr>
        <w:bidi w:val="0"/>
        <w:ind w:firstLine="708"/>
        <w:jc w:val="both"/>
        <w:rPr>
          <w:rFonts w:ascii="Times New Roman" w:hAnsi="Times New Roman"/>
        </w:rPr>
      </w:pPr>
      <w:r>
        <w:rPr>
          <w:rFonts w:ascii="Times New Roman" w:hAnsi="Times New Roman"/>
        </w:rPr>
        <w:t>Protokol o úlohe národných parlamentov v Európskej únii, ktorý sa Lisabonskou zmluvou pripojí k Zmluve o Európskej únii, k Zmluve o fungovaní Európskej únie a k Zmluve o založení Európskeho spoločenstva pre atómovú energiu</w:t>
      </w:r>
    </w:p>
    <w:p w:rsidR="00126579" w:rsidP="00126579">
      <w:pPr>
        <w:bidi w:val="0"/>
        <w:rPr>
          <w:rFonts w:ascii="Times New Roman" w:hAnsi="Times New Roman"/>
        </w:rPr>
      </w:pPr>
    </w:p>
    <w:p w:rsidR="00126579" w:rsidRPr="007A0479" w:rsidP="00126579">
      <w:pPr>
        <w:bidi w:val="0"/>
        <w:ind w:firstLine="360"/>
        <w:jc w:val="both"/>
        <w:rPr>
          <w:rFonts w:ascii="Times New Roman" w:hAnsi="Times New Roman"/>
        </w:rPr>
      </w:pPr>
      <w:r>
        <w:rPr>
          <w:rFonts w:ascii="Times New Roman" w:hAnsi="Times New Roman"/>
        </w:rPr>
        <w:t xml:space="preserve">Protokol o uplatňovaní zásad subsidiarity a proporcionality, ktorý sa Lisabonskou zmluvou pripojí k Zmluve o Európskej únii a k Zmluve o fungovaní Európskej únie </w:t>
      </w:r>
    </w:p>
    <w:p w:rsidR="005B4D5B" w:rsidRPr="007400F8" w:rsidP="00126579">
      <w:pPr>
        <w:bidi w:val="0"/>
        <w:ind w:left="720"/>
        <w:jc w:val="both"/>
        <w:rPr>
          <w:rFonts w:ascii="Times New Roman" w:hAnsi="Times New Roman"/>
        </w:rPr>
      </w:pPr>
    </w:p>
    <w:p w:rsidR="005B4D5B" w:rsidP="005B4D5B">
      <w:pPr>
        <w:bidi w:val="0"/>
        <w:jc w:val="both"/>
        <w:rPr>
          <w:rFonts w:ascii="Times New Roman" w:hAnsi="Times New Roman"/>
        </w:rPr>
      </w:pPr>
    </w:p>
    <w:p w:rsidR="005B4D5B" w:rsidP="005B4D5B">
      <w:pPr>
        <w:numPr>
          <w:numId w:val="4"/>
        </w:numPr>
        <w:bidi w:val="0"/>
        <w:jc w:val="both"/>
        <w:rPr>
          <w:rFonts w:ascii="Times New Roman" w:hAnsi="Times New Roman"/>
          <w:b/>
          <w:bCs/>
        </w:rPr>
      </w:pPr>
      <w:r w:rsidRPr="00022A1B">
        <w:rPr>
          <w:rFonts w:ascii="Times New Roman" w:hAnsi="Times New Roman"/>
          <w:b/>
          <w:bCs/>
        </w:rPr>
        <w:t>Záväzky Slovenskej republiky vo vzťahu k Európskym spoločenstvám a Európskej únii:</w:t>
      </w:r>
    </w:p>
    <w:p w:rsidR="005B4D5B" w:rsidP="005B4D5B">
      <w:pPr>
        <w:bidi w:val="0"/>
        <w:ind w:left="1068"/>
        <w:jc w:val="both"/>
        <w:rPr>
          <w:rFonts w:ascii="Times New Roman" w:hAnsi="Times New Roman"/>
        </w:rPr>
      </w:pPr>
    </w:p>
    <w:p w:rsidR="005B4D5B" w:rsidP="005B4D5B">
      <w:pPr>
        <w:bidi w:val="0"/>
        <w:ind w:left="1068"/>
        <w:jc w:val="both"/>
        <w:rPr>
          <w:rFonts w:ascii="Times New Roman" w:hAnsi="Times New Roman"/>
        </w:rPr>
      </w:pPr>
      <w:r>
        <w:rPr>
          <w:rFonts w:ascii="Times New Roman" w:hAnsi="Times New Roman"/>
        </w:rPr>
        <w:t>bezpredmetné</w:t>
      </w:r>
    </w:p>
    <w:p w:rsidR="005B4D5B" w:rsidRPr="007400F8" w:rsidP="005B4D5B">
      <w:pPr>
        <w:bidi w:val="0"/>
        <w:ind w:left="1068"/>
        <w:jc w:val="both"/>
        <w:rPr>
          <w:rFonts w:ascii="Times New Roman" w:hAnsi="Times New Roman"/>
        </w:rPr>
      </w:pPr>
    </w:p>
    <w:p w:rsidR="005B4D5B" w:rsidP="00BC19EE">
      <w:pPr>
        <w:numPr>
          <w:numId w:val="4"/>
        </w:numPr>
        <w:bidi w:val="0"/>
        <w:jc w:val="both"/>
        <w:rPr>
          <w:rFonts w:ascii="Times New Roman" w:hAnsi="Times New Roman"/>
          <w:b/>
          <w:bCs/>
        </w:rPr>
      </w:pPr>
      <w:r w:rsidRPr="00022A1B">
        <w:rPr>
          <w:rFonts w:ascii="Times New Roman" w:hAnsi="Times New Roman"/>
          <w:b/>
          <w:bCs/>
        </w:rPr>
        <w:t>Stupeň zlučiteľnosti návrhu právneho predpisu s právom Európskych spoločenstiev alebo právom Európskej únie:</w:t>
      </w:r>
    </w:p>
    <w:p w:rsidR="005B4D5B" w:rsidP="005B4D5B">
      <w:pPr>
        <w:bidi w:val="0"/>
        <w:rPr>
          <w:rFonts w:ascii="Times New Roman" w:hAnsi="Times New Roman"/>
          <w:b/>
          <w:bCs/>
        </w:rPr>
      </w:pPr>
    </w:p>
    <w:p w:rsidR="005B4D5B" w:rsidP="005B4D5B">
      <w:pPr>
        <w:bidi w:val="0"/>
        <w:ind w:left="1068"/>
        <w:rPr>
          <w:rFonts w:ascii="Times New Roman" w:hAnsi="Times New Roman"/>
          <w:bCs/>
        </w:rPr>
      </w:pPr>
      <w:r>
        <w:rPr>
          <w:rFonts w:ascii="Times New Roman" w:hAnsi="Times New Roman"/>
          <w:bCs/>
        </w:rPr>
        <w:t>bezpredmetné</w:t>
      </w:r>
    </w:p>
    <w:p w:rsidR="005B4D5B" w:rsidRPr="009E2D01" w:rsidP="005B4D5B">
      <w:pPr>
        <w:bidi w:val="0"/>
        <w:ind w:left="1068"/>
        <w:rPr>
          <w:rFonts w:ascii="Times New Roman" w:hAnsi="Times New Roman"/>
          <w:bCs/>
        </w:rPr>
      </w:pPr>
    </w:p>
    <w:p w:rsidR="005B4D5B" w:rsidP="005B4D5B">
      <w:pPr>
        <w:numPr>
          <w:numId w:val="4"/>
        </w:numPr>
        <w:bidi w:val="0"/>
        <w:rPr>
          <w:rFonts w:ascii="Times New Roman" w:hAnsi="Times New Roman"/>
          <w:b/>
          <w:bCs/>
        </w:rPr>
      </w:pPr>
      <w:r w:rsidRPr="00022A1B">
        <w:rPr>
          <w:rFonts w:ascii="Times New Roman" w:hAnsi="Times New Roman"/>
          <w:b/>
          <w:bCs/>
        </w:rPr>
        <w:t xml:space="preserve">Gestor a spolupracujúce rezorty: </w:t>
      </w:r>
    </w:p>
    <w:p w:rsidR="005B4D5B" w:rsidP="005B4D5B">
      <w:pPr>
        <w:bidi w:val="0"/>
        <w:ind w:left="1068"/>
        <w:rPr>
          <w:rFonts w:ascii="Times New Roman" w:hAnsi="Times New Roman"/>
          <w:bCs/>
        </w:rPr>
      </w:pPr>
    </w:p>
    <w:p w:rsidR="005B4D5B" w:rsidP="005B4D5B">
      <w:pPr>
        <w:bidi w:val="0"/>
        <w:ind w:left="1068"/>
        <w:rPr>
          <w:rFonts w:ascii="Times New Roman" w:hAnsi="Times New Roman"/>
          <w:bCs/>
        </w:rPr>
      </w:pPr>
      <w:r w:rsidR="00126579">
        <w:rPr>
          <w:rFonts w:ascii="Times New Roman" w:hAnsi="Times New Roman"/>
          <w:bCs/>
        </w:rPr>
        <w:t>B</w:t>
      </w:r>
      <w:r>
        <w:rPr>
          <w:rFonts w:ascii="Times New Roman" w:hAnsi="Times New Roman"/>
          <w:bCs/>
        </w:rPr>
        <w:t>ezpredmetné</w:t>
      </w:r>
    </w:p>
    <w:p w:rsidR="00126579" w:rsidP="005B4D5B">
      <w:pPr>
        <w:bidi w:val="0"/>
        <w:ind w:left="1068"/>
        <w:rPr>
          <w:rFonts w:ascii="Times New Roman" w:hAnsi="Times New Roman"/>
          <w:bCs/>
        </w:rPr>
      </w:pPr>
    </w:p>
    <w:p w:rsidR="005B4D5B" w:rsidP="005B4D5B">
      <w:pPr>
        <w:bidi w:val="0"/>
        <w:ind w:left="360"/>
        <w:rPr>
          <w:rFonts w:ascii="Times New Roman" w:hAnsi="Times New Roman"/>
          <w:b/>
          <w:bCs/>
        </w:rPr>
      </w:pPr>
    </w:p>
    <w:p w:rsidR="00BC19EE" w:rsidP="005B4D5B">
      <w:pPr>
        <w:bidi w:val="0"/>
        <w:ind w:left="360"/>
        <w:rPr>
          <w:rFonts w:ascii="Times New Roman" w:hAnsi="Times New Roman"/>
          <w:b/>
          <w:bCs/>
        </w:rPr>
      </w:pPr>
    </w:p>
    <w:p w:rsidR="00BC19EE" w:rsidP="005B4D5B">
      <w:pPr>
        <w:bidi w:val="0"/>
        <w:ind w:left="360"/>
        <w:rPr>
          <w:rFonts w:ascii="Times New Roman" w:hAnsi="Times New Roman"/>
          <w:b/>
          <w:bCs/>
        </w:rPr>
      </w:pPr>
    </w:p>
    <w:p w:rsidR="00BC19EE" w:rsidP="005B4D5B">
      <w:pPr>
        <w:bidi w:val="0"/>
        <w:ind w:left="360"/>
        <w:rPr>
          <w:rFonts w:ascii="Times New Roman" w:hAnsi="Times New Roman"/>
          <w:b/>
          <w:bCs/>
        </w:rPr>
      </w:pPr>
    </w:p>
    <w:p w:rsidR="00BC19EE" w:rsidP="005B4D5B">
      <w:pPr>
        <w:bidi w:val="0"/>
        <w:ind w:left="360"/>
        <w:rPr>
          <w:rFonts w:ascii="Times New Roman" w:hAnsi="Times New Roman"/>
          <w:b/>
          <w:bCs/>
        </w:rPr>
      </w:pPr>
    </w:p>
    <w:p w:rsidR="00BC19EE" w:rsidP="005B4D5B">
      <w:pPr>
        <w:bidi w:val="0"/>
        <w:ind w:left="360"/>
        <w:rPr>
          <w:rFonts w:ascii="Times New Roman" w:hAnsi="Times New Roman"/>
          <w:b/>
          <w:bCs/>
        </w:rPr>
      </w:pPr>
    </w:p>
    <w:p w:rsidR="00BC19EE" w:rsidP="005B4D5B">
      <w:pPr>
        <w:bidi w:val="0"/>
        <w:ind w:left="360"/>
        <w:rPr>
          <w:rFonts w:ascii="Times New Roman" w:hAnsi="Times New Roman"/>
          <w:b/>
          <w:bCs/>
        </w:rPr>
      </w:pPr>
    </w:p>
    <w:p w:rsidR="00BC19EE" w:rsidP="005B4D5B">
      <w:pPr>
        <w:bidi w:val="0"/>
        <w:ind w:left="360"/>
        <w:rPr>
          <w:rFonts w:ascii="Times New Roman" w:hAnsi="Times New Roman"/>
          <w:b/>
          <w:bCs/>
        </w:rPr>
      </w:pPr>
    </w:p>
    <w:p w:rsidR="00BC19EE" w:rsidRPr="00022A1B" w:rsidP="005B4D5B">
      <w:pPr>
        <w:bidi w:val="0"/>
        <w:ind w:left="360"/>
        <w:rPr>
          <w:rFonts w:ascii="Times New Roman" w:hAnsi="Times New Roman"/>
          <w:b/>
          <w:bCs/>
        </w:rPr>
      </w:pPr>
    </w:p>
    <w:p w:rsidR="00D05C75" w:rsidP="00D05C75">
      <w:pPr>
        <w:numPr>
          <w:numId w:val="1"/>
        </w:numPr>
        <w:tabs>
          <w:tab w:val="num" w:pos="360"/>
          <w:tab w:val="clear" w:pos="720"/>
        </w:tabs>
        <w:bidi w:val="0"/>
        <w:ind w:hanging="720"/>
        <w:jc w:val="both"/>
        <w:rPr>
          <w:rFonts w:ascii="Times New Roman" w:hAnsi="Times New Roman"/>
          <w:b/>
        </w:rPr>
      </w:pPr>
      <w:r>
        <w:rPr>
          <w:rFonts w:ascii="Times New Roman" w:hAnsi="Times New Roman"/>
          <w:b/>
        </w:rPr>
        <w:t>Osobitná časť</w:t>
      </w:r>
    </w:p>
    <w:p w:rsidR="00D05C75" w:rsidP="00D05C75">
      <w:pPr>
        <w:bidi w:val="0"/>
        <w:jc w:val="both"/>
        <w:rPr>
          <w:rFonts w:ascii="Times New Roman" w:hAnsi="Times New Roman"/>
          <w:b/>
        </w:rPr>
      </w:pPr>
    </w:p>
    <w:p w:rsidR="00D85B93" w:rsidP="00D05C75">
      <w:pPr>
        <w:bidi w:val="0"/>
        <w:jc w:val="both"/>
        <w:rPr>
          <w:rFonts w:ascii="Times New Roman" w:hAnsi="Times New Roman"/>
          <w:b/>
        </w:rPr>
      </w:pPr>
      <w:r w:rsidR="00105371">
        <w:rPr>
          <w:rFonts w:ascii="Times New Roman" w:hAnsi="Times New Roman"/>
          <w:b/>
        </w:rPr>
        <w:t>K Čl. I</w:t>
      </w:r>
    </w:p>
    <w:p w:rsidR="00D05C75" w:rsidP="00D05C75">
      <w:pPr>
        <w:bidi w:val="0"/>
        <w:jc w:val="both"/>
        <w:rPr>
          <w:rFonts w:ascii="Times New Roman" w:hAnsi="Times New Roman"/>
        </w:rPr>
      </w:pPr>
    </w:p>
    <w:p w:rsidR="00D05C75" w:rsidP="00D05C75">
      <w:pPr>
        <w:bidi w:val="0"/>
        <w:jc w:val="both"/>
        <w:rPr>
          <w:rFonts w:ascii="Times New Roman" w:hAnsi="Times New Roman"/>
        </w:rPr>
      </w:pPr>
      <w:r w:rsidRPr="00B15D6F">
        <w:rPr>
          <w:rFonts w:ascii="Times New Roman" w:hAnsi="Times New Roman"/>
        </w:rPr>
        <w:t>K</w:t>
      </w:r>
      <w:r w:rsidR="00572793">
        <w:rPr>
          <w:rFonts w:ascii="Times New Roman" w:hAnsi="Times New Roman"/>
        </w:rPr>
        <w:t> bodom</w:t>
      </w:r>
      <w:r w:rsidR="00105371">
        <w:rPr>
          <w:rFonts w:ascii="Times New Roman" w:hAnsi="Times New Roman"/>
        </w:rPr>
        <w:t xml:space="preserve"> 1</w:t>
      </w:r>
      <w:r w:rsidR="00572793">
        <w:rPr>
          <w:rFonts w:ascii="Times New Roman" w:hAnsi="Times New Roman"/>
        </w:rPr>
        <w:t>. a 3.</w:t>
      </w:r>
      <w:r w:rsidR="00105371">
        <w:rPr>
          <w:rFonts w:ascii="Times New Roman" w:hAnsi="Times New Roman"/>
        </w:rPr>
        <w:t xml:space="preserve"> – </w:t>
      </w:r>
    </w:p>
    <w:p w:rsidR="00126579" w:rsidP="00D05C75">
      <w:pPr>
        <w:bidi w:val="0"/>
        <w:jc w:val="both"/>
        <w:rPr>
          <w:rFonts w:ascii="Times New Roman" w:hAnsi="Times New Roman"/>
        </w:rPr>
      </w:pPr>
    </w:p>
    <w:p w:rsidR="00DE1A7F" w:rsidP="00D05C75">
      <w:pPr>
        <w:bidi w:val="0"/>
        <w:jc w:val="both"/>
        <w:rPr>
          <w:rFonts w:ascii="Times New Roman" w:hAnsi="Times New Roman"/>
        </w:rPr>
      </w:pPr>
      <w:r w:rsidR="002E21B2">
        <w:rPr>
          <w:rFonts w:ascii="Times New Roman" w:hAnsi="Times New Roman"/>
        </w:rPr>
        <w:tab/>
        <w:t>Ustanovenia čl. 1 odsek 1 a čl. 2 odsek 1 ústavného zákona spolu úzko súvisia. Na základe čl. 1 odsek 1 vzniká vláde Slovenskej republiky, resp. jej poverenému členov</w:t>
      </w:r>
      <w:r w:rsidR="009D46AD">
        <w:rPr>
          <w:rFonts w:ascii="Times New Roman" w:hAnsi="Times New Roman"/>
        </w:rPr>
        <w:t>i ústavná povinnosť predkladať n</w:t>
      </w:r>
      <w:r w:rsidR="002E21B2">
        <w:rPr>
          <w:rFonts w:ascii="Times New Roman" w:hAnsi="Times New Roman"/>
        </w:rPr>
        <w:t>á</w:t>
      </w:r>
      <w:r w:rsidR="009D46AD">
        <w:rPr>
          <w:rFonts w:ascii="Times New Roman" w:hAnsi="Times New Roman"/>
        </w:rPr>
        <w:t>rodnej rade</w:t>
      </w:r>
      <w:r w:rsidR="002E21B2">
        <w:rPr>
          <w:rFonts w:ascii="Times New Roman" w:hAnsi="Times New Roman"/>
        </w:rPr>
        <w:t xml:space="preserve"> návrhy právnych aktov a návrhy na použitie prechodovej klauzuly podľa čl. 48 ods. 7 konsolidovaného znenia Zmluvy o Európskej únii a podľa odseku 2 aj stanoviská k nim a následne podľa čl. 2 ods. 1 vzniká Národnej rade Slovenskej republiky ústavná možnosť schvaľovať tieto stanoviská</w:t>
      </w:r>
      <w:r w:rsidR="009D46AD">
        <w:rPr>
          <w:rFonts w:ascii="Times New Roman" w:hAnsi="Times New Roman"/>
        </w:rPr>
        <w:t xml:space="preserve"> a tým predsedovi vlády alebo členovi vlády udeľovať záväzný mandát.</w:t>
      </w:r>
      <w:r w:rsidR="002E21B2">
        <w:rPr>
          <w:rFonts w:ascii="Times New Roman" w:hAnsi="Times New Roman"/>
        </w:rPr>
        <w:t xml:space="preserve">. </w:t>
      </w:r>
    </w:p>
    <w:p w:rsidR="002E21B2" w:rsidP="00D05C75">
      <w:pPr>
        <w:bidi w:val="0"/>
        <w:jc w:val="both"/>
        <w:rPr>
          <w:rFonts w:ascii="Times New Roman" w:hAnsi="Times New Roman"/>
        </w:rPr>
      </w:pPr>
    </w:p>
    <w:p w:rsidR="002E21B2" w:rsidP="00D05C75">
      <w:pPr>
        <w:bidi w:val="0"/>
        <w:jc w:val="both"/>
        <w:rPr>
          <w:rFonts w:ascii="Times New Roman" w:hAnsi="Times New Roman"/>
        </w:rPr>
      </w:pPr>
      <w:r w:rsidR="009D46AD">
        <w:rPr>
          <w:rFonts w:ascii="Times New Roman" w:hAnsi="Times New Roman"/>
        </w:rPr>
        <w:tab/>
        <w:t>Tento vzájomný vzťah n</w:t>
      </w:r>
      <w:r>
        <w:rPr>
          <w:rFonts w:ascii="Times New Roman" w:hAnsi="Times New Roman"/>
        </w:rPr>
        <w:t>á</w:t>
      </w:r>
      <w:r w:rsidR="009D46AD">
        <w:rPr>
          <w:rFonts w:ascii="Times New Roman" w:hAnsi="Times New Roman"/>
        </w:rPr>
        <w:t>rodnej rady</w:t>
      </w:r>
      <w:r>
        <w:rPr>
          <w:rFonts w:ascii="Times New Roman" w:hAnsi="Times New Roman"/>
        </w:rPr>
        <w:t xml:space="preserve"> a vlády Slovenske</w:t>
      </w:r>
      <w:r w:rsidR="009D46AD">
        <w:rPr>
          <w:rFonts w:ascii="Times New Roman" w:hAnsi="Times New Roman"/>
        </w:rPr>
        <w:t>j republiky sa týka týchto</w:t>
      </w:r>
      <w:r>
        <w:rPr>
          <w:rFonts w:ascii="Times New Roman" w:hAnsi="Times New Roman"/>
        </w:rPr>
        <w:t xml:space="preserve"> oblastí –</w:t>
      </w:r>
    </w:p>
    <w:p w:rsidR="002E21B2" w:rsidP="00D05C75">
      <w:pPr>
        <w:bidi w:val="0"/>
        <w:jc w:val="both"/>
        <w:rPr>
          <w:rFonts w:ascii="Times New Roman" w:hAnsi="Times New Roman"/>
        </w:rPr>
      </w:pPr>
    </w:p>
    <w:p w:rsidR="002E21B2" w:rsidP="002E21B2">
      <w:pPr>
        <w:numPr>
          <w:numId w:val="6"/>
        </w:numPr>
        <w:bidi w:val="0"/>
        <w:jc w:val="both"/>
        <w:rPr>
          <w:rFonts w:ascii="Times New Roman" w:hAnsi="Times New Roman"/>
        </w:rPr>
      </w:pPr>
      <w:r>
        <w:rPr>
          <w:rFonts w:ascii="Times New Roman" w:hAnsi="Times New Roman"/>
        </w:rPr>
        <w:t xml:space="preserve">informovania národných parlamentov o návrhoch právnych aktov Európskej únie a o stanovisku Slovenskej republiky k nim a možnosti národného parlamentu preskúmať dodržanie princípu subsidiarity a </w:t>
      </w:r>
    </w:p>
    <w:p w:rsidR="002E21B2" w:rsidP="002E21B2">
      <w:pPr>
        <w:numPr>
          <w:numId w:val="6"/>
        </w:numPr>
        <w:bidi w:val="0"/>
        <w:jc w:val="both"/>
        <w:rPr>
          <w:rFonts w:ascii="Times New Roman" w:hAnsi="Times New Roman"/>
        </w:rPr>
      </w:pPr>
      <w:r>
        <w:rPr>
          <w:rFonts w:ascii="Times New Roman" w:hAnsi="Times New Roman"/>
        </w:rPr>
        <w:t>možnosti národného parlamentu byť informovaný o návrhu na použitie prechodovej klauzuly a o stanovisku Slovenskej republiky k nemu a možnosť národného parlamentu vstúpiť formou záväzného mandátu predsedovi vlády do tohto procesu.</w:t>
      </w:r>
    </w:p>
    <w:p w:rsidR="006F5D72" w:rsidP="00D05C75">
      <w:pPr>
        <w:bidi w:val="0"/>
        <w:jc w:val="both"/>
        <w:rPr>
          <w:rFonts w:ascii="Times New Roman" w:hAnsi="Times New Roman"/>
        </w:rPr>
      </w:pPr>
    </w:p>
    <w:p w:rsidR="006F5D72" w:rsidP="006F5D72">
      <w:pPr>
        <w:bidi w:val="0"/>
        <w:ind w:firstLine="708"/>
        <w:jc w:val="both"/>
        <w:rPr>
          <w:rFonts w:ascii="Times New Roman" w:hAnsi="Times New Roman"/>
        </w:rPr>
      </w:pPr>
      <w:r>
        <w:rPr>
          <w:rFonts w:ascii="Times New Roman" w:hAnsi="Times New Roman"/>
        </w:rPr>
        <w:t xml:space="preserve">V návrhu ústavného zákona sa nad rámec doterajšej úpravy navrhuje zakomponovanie posudzovania návrhu na použitie prechodovej klauzuly, a to najmä z pohľadu dopadu na postavenie Slovenskej republiky pri zmene schvaľovacej procedúry. </w:t>
      </w:r>
    </w:p>
    <w:p w:rsidR="006F5D72" w:rsidP="00D05C75">
      <w:pPr>
        <w:bidi w:val="0"/>
        <w:jc w:val="both"/>
        <w:rPr>
          <w:rFonts w:ascii="Times New Roman" w:hAnsi="Times New Roman"/>
        </w:rPr>
      </w:pPr>
    </w:p>
    <w:p w:rsidR="006F5D72" w:rsidP="006F5D72">
      <w:pPr>
        <w:autoSpaceDE w:val="0"/>
        <w:autoSpaceDN w:val="0"/>
        <w:bidi w:val="0"/>
        <w:adjustRightInd w:val="0"/>
        <w:ind w:firstLine="708"/>
        <w:jc w:val="both"/>
        <w:rPr>
          <w:rFonts w:ascii="Times New Roman" w:hAnsi="Times New Roman"/>
          <w:bCs/>
        </w:rPr>
      </w:pPr>
      <w:r>
        <w:rPr>
          <w:rFonts w:ascii="Times New Roman" w:hAnsi="Times New Roman"/>
        </w:rPr>
        <w:t xml:space="preserve">Ustanovenie čl. 48 ods. 7 Zmluvy o Európskej únii predstavuje tzv. </w:t>
      </w:r>
      <w:r w:rsidRPr="00E323DC">
        <w:rPr>
          <w:rFonts w:ascii="Times New Roman" w:hAnsi="Times New Roman"/>
          <w:bCs/>
          <w:lang w:val="en"/>
        </w:rPr>
        <w:t>Passerelle Clause</w:t>
      </w:r>
      <w:r>
        <w:rPr>
          <w:rFonts w:ascii="Times New Roman" w:hAnsi="Times New Roman"/>
          <w:bCs/>
          <w:lang w:val="en"/>
        </w:rPr>
        <w:t xml:space="preserve">, </w:t>
      </w:r>
      <w:r w:rsidRPr="000A0700">
        <w:rPr>
          <w:rFonts w:ascii="Times New Roman" w:hAnsi="Times New Roman"/>
          <w:bCs/>
        </w:rPr>
        <w:t>resp</w:t>
      </w:r>
      <w:r>
        <w:rPr>
          <w:rFonts w:ascii="Times New Roman" w:hAnsi="Times New Roman"/>
          <w:bCs/>
          <w:lang w:val="en"/>
        </w:rPr>
        <w:t xml:space="preserve">. </w:t>
      </w:r>
      <w:r w:rsidRPr="00E323DC">
        <w:rPr>
          <w:rFonts w:ascii="Times New Roman" w:hAnsi="Times New Roman"/>
          <w:bCs/>
          <w:lang w:val="en"/>
        </w:rPr>
        <w:t>Escalator Clause</w:t>
      </w:r>
      <w:r>
        <w:rPr>
          <w:rFonts w:ascii="Times New Roman" w:hAnsi="Times New Roman"/>
          <w:bCs/>
          <w:lang w:val="en"/>
        </w:rPr>
        <w:t xml:space="preserve">. </w:t>
      </w:r>
      <w:r w:rsidRPr="00E323DC">
        <w:rPr>
          <w:rFonts w:ascii="Times New Roman" w:hAnsi="Times New Roman"/>
          <w:bCs/>
        </w:rPr>
        <w:t xml:space="preserve">Účelom </w:t>
      </w:r>
      <w:r>
        <w:rPr>
          <w:rFonts w:ascii="Times New Roman" w:hAnsi="Times New Roman"/>
          <w:bCs/>
        </w:rPr>
        <w:t>tohto ustanovenia je umožniť Európskej rade, aby jednomyseľne prijala rozhodnutie, že v tých prípadoch, kedy Zmluva o Európskej únii alebo Zmluva o fungovaní Európskej únie vyžadujú prijatie jednomyseľného rozhodnutia v Rade, môže byť rozhodnutie v Rade prijaté kvalifikovanou väčšinou. Uv</w:t>
      </w:r>
      <w:r w:rsidRPr="00E323DC">
        <w:rPr>
          <w:rFonts w:ascii="Times New Roman" w:hAnsi="Times New Roman"/>
          <w:bCs/>
        </w:rPr>
        <w:t xml:space="preserve">edené sa ale nevzťahuje na </w:t>
      </w:r>
      <w:r w:rsidRPr="00E323DC">
        <w:rPr>
          <w:rFonts w:ascii="Times New Roman" w:hAnsi="Times New Roman"/>
        </w:rPr>
        <w:t>rozhodnutia s vojenskými alebo obrannými dôsledkami</w:t>
      </w:r>
      <w:r>
        <w:rPr>
          <w:rFonts w:ascii="Times New Roman" w:hAnsi="Times New Roman"/>
        </w:rPr>
        <w:t xml:space="preserve"> z čoho tiež </w:t>
      </w:r>
      <w:r w:rsidRPr="00317348">
        <w:rPr>
          <w:rFonts w:ascii="Times New Roman" w:hAnsi="Times New Roman"/>
          <w:i/>
        </w:rPr>
        <w:t>a contrario</w:t>
      </w:r>
      <w:r>
        <w:rPr>
          <w:rFonts w:ascii="Times New Roman" w:hAnsi="Times New Roman"/>
        </w:rPr>
        <w:t xml:space="preserve"> vyplýva, že na všetky ostatné rozhodnutia sa passerella použiť môže</w:t>
      </w:r>
      <w:r w:rsidRPr="00E323DC">
        <w:rPr>
          <w:rFonts w:ascii="Times New Roman" w:hAnsi="Times New Roman"/>
        </w:rPr>
        <w:t xml:space="preserve">. </w:t>
      </w:r>
      <w:r>
        <w:rPr>
          <w:rFonts w:ascii="Times New Roman" w:hAnsi="Times New Roman"/>
        </w:rPr>
        <w:t xml:space="preserve">Prípady, kedy sa pri rozhodovaní v Rade vyžaduje jednomyseľnosť a prípady, kedy sa na rozhodovanie v Rade vyžaduje kvalifikovaná väčšina sú ustanovené v </w:t>
      </w:r>
      <w:r>
        <w:rPr>
          <w:rFonts w:ascii="Times New Roman" w:hAnsi="Times New Roman"/>
          <w:bCs/>
        </w:rPr>
        <w:t>Zmluve o Európskej únii alebo v Zmluve o fungovaní Európskej únie. Ich zmena by mala byť za normálnych okolností spojená s priamou zmenou dotknutej zmluvy a takáto zmena dotknutej zmluvy by mala byť predmetom schvaľovacieho procesu ako v prípade akejkoľvek inej medzinárodnej zmluvy. Passerella, či prechodová klauzula v čl. 48 ods. 7 ale umožňuje zmenu potrebného kvóra pre prijatie rozhodnutia Rady bez priamej zmeny dotknutej zmluvy. Passerella obsiahnutá v čl. 48 ods. 7 Zmluvy o Európskej únii sa označuje ako všeobecná pravá prechodová klauzula.</w:t>
      </w:r>
    </w:p>
    <w:p w:rsidR="006F5D72" w:rsidP="006F5D72">
      <w:pPr>
        <w:autoSpaceDE w:val="0"/>
        <w:autoSpaceDN w:val="0"/>
        <w:bidi w:val="0"/>
        <w:adjustRightInd w:val="0"/>
        <w:ind w:firstLine="708"/>
        <w:jc w:val="both"/>
        <w:rPr>
          <w:rFonts w:ascii="Times New Roman" w:hAnsi="Times New Roman"/>
          <w:bCs/>
        </w:rPr>
      </w:pPr>
    </w:p>
    <w:p w:rsidR="006F5D72" w:rsidP="009D46AD">
      <w:pPr>
        <w:autoSpaceDE w:val="0"/>
        <w:autoSpaceDN w:val="0"/>
        <w:bidi w:val="0"/>
        <w:adjustRightInd w:val="0"/>
        <w:ind w:firstLine="708"/>
        <w:jc w:val="both"/>
        <w:rPr>
          <w:rFonts w:ascii="Times New Roman" w:hAnsi="Times New Roman"/>
          <w:bCs/>
        </w:rPr>
      </w:pPr>
      <w:r>
        <w:rPr>
          <w:rFonts w:ascii="Times New Roman" w:hAnsi="Times New Roman"/>
          <w:bCs/>
        </w:rPr>
        <w:t xml:space="preserve">Vzhľadom na to, že rozhodnutie Európskej rady použiť passerellu môže znamenať zásah do postavenia členského štátu, ktorý stratí pri rozhodovaní v Rade právo veta, je prijatie rozhodnutia podľa čl. 48 ods. 7 Zmluvy o Európskej únii viazaná nielen na prísne a presné procedúry v Európskej únii (jednomyseľné rozhodnutie Európskej rady po udelení súhlasu Európskeho parlamentu), ale aj na zapojenie členského štátu prostredníctvom jeho národného parlamentu do procesu tohto rozhodovania. </w:t>
      </w:r>
    </w:p>
    <w:p w:rsidR="006F5D72" w:rsidP="006F5D72">
      <w:pPr>
        <w:bidi w:val="0"/>
        <w:ind w:firstLine="708"/>
        <w:jc w:val="both"/>
        <w:rPr>
          <w:rFonts w:ascii="Times New Roman" w:hAnsi="Times New Roman"/>
          <w:bCs/>
        </w:rPr>
      </w:pPr>
      <w:r>
        <w:rPr>
          <w:rFonts w:ascii="Times New Roman" w:hAnsi="Times New Roman"/>
        </w:rPr>
        <w:t xml:space="preserve">Použitie passerelly je možné len ak sa na tom uznesie Európska rada jednomyseľne. Znamená to, že ak </w:t>
      </w:r>
      <w:r w:rsidRPr="006F5D72">
        <w:rPr>
          <w:rFonts w:ascii="Times New Roman" w:hAnsi="Times New Roman"/>
        </w:rPr>
        <w:t>zástupca členského štátu na rokovaní Európskej rady takýto návrh bude vetovať, nie je passerellu možné použiť.</w:t>
      </w:r>
      <w:r>
        <w:rPr>
          <w:rFonts w:ascii="Times New Roman" w:hAnsi="Times New Roman"/>
        </w:rPr>
        <w:t xml:space="preserve"> </w:t>
      </w:r>
      <w:r w:rsidR="00123F64">
        <w:rPr>
          <w:rFonts w:ascii="Times New Roman" w:hAnsi="Times New Roman"/>
        </w:rPr>
        <w:t>Národný parlament by mal</w:t>
      </w:r>
      <w:r>
        <w:rPr>
          <w:rFonts w:ascii="Times New Roman" w:hAnsi="Times New Roman"/>
        </w:rPr>
        <w:t xml:space="preserve"> byť do procesu schvaľovania passerelly podľa čl. 48 ods. 7 </w:t>
      </w:r>
      <w:r>
        <w:rPr>
          <w:rFonts w:ascii="Times New Roman" w:hAnsi="Times New Roman"/>
          <w:bCs/>
        </w:rPr>
        <w:t>Zmluvy o Európskej únii zapojený tým, že by mal</w:t>
      </w:r>
      <w:r>
        <w:rPr>
          <w:rFonts w:ascii="Times New Roman" w:hAnsi="Times New Roman"/>
        </w:rPr>
        <w:t xml:space="preserve"> mať možnosť udeliť/schváliť zástupcovi štátu (hlave štátu, resp. predsedovi vlády) záväzný mandát na hlasovanie v Európskej rade o návrhu na prijatie rozhodnutia o použití passerelly</w:t>
      </w:r>
      <w:r>
        <w:rPr>
          <w:rFonts w:ascii="Times New Roman" w:hAnsi="Times New Roman"/>
          <w:bCs/>
        </w:rPr>
        <w:t xml:space="preserve">. Uvedená situácia znamená, že stanovisko k návrhu na použitie passerelly by nevychádzalo z národného parlamentu, ale zástupca štátu v Európskej rade by mal povinnosť predložiť návrh stanoviska členského štátu na rokovanie Európskej rady k návrhu na použitie passerelly národnému parlamentu. Exekutíva by v národnom parlamente svoje stanovisko k návrhu na použitie passerelly, a to či už kladné alebo (osobitne, ak by bolo) záporné, odôvodňovala a schválené stanovisko by predstavovalo záväzný mandát pre zástupcu štátu v Európskej rade, ako má o návrhu na použitie passerelly hlasovať. </w:t>
      </w:r>
    </w:p>
    <w:p w:rsidR="00DE1A7F" w:rsidP="00D05C75">
      <w:pPr>
        <w:bidi w:val="0"/>
        <w:jc w:val="both"/>
        <w:rPr>
          <w:rFonts w:ascii="Times New Roman" w:hAnsi="Times New Roman"/>
        </w:rPr>
      </w:pPr>
    </w:p>
    <w:p w:rsidR="00123F64" w:rsidP="00D05C75">
      <w:pPr>
        <w:bidi w:val="0"/>
        <w:jc w:val="both"/>
        <w:rPr>
          <w:rFonts w:ascii="Times New Roman" w:hAnsi="Times New Roman"/>
        </w:rPr>
      </w:pPr>
      <w:r>
        <w:rPr>
          <w:rFonts w:ascii="Times New Roman" w:hAnsi="Times New Roman"/>
        </w:rPr>
        <w:tab/>
        <w:t>Predložený  návrh novely ústavného zákona vytvára režim, podľa ktorého predseda vlády pred rokovaním Európskej rady o použití passerelly musí takýto náv</w:t>
      </w:r>
      <w:r w:rsidR="009D46AD">
        <w:rPr>
          <w:rFonts w:ascii="Times New Roman" w:hAnsi="Times New Roman"/>
        </w:rPr>
        <w:t>rh predložiť do n</w:t>
      </w:r>
      <w:r>
        <w:rPr>
          <w:rFonts w:ascii="Times New Roman" w:hAnsi="Times New Roman"/>
        </w:rPr>
        <w:t>á</w:t>
      </w:r>
      <w:r w:rsidR="009D46AD">
        <w:rPr>
          <w:rFonts w:ascii="Times New Roman" w:hAnsi="Times New Roman"/>
        </w:rPr>
        <w:t>rodnej rady</w:t>
      </w:r>
      <w:r>
        <w:rPr>
          <w:rFonts w:ascii="Times New Roman" w:hAnsi="Times New Roman"/>
        </w:rPr>
        <w:t xml:space="preserve"> a tiež predložiť návrh stanoviska k nemu s osobitným zreteľom na vyhodnotenie dopadu tohto postupu na Slovenskú republiky a podľa čl. 2 </w:t>
      </w:r>
      <w:r w:rsidR="009D46AD">
        <w:rPr>
          <w:rFonts w:ascii="Times New Roman" w:hAnsi="Times New Roman"/>
        </w:rPr>
        <w:t>mu n</w:t>
      </w:r>
      <w:r>
        <w:rPr>
          <w:rFonts w:ascii="Times New Roman" w:hAnsi="Times New Roman"/>
        </w:rPr>
        <w:t xml:space="preserve">árodná rada </w:t>
      </w:r>
      <w:r w:rsidR="009D46AD">
        <w:rPr>
          <w:rFonts w:ascii="Times New Roman" w:hAnsi="Times New Roman"/>
        </w:rPr>
        <w:t xml:space="preserve">schváli </w:t>
      </w:r>
      <w:r>
        <w:rPr>
          <w:rFonts w:ascii="Times New Roman" w:hAnsi="Times New Roman"/>
        </w:rPr>
        <w:t>záväzný mandát na hlasovanie v Európskej rade.</w:t>
      </w:r>
    </w:p>
    <w:p w:rsidR="00123F64" w:rsidP="00D05C75">
      <w:pPr>
        <w:bidi w:val="0"/>
        <w:jc w:val="both"/>
        <w:rPr>
          <w:rFonts w:ascii="Times New Roman" w:hAnsi="Times New Roman"/>
        </w:rPr>
      </w:pPr>
    </w:p>
    <w:p w:rsidR="00126579" w:rsidP="00D05C75">
      <w:pPr>
        <w:bidi w:val="0"/>
        <w:jc w:val="both"/>
        <w:rPr>
          <w:rFonts w:ascii="Times New Roman" w:hAnsi="Times New Roman"/>
        </w:rPr>
      </w:pPr>
      <w:r w:rsidR="00105371">
        <w:rPr>
          <w:rFonts w:ascii="Times New Roman" w:hAnsi="Times New Roman"/>
        </w:rPr>
        <w:t xml:space="preserve">K bodu 2 - </w:t>
      </w:r>
    </w:p>
    <w:p w:rsidR="00580115" w:rsidP="00D05C75">
      <w:pPr>
        <w:bidi w:val="0"/>
        <w:jc w:val="both"/>
        <w:rPr>
          <w:rFonts w:ascii="Times New Roman" w:hAnsi="Times New Roman"/>
        </w:rPr>
      </w:pPr>
    </w:p>
    <w:p w:rsidR="0015780B" w:rsidP="00572793">
      <w:pPr>
        <w:bidi w:val="0"/>
        <w:ind w:firstLine="708"/>
        <w:jc w:val="both"/>
        <w:rPr>
          <w:rFonts w:ascii="Times New Roman" w:hAnsi="Times New Roman"/>
        </w:rPr>
      </w:pPr>
      <w:r>
        <w:rPr>
          <w:rFonts w:ascii="Times New Roman" w:hAnsi="Times New Roman"/>
        </w:rPr>
        <w:t>V ustanovení čl. 1 odsek 2 sa navrhuje legislatívno-technická úprava, ktorá nadväzuje na zmeny v čl. 1 odsek 1 a v čl. 2 odsek 1. Predložený návrh zmeny čl. 1 odsek 2 ústavného zákona vypustením slova „aktov“ bude mať všeobecnejšie a širšie znenie, ktoré pokryje tak návrhy právnych aktov, ako aj návrhy na použitie prechodovej klauzuly podľa čl. 48 ods. 7 konsolidovaného znenia Zmluvy o Európskej únii.</w:t>
      </w:r>
    </w:p>
    <w:p w:rsidR="0015780B" w:rsidP="00D05C75">
      <w:pPr>
        <w:bidi w:val="0"/>
        <w:jc w:val="both"/>
        <w:rPr>
          <w:rFonts w:ascii="Times New Roman" w:hAnsi="Times New Roman"/>
        </w:rPr>
      </w:pPr>
    </w:p>
    <w:p w:rsidR="00A32611" w:rsidP="000B1FB8">
      <w:pPr>
        <w:bidi w:val="0"/>
        <w:jc w:val="both"/>
        <w:rPr>
          <w:rFonts w:ascii="Times New Roman" w:hAnsi="Times New Roman"/>
        </w:rPr>
      </w:pPr>
      <w:r w:rsidR="00572793">
        <w:rPr>
          <w:rFonts w:ascii="Times New Roman" w:hAnsi="Times New Roman"/>
        </w:rPr>
        <w:t>K bodu 4</w:t>
      </w:r>
      <w:r>
        <w:rPr>
          <w:rFonts w:ascii="Times New Roman" w:hAnsi="Times New Roman"/>
        </w:rPr>
        <w:t xml:space="preserve">. – </w:t>
      </w:r>
    </w:p>
    <w:p w:rsidR="00A32611" w:rsidP="000B1FB8">
      <w:pPr>
        <w:bidi w:val="0"/>
        <w:jc w:val="both"/>
        <w:rPr>
          <w:rFonts w:ascii="Times New Roman" w:hAnsi="Times New Roman"/>
        </w:rPr>
      </w:pPr>
    </w:p>
    <w:p w:rsidR="00A32611" w:rsidP="00572793">
      <w:pPr>
        <w:bidi w:val="0"/>
        <w:ind w:firstLine="708"/>
        <w:jc w:val="both"/>
        <w:rPr>
          <w:rFonts w:ascii="Times New Roman" w:hAnsi="Times New Roman"/>
        </w:rPr>
      </w:pPr>
      <w:r>
        <w:rPr>
          <w:rFonts w:ascii="Times New Roman" w:hAnsi="Times New Roman"/>
        </w:rPr>
        <w:t>Vzhľadom na zmeny zavedené Lisabonskou zmluvou (čl. 1 Zmluvy o Európskej únii) sa upravuje doterajšia terminológia tak, že sa vypúšťa zo všetkých ustanovení spojenie „Európske spoločenstvá“.</w:t>
      </w:r>
    </w:p>
    <w:p w:rsidR="00A32611" w:rsidP="000B1FB8">
      <w:pPr>
        <w:bidi w:val="0"/>
        <w:jc w:val="both"/>
        <w:rPr>
          <w:rFonts w:ascii="Times New Roman" w:hAnsi="Times New Roman"/>
        </w:rPr>
      </w:pPr>
    </w:p>
    <w:p w:rsidR="00A32611" w:rsidP="000B1FB8">
      <w:pPr>
        <w:bidi w:val="0"/>
        <w:jc w:val="both"/>
        <w:rPr>
          <w:rFonts w:ascii="Times New Roman" w:hAnsi="Times New Roman"/>
        </w:rPr>
      </w:pPr>
      <w:r w:rsidR="00572793">
        <w:rPr>
          <w:rFonts w:ascii="Times New Roman" w:hAnsi="Times New Roman"/>
        </w:rPr>
        <w:t>K bodu 5</w:t>
      </w:r>
      <w:r>
        <w:rPr>
          <w:rFonts w:ascii="Times New Roman" w:hAnsi="Times New Roman"/>
        </w:rPr>
        <w:t xml:space="preserve">. - </w:t>
      </w:r>
    </w:p>
    <w:p w:rsidR="000B1FB8" w:rsidP="000B1FB8">
      <w:pPr>
        <w:bidi w:val="0"/>
        <w:jc w:val="both"/>
        <w:rPr>
          <w:rFonts w:ascii="Times New Roman" w:hAnsi="Times New Roman"/>
        </w:rPr>
      </w:pPr>
    </w:p>
    <w:p w:rsidR="00A32611" w:rsidP="00A32611">
      <w:pPr>
        <w:bidi w:val="0"/>
        <w:ind w:firstLine="708"/>
        <w:jc w:val="both"/>
        <w:rPr>
          <w:rFonts w:ascii="Times New Roman" w:hAnsi="Times New Roman"/>
        </w:rPr>
      </w:pPr>
      <w:r>
        <w:rPr>
          <w:rFonts w:ascii="Times New Roman" w:hAnsi="Times New Roman"/>
        </w:rPr>
        <w:t xml:space="preserve">Politická kontrola dodržiavania princípu subsidiarity v legislatívnych aktoch Európskej únie zo strany členských štátov nekončí len pri možnosti ich národných parlamentov využiť inštitút odôvodneného stanoviska v legislatívnom procese. Uplatňovanie politickej kontroly sa môže postupom podľa Protokolu o subsidiarite presunúť aj do roviny právnej. </w:t>
      </w:r>
      <w:r w:rsidRPr="00A32611">
        <w:rPr>
          <w:rFonts w:ascii="Times New Roman" w:hAnsi="Times New Roman"/>
        </w:rPr>
        <w:t>Protokol o subsidiarite priznáva v čl. 8 právomoc Súdnemu dvoru Európskej únie rozhodovať o žalobách z dôvodu porušenia princípu subsidiarity legislatívnym aktom Európskej únie.</w:t>
      </w:r>
      <w:r>
        <w:rPr>
          <w:rFonts w:ascii="Times New Roman" w:hAnsi="Times New Roman"/>
        </w:rPr>
        <w:t xml:space="preserve"> Takúto žalobu môže podať </w:t>
      </w:r>
      <w:r w:rsidRPr="00A32611">
        <w:rPr>
          <w:rFonts w:ascii="Times New Roman" w:hAnsi="Times New Roman"/>
        </w:rPr>
        <w:t>členský štát v súlade s pravidlami ustanovenými v článku 230 Zmluvy o fungovaní Európskej únie alebo predloženým členským štátom v súlade s jeho právnym poriadkom v mene jeho národného parlamentu</w:t>
      </w:r>
      <w:r>
        <w:rPr>
          <w:rFonts w:ascii="Times New Roman" w:hAnsi="Times New Roman"/>
        </w:rPr>
        <w:t xml:space="preserve"> alebo komory národného parlamentu.</w:t>
      </w:r>
    </w:p>
    <w:p w:rsidR="00A32611" w:rsidP="000B1FB8">
      <w:pPr>
        <w:bidi w:val="0"/>
        <w:jc w:val="both"/>
        <w:rPr>
          <w:rFonts w:ascii="Times New Roman" w:hAnsi="Times New Roman"/>
        </w:rPr>
      </w:pPr>
    </w:p>
    <w:p w:rsidR="00A32611" w:rsidP="00A32611">
      <w:pPr>
        <w:bidi w:val="0"/>
        <w:ind w:firstLine="708"/>
        <w:jc w:val="both"/>
        <w:rPr>
          <w:rFonts w:ascii="Times New Roman" w:hAnsi="Times New Roman"/>
        </w:rPr>
      </w:pPr>
      <w:r>
        <w:rPr>
          <w:rFonts w:ascii="Times New Roman" w:hAnsi="Times New Roman"/>
        </w:rPr>
        <w:t>Žalobu Súdnemu dvoru Európskej únie podáva členský štát, a to v mene národného parlamentu. Protokol o subsidiarite teda nepriznal aktívnu procesnú legitimáciu priamo národnému parlamentu, ale ponec</w:t>
      </w:r>
      <w:r w:rsidR="009D46AD">
        <w:rPr>
          <w:rFonts w:ascii="Times New Roman" w:hAnsi="Times New Roman"/>
        </w:rPr>
        <w:t>háva ju aj v tomto prípade</w:t>
      </w:r>
      <w:r>
        <w:rPr>
          <w:rFonts w:ascii="Times New Roman" w:hAnsi="Times New Roman"/>
        </w:rPr>
        <w:t xml:space="preserve"> členskému štátu. Žaloba je ale podávaná v mene národného parlamentu, čo znamená, že orgán, ktorý je jediný oprávnený rozhodnúť, že členský štát žalobu podá, v ktorom prípade, z akého dôvodu (teda v čom je legislatívnym aktom Európskej únie porušený princíp subsidiarity) je národný parlament. Protokol o subsidiarite predpokladá úpravu výkonu tejto kompetencie v právnom poriadku príslušného členského štátu.</w:t>
      </w:r>
    </w:p>
    <w:p w:rsidR="00A32611" w:rsidP="000B1FB8">
      <w:pPr>
        <w:bidi w:val="0"/>
        <w:jc w:val="both"/>
        <w:rPr>
          <w:rFonts w:ascii="Times New Roman" w:hAnsi="Times New Roman"/>
        </w:rPr>
      </w:pPr>
    </w:p>
    <w:p w:rsidR="00A32611" w:rsidP="00A32611">
      <w:pPr>
        <w:bidi w:val="0"/>
        <w:jc w:val="both"/>
        <w:rPr>
          <w:rFonts w:ascii="Times New Roman" w:hAnsi="Times New Roman"/>
        </w:rPr>
      </w:pPr>
      <w:r>
        <w:rPr>
          <w:rFonts w:ascii="Times New Roman" w:hAnsi="Times New Roman"/>
        </w:rPr>
        <w:tab/>
        <w:t xml:space="preserve">Ak Protokol o subsidiarite predpokladá podanie žaloby v mene národného parlamentu, je potrebné vo vnútroštátnom právnom poriadku identifikovať orgán, ktorý bude žalobu v mene národného parlamentu podávať a upraviť túto kompetenciu a jeho vzťah k národnému parlamentu, a to v zmysle jeho viazanosti rozhodnutím národného parlamentu o podaní žaloby a o jej znení. Javí sa, že ako najvhodnejší orgán na výkon tejto kompetencie je </w:t>
      </w:r>
      <w:r w:rsidRPr="009D46AD">
        <w:rPr>
          <w:rFonts w:ascii="Times New Roman" w:hAnsi="Times New Roman"/>
        </w:rPr>
        <w:t>vláda príslušného členského štátu, ktorá tradične zastupuje štát navonok a zabezpečuje tak aj v</w:t>
      </w:r>
      <w:r>
        <w:rPr>
          <w:rFonts w:ascii="Times New Roman" w:hAnsi="Times New Roman"/>
        </w:rPr>
        <w:t>zťah členského štátu s Európskou úniou, ako aj vnútroštátny výkon záležitostí Európskej únie v príslušnom členskom štáte. Vláda by ale mala byť postavená len do polohy sprostredkovateľa žaloby smerom k Súdnemu dvoru Európskej únie, nemala by mať právo o takýchto žalobách (spolu)rozhodovať, pretože toto právo patrí národnému parlamentu.</w:t>
      </w:r>
    </w:p>
    <w:p w:rsidR="00A32611" w:rsidP="000B1FB8">
      <w:pPr>
        <w:bidi w:val="0"/>
        <w:jc w:val="both"/>
        <w:rPr>
          <w:rFonts w:ascii="Times New Roman" w:hAnsi="Times New Roman"/>
        </w:rPr>
      </w:pPr>
    </w:p>
    <w:p w:rsidR="00A32611" w:rsidP="00A32611">
      <w:pPr>
        <w:bidi w:val="0"/>
        <w:ind w:firstLine="708"/>
        <w:jc w:val="both"/>
        <w:rPr>
          <w:rFonts w:ascii="Times New Roman" w:hAnsi="Times New Roman"/>
        </w:rPr>
      </w:pPr>
      <w:r>
        <w:rPr>
          <w:rFonts w:ascii="Times New Roman" w:hAnsi="Times New Roman"/>
        </w:rPr>
        <w:t>Právna úprava vnútroštátnej procedúry by mala z časového hľadiska na jednej strane zabezpečiť dostatočný priestor na prerokovanie návrhy žaloby v národnom parlamente a tiež pre jej doručenie vláde a jej následné predloženie Súdnemu dvoru Európskej únie, ale na druhej strane musí rešpektovať aj lehotu dvoch mesiacov pre podanie žaloby Súdnemu dvoru Európskej únie podľa čl. 263 Zmluvy o fungovaní Európskej únie. Po márnom uplynutí tejto lehoty by už rokovanie o návrhu žaloby a jej prípadné podanie Súdnemu dvoru Európskej únie nemalo zmysel, keďže táto lehota je prepadná.</w:t>
      </w:r>
    </w:p>
    <w:p w:rsidR="00A32611" w:rsidP="000B1FB8">
      <w:pPr>
        <w:bidi w:val="0"/>
        <w:jc w:val="both"/>
        <w:rPr>
          <w:rFonts w:ascii="Times New Roman" w:hAnsi="Times New Roman"/>
        </w:rPr>
      </w:pPr>
    </w:p>
    <w:p w:rsidR="00A32611" w:rsidP="00A32611">
      <w:pPr>
        <w:bidi w:val="0"/>
        <w:ind w:firstLine="708"/>
        <w:jc w:val="both"/>
        <w:rPr>
          <w:rFonts w:ascii="Times New Roman" w:hAnsi="Times New Roman"/>
        </w:rPr>
      </w:pPr>
      <w:r>
        <w:rPr>
          <w:rFonts w:ascii="Times New Roman" w:hAnsi="Times New Roman"/>
        </w:rPr>
        <w:t>V prípade, ak bude podaná v mene národného parlamentu žaloba pre porušenie princípu subsidiarity legislatívnym aktov Európskej únie, dá sa predpokladať, že konanie pred Súdnym dvorom Európskej únie neskončí počas toho volebného obdobia národného parlamentu, ktorý o podaní žaloby rozhodol. V tejto súvislosti bude musieť byť vyriešená otázka zastupovania členského štátu v konaní pred Súdnym dvorom Európskej únie. Keďže iniciátorom žaloby a tým orgánom, ktorý sa na jej podaní, ale aj na jej znení uzniesol je národný parlament, mala by byť v tomto prípade žaloba na Súdnom dvore Európskej únie zastupovaná predstaviteľom národného parlamentu a nie predstaviteľom národnej exekutívy. Táto a aj iné orgány členského štátu by mali poskytovať zástupcovi národného parlamentu všetku potrebnú pomoc  a súčinnosť, ale zastupovanie samotné by prevziať nemali. Zastupovanie prostredníctvom predstaviteľa národného parlamentu/poslanca si ale vyžiada ústavné/zákonné vyriešenie jeho postavenia a pôsobenia v pozícii zástupcu národného parlamentu v konaní o žalobe na Súdnom dvore Európskej únie po uplynutí volebného obdobia, resp. ak z iného dôvodu dôjde k zániku jeho poslaneckého mandátu pred ukončením súdneho konania. V takomto prípade sa by sa ako vhodná javila úprava prelomenia zásady diskontinuity v činnosti tohto poslanca pri zastupovaní národného parlamentu, ale pri súčasnom plnom zachovaní práva nového národného parlamentu zástupcu vymeniť. Ak by teda zástupcom bol poslane</w:t>
      </w:r>
      <w:r w:rsidR="009D46AD">
        <w:rPr>
          <w:rFonts w:ascii="Times New Roman" w:hAnsi="Times New Roman"/>
        </w:rPr>
        <w:t>c</w:t>
      </w:r>
      <w:r>
        <w:rPr>
          <w:rFonts w:ascii="Times New Roman" w:hAnsi="Times New Roman"/>
        </w:rPr>
        <w:t>, jeho poverenie na zastupovanie by nemalo byť viazané na trvanie jeho mandátu a po ukončení výkonu mandátu, ak by k zmene v zastúpení nedošlo, by bol upravený nový vzťah medzi národným parlamentom a jeho  zástupcom, ktorý by nebol založený na členstve zástupcu v národnom parlamente, ale na inom právnom základe podľa rozhodnutia príslušného členského štátu. Takáto situácia by sa nemusela riešiť, ak by bol národný parlament zastupovaný jeho zamestnancom, či inou vhodnou osobou.</w:t>
      </w:r>
    </w:p>
    <w:p w:rsidR="009D46AD" w:rsidP="00A32611">
      <w:pPr>
        <w:bidi w:val="0"/>
        <w:ind w:firstLine="708"/>
        <w:jc w:val="both"/>
        <w:rPr>
          <w:rFonts w:ascii="Times New Roman" w:hAnsi="Times New Roman"/>
        </w:rPr>
      </w:pPr>
    </w:p>
    <w:p w:rsidR="009D46AD" w:rsidP="009D46AD">
      <w:pPr>
        <w:bidi w:val="0"/>
        <w:ind w:firstLine="708"/>
        <w:jc w:val="both"/>
        <w:rPr>
          <w:rFonts w:ascii="Times New Roman" w:hAnsi="Times New Roman"/>
        </w:rPr>
      </w:pPr>
      <w:r>
        <w:rPr>
          <w:rFonts w:ascii="Times New Roman" w:hAnsi="Times New Roman"/>
        </w:rPr>
        <w:t xml:space="preserve">Prijatie rozhodnutia o podaní žaloby pre porušenie princípu subsidiarity predstavuje zo strany národného parlamentu závažné rozhodnutie. Úprava vnútroštátnej procedúry by preto mala upraviť aj určitý minimálny počet poslancov národného parlamentu, ktorý je nevyhnutný na podanie návrhu žaloby v národnom parlamente. V parlamentnej praxi vo všeobecnosti nie je nič mimoriadne, ak sú určité konkrétne postupy alebo procedúry rokovania podmienené kvalifikovaným návrhom. Stanovenie povinného minimálneho počtu poslancov národného parlamentu oprávnených podať návrh žaloby by malo slúžiť na to, aby nedochádzalo k podávaniu ľahkovážnych či ľahkomyseľných návrhov, ktoré nepredstavujú výsledok politickej dohody aspoň v časti národného parlamentu. Minimálny povinný počet poslancov pre podanie návrhu žaloby by mal predstavovať určitý politický konsenzus v národnom parlamente, ale na druhej strane by tento počet mal umožňovať podanie návrhu žaloby aj zo strany politickej menšiny. </w:t>
      </w:r>
    </w:p>
    <w:p w:rsidR="00A32611" w:rsidP="000B1FB8">
      <w:pPr>
        <w:bidi w:val="0"/>
        <w:jc w:val="both"/>
        <w:rPr>
          <w:rFonts w:ascii="Times New Roman" w:hAnsi="Times New Roman"/>
        </w:rPr>
      </w:pPr>
    </w:p>
    <w:p w:rsidR="00A32611" w:rsidP="000B1FB8">
      <w:pPr>
        <w:bidi w:val="0"/>
        <w:jc w:val="both"/>
        <w:rPr>
          <w:rFonts w:ascii="Times New Roman" w:hAnsi="Times New Roman"/>
        </w:rPr>
      </w:pPr>
      <w:r>
        <w:rPr>
          <w:rFonts w:ascii="Times New Roman" w:hAnsi="Times New Roman"/>
        </w:rPr>
        <w:tab/>
        <w:t xml:space="preserve">Ústavný zákon sa dopĺňa v tom </w:t>
      </w:r>
      <w:r w:rsidR="009D46AD">
        <w:rPr>
          <w:rFonts w:ascii="Times New Roman" w:hAnsi="Times New Roman"/>
        </w:rPr>
        <w:t>zmysle, že spolupráca medzi n</w:t>
      </w:r>
      <w:r>
        <w:rPr>
          <w:rFonts w:ascii="Times New Roman" w:hAnsi="Times New Roman"/>
        </w:rPr>
        <w:t>ár</w:t>
      </w:r>
      <w:r w:rsidR="009D46AD">
        <w:rPr>
          <w:rFonts w:ascii="Times New Roman" w:hAnsi="Times New Roman"/>
        </w:rPr>
        <w:t>odnou radou</w:t>
      </w:r>
      <w:r>
        <w:rPr>
          <w:rFonts w:ascii="Times New Roman" w:hAnsi="Times New Roman"/>
        </w:rPr>
        <w:t xml:space="preserve"> a vládou Slovenskej republiky v záležitostiach Európskej únie rozširu</w:t>
      </w:r>
      <w:r w:rsidR="009D46AD">
        <w:rPr>
          <w:rFonts w:ascii="Times New Roman" w:hAnsi="Times New Roman"/>
        </w:rPr>
        <w:t>je aj o tento nový rozmer – ak n</w:t>
      </w:r>
      <w:r>
        <w:rPr>
          <w:rFonts w:ascii="Times New Roman" w:hAnsi="Times New Roman"/>
        </w:rPr>
        <w:t>árodná rada ako národný parlament schváli návrh na podanie žaloby vo veci porušenia zásady subsidiarity legislatívnym aktom Európskej únie</w:t>
      </w:r>
      <w:r w:rsidR="009D46AD">
        <w:rPr>
          <w:rFonts w:ascii="Times New Roman" w:hAnsi="Times New Roman"/>
        </w:rPr>
        <w:t>,</w:t>
      </w:r>
      <w:r>
        <w:rPr>
          <w:rFonts w:ascii="Times New Roman" w:hAnsi="Times New Roman"/>
        </w:rPr>
        <w:t xml:space="preserve"> ta</w:t>
      </w:r>
      <w:r w:rsidR="009D46AD">
        <w:rPr>
          <w:rFonts w:ascii="Times New Roman" w:hAnsi="Times New Roman"/>
        </w:rPr>
        <w:t>k vláda je takýmto rozhodnutím n</w:t>
      </w:r>
      <w:r>
        <w:rPr>
          <w:rFonts w:ascii="Times New Roman" w:hAnsi="Times New Roman"/>
        </w:rPr>
        <w:t>árodnej rady viazaná a vzniká jej ústavná povinnosť predložiť túto žalobu bez zbytočného odkladu príslušnému orgánu, a to Súdnemu dvoru Európskej únie.</w:t>
      </w:r>
    </w:p>
    <w:p w:rsidR="00A32611" w:rsidP="000B1FB8">
      <w:pPr>
        <w:bidi w:val="0"/>
        <w:jc w:val="both"/>
        <w:rPr>
          <w:rFonts w:ascii="Times New Roman" w:hAnsi="Times New Roman"/>
        </w:rPr>
      </w:pPr>
    </w:p>
    <w:p w:rsidR="002D2AD9" w:rsidP="000B1FB8">
      <w:pPr>
        <w:bidi w:val="0"/>
        <w:jc w:val="both"/>
        <w:rPr>
          <w:rFonts w:ascii="Times New Roman" w:hAnsi="Times New Roman"/>
        </w:rPr>
      </w:pPr>
      <w:r>
        <w:rPr>
          <w:rFonts w:ascii="Times New Roman" w:hAnsi="Times New Roman"/>
        </w:rPr>
        <w:tab/>
        <w:t>V ústavnom zákone je tiež stanovené, že na p</w:t>
      </w:r>
      <w:r w:rsidR="009D46AD">
        <w:rPr>
          <w:rFonts w:ascii="Times New Roman" w:hAnsi="Times New Roman"/>
        </w:rPr>
        <w:t xml:space="preserve">rijatie uznesenia národnej rady </w:t>
      </w:r>
      <w:r>
        <w:rPr>
          <w:rFonts w:ascii="Times New Roman" w:hAnsi="Times New Roman"/>
        </w:rPr>
        <w:t>na podanie žaloby sa bude vyžadovať nadpolovičná väčšina všetkých poslancov parlamentu.</w:t>
      </w:r>
    </w:p>
    <w:p w:rsidR="002D2AD9" w:rsidP="000B1FB8">
      <w:pPr>
        <w:bidi w:val="0"/>
        <w:jc w:val="both"/>
        <w:rPr>
          <w:rFonts w:ascii="Times New Roman" w:hAnsi="Times New Roman"/>
        </w:rPr>
      </w:pPr>
    </w:p>
    <w:p w:rsidR="000B1FB8" w:rsidRPr="00105371" w:rsidP="000B1FB8">
      <w:pPr>
        <w:bidi w:val="0"/>
        <w:jc w:val="both"/>
        <w:rPr>
          <w:rFonts w:ascii="Times New Roman" w:hAnsi="Times New Roman"/>
          <w:b/>
        </w:rPr>
      </w:pPr>
      <w:r w:rsidRPr="00105371" w:rsidR="00105371">
        <w:rPr>
          <w:rFonts w:ascii="Times New Roman" w:hAnsi="Times New Roman"/>
          <w:b/>
        </w:rPr>
        <w:t>K Čl. II</w:t>
      </w:r>
    </w:p>
    <w:p w:rsidR="000B1FB8" w:rsidP="000B1FB8">
      <w:pPr>
        <w:bidi w:val="0"/>
        <w:jc w:val="both"/>
        <w:rPr>
          <w:rFonts w:ascii="Times New Roman" w:hAnsi="Times New Roman"/>
        </w:rPr>
      </w:pPr>
    </w:p>
    <w:p w:rsidR="000B1FB8" w:rsidRPr="0079504E" w:rsidP="000B1FB8">
      <w:pPr>
        <w:bidi w:val="0"/>
        <w:jc w:val="both"/>
        <w:rPr>
          <w:rFonts w:ascii="Times New Roman" w:hAnsi="Times New Roman"/>
        </w:rPr>
      </w:pPr>
      <w:r w:rsidR="00580115">
        <w:rPr>
          <w:rFonts w:ascii="Times New Roman" w:hAnsi="Times New Roman"/>
        </w:rPr>
        <w:t xml:space="preserve">Účinnosť zákona sa </w:t>
      </w:r>
      <w:r>
        <w:rPr>
          <w:rFonts w:ascii="Times New Roman" w:hAnsi="Times New Roman"/>
        </w:rPr>
        <w:t>navrhuje</w:t>
      </w:r>
      <w:r w:rsidR="00580115">
        <w:rPr>
          <w:rFonts w:ascii="Times New Roman" w:hAnsi="Times New Roman"/>
        </w:rPr>
        <w:t xml:space="preserve"> pätnástym dňom po jeho vyhlásení</w:t>
      </w:r>
      <w:r>
        <w:rPr>
          <w:rFonts w:ascii="Times New Roman" w:hAnsi="Times New Roman"/>
        </w:rPr>
        <w:t>.</w:t>
      </w:r>
    </w:p>
    <w:p w:rsidR="00D05C75" w:rsidP="000B1FB8">
      <w:pPr>
        <w:bidi w:val="0"/>
        <w:jc w:val="both"/>
        <w:rPr>
          <w:rFonts w:ascii="Times New Roman" w:hAnsi="Times New Roman"/>
        </w:rPr>
      </w:pPr>
      <w:r w:rsidR="000B1FB8">
        <w:rPr>
          <w:rFonts w:ascii="Times New Roman" w:hAnsi="Times New Roman"/>
        </w:rPr>
        <w:t xml:space="preserve"> </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B93" w:rsidP="00283CD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85B93">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B93" w:rsidP="00283CD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77CFD">
      <w:rPr>
        <w:rStyle w:val="PageNumber"/>
        <w:rFonts w:ascii="Times New Roman" w:hAnsi="Times New Roman"/>
        <w:noProof/>
      </w:rPr>
      <w:t>1</w:t>
    </w:r>
    <w:r>
      <w:rPr>
        <w:rStyle w:val="PageNumber"/>
        <w:rFonts w:ascii="Times New Roman" w:hAnsi="Times New Roman"/>
      </w:rPr>
      <w:fldChar w:fldCharType="end"/>
    </w:r>
  </w:p>
  <w:p w:rsidR="00D85B9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13B0"/>
    <w:multiLevelType w:val="hybridMultilevel"/>
    <w:tmpl w:val="5D32E588"/>
    <w:lvl w:ilvl="0">
      <w:start w:val="1"/>
      <w:numFmt w:val="lowerLetter"/>
      <w:lvlText w:val="%1)"/>
      <w:lvlJc w:val="left"/>
      <w:pPr>
        <w:tabs>
          <w:tab w:val="num" w:pos="720"/>
        </w:tabs>
        <w:ind w:left="720" w:hanging="360"/>
      </w:pPr>
      <w:rPr>
        <w:rFonts w:cs="Times New Roman"/>
        <w:rtl w:val="0"/>
        <w:cs w:val="0"/>
      </w:rPr>
    </w:lvl>
    <w:lvl w:ilvl="1">
      <w:start w:val="3"/>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DA03C68"/>
    <w:multiLevelType w:val="hybridMultilevel"/>
    <w:tmpl w:val="CF2C641E"/>
    <w:lvl w:ilvl="0">
      <w:start w:val="1"/>
      <w:numFmt w:val="lowerLetter"/>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31B9381D"/>
    <w:multiLevelType w:val="hybridMultilevel"/>
    <w:tmpl w:val="0E6ED280"/>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82915AC"/>
    <w:multiLevelType w:val="hybridMultilevel"/>
    <w:tmpl w:val="3C702228"/>
    <w:lvl w:ilvl="0">
      <w:start w:val="4"/>
      <w:numFmt w:val="decimal"/>
      <w:lvlText w:val="%1."/>
      <w:lvlJc w:val="left"/>
      <w:pPr>
        <w:tabs>
          <w:tab w:val="num" w:pos="1068"/>
        </w:tabs>
        <w:ind w:left="1068" w:hanging="708"/>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6FB072ED"/>
    <w:multiLevelType w:val="hybridMultilevel"/>
    <w:tmpl w:val="21C4AD5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D05C75"/>
    <w:rsid w:val="00022A1B"/>
    <w:rsid w:val="000A0700"/>
    <w:rsid w:val="000B1FB8"/>
    <w:rsid w:val="00105371"/>
    <w:rsid w:val="00123F64"/>
    <w:rsid w:val="00126579"/>
    <w:rsid w:val="00135585"/>
    <w:rsid w:val="0015780B"/>
    <w:rsid w:val="00244E2E"/>
    <w:rsid w:val="00283CD0"/>
    <w:rsid w:val="002D2AD9"/>
    <w:rsid w:val="002E21B2"/>
    <w:rsid w:val="00317348"/>
    <w:rsid w:val="003672AD"/>
    <w:rsid w:val="004A1376"/>
    <w:rsid w:val="004E1A94"/>
    <w:rsid w:val="00521E8E"/>
    <w:rsid w:val="00572793"/>
    <w:rsid w:val="00580115"/>
    <w:rsid w:val="005B4D5B"/>
    <w:rsid w:val="006E0F6B"/>
    <w:rsid w:val="006F5D72"/>
    <w:rsid w:val="00725736"/>
    <w:rsid w:val="007400F8"/>
    <w:rsid w:val="0079504E"/>
    <w:rsid w:val="007A0479"/>
    <w:rsid w:val="00817200"/>
    <w:rsid w:val="008C00BC"/>
    <w:rsid w:val="009D46AD"/>
    <w:rsid w:val="009E2D01"/>
    <w:rsid w:val="00A07B51"/>
    <w:rsid w:val="00A32611"/>
    <w:rsid w:val="00A77CFD"/>
    <w:rsid w:val="00B052E1"/>
    <w:rsid w:val="00B15D6F"/>
    <w:rsid w:val="00B27D8B"/>
    <w:rsid w:val="00B53E37"/>
    <w:rsid w:val="00BB1843"/>
    <w:rsid w:val="00BC19EE"/>
    <w:rsid w:val="00C67AEB"/>
    <w:rsid w:val="00C769A4"/>
    <w:rsid w:val="00CC4DD5"/>
    <w:rsid w:val="00D05C75"/>
    <w:rsid w:val="00D2617E"/>
    <w:rsid w:val="00D85B93"/>
    <w:rsid w:val="00D9641B"/>
    <w:rsid w:val="00DC41B4"/>
    <w:rsid w:val="00DE1A7F"/>
    <w:rsid w:val="00E323DC"/>
    <w:rsid w:val="00E63AA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C7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rsid w:val="005B4D5B"/>
    <w:pPr>
      <w:spacing w:after="120"/>
      <w:jc w:val="left"/>
    </w:pPr>
  </w:style>
  <w:style w:type="paragraph" w:styleId="Footer">
    <w:name w:val="footer"/>
    <w:basedOn w:val="Normal"/>
    <w:rsid w:val="005B4D5B"/>
    <w:pPr>
      <w:tabs>
        <w:tab w:val="center" w:pos="4536"/>
        <w:tab w:val="right" w:pos="9072"/>
      </w:tabs>
      <w:jc w:val="left"/>
    </w:pPr>
  </w:style>
  <w:style w:type="character" w:styleId="PageNumber">
    <w:name w:val="page number"/>
    <w:basedOn w:val="DefaultParagraphFont"/>
    <w:rsid w:val="005B4D5B"/>
    <w:rPr>
      <w:rFonts w:cs="Times New Roman"/>
      <w:rtl w:val="0"/>
      <w:cs w:val="0"/>
    </w:rPr>
  </w:style>
  <w:style w:type="paragraph" w:styleId="Header">
    <w:name w:val="header"/>
    <w:basedOn w:val="Normal"/>
    <w:rsid w:val="00B052E1"/>
    <w:pPr>
      <w:tabs>
        <w:tab w:val="center" w:pos="4536"/>
        <w:tab w:val="right" w:pos="9072"/>
      </w:tabs>
      <w:jc w:val="left"/>
    </w:pPr>
  </w:style>
  <w:style w:type="paragraph" w:styleId="FootnoteText">
    <w:name w:val="footnote text"/>
    <w:basedOn w:val="Normal"/>
    <w:semiHidden/>
    <w:rsid w:val="006F5D72"/>
    <w:pPr>
      <w:jc w:val="left"/>
    </w:pPr>
    <w:rPr>
      <w:sz w:val="20"/>
      <w:szCs w:val="20"/>
      <w:lang w:val="cs-CZ" w:eastAsia="cs-CZ"/>
    </w:rPr>
  </w:style>
  <w:style w:type="character" w:styleId="FootnoteReference">
    <w:name w:val="footnote reference"/>
    <w:basedOn w:val="DefaultParagraphFont"/>
    <w:semiHidden/>
    <w:rsid w:val="006F5D72"/>
    <w:rPr>
      <w:rFonts w:cs="Times New Roman"/>
      <w:vertAlign w:val="superscript"/>
      <w:rtl w:val="0"/>
      <w:cs w:val="0"/>
    </w:rPr>
  </w:style>
  <w:style w:type="paragraph" w:styleId="BalloonText">
    <w:name w:val="Balloon Text"/>
    <w:basedOn w:val="Normal"/>
    <w:semiHidden/>
    <w:rsid w:val="00123F64"/>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2535</Words>
  <Characters>15362</Characters>
  <Application>Microsoft Office Word</Application>
  <DocSecurity>0</DocSecurity>
  <Lines>0</Lines>
  <Paragraphs>0</Paragraphs>
  <ScaleCrop>false</ScaleCrop>
  <Company>Kancelaria NR SR</Company>
  <LinksUpToDate>false</LinksUpToDate>
  <CharactersWithSpaces>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KicinEva</dc:creator>
  <cp:lastModifiedBy>GaspJarm</cp:lastModifiedBy>
  <cp:revision>2</cp:revision>
  <cp:lastPrinted>2010-10-27T13:59:00Z</cp:lastPrinted>
  <dcterms:created xsi:type="dcterms:W3CDTF">2010-12-20T10:04:00Z</dcterms:created>
  <dcterms:modified xsi:type="dcterms:W3CDTF">2010-12-20T10:04:00Z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-1855364269</vt:i4>
  </property>
  <property fmtid="{D5CDD505-2E9C-101B-9397-08002B2CF9AE}" pid="3" name="_AuthorEmail">
    <vt:lpwstr>Boris.Balog@nrsr.sk</vt:lpwstr>
  </property>
  <property fmtid="{D5CDD505-2E9C-101B-9397-08002B2CF9AE}" pid="4" name="_AuthorEmailDisplayName">
    <vt:lpwstr>Balog, Boris, JUDr., PhD.</vt:lpwstr>
  </property>
  <property fmtid="{D5CDD505-2E9C-101B-9397-08002B2CF9AE}" pid="5" name="_EmailSubject">
    <vt:lpwstr>cely material - UZ</vt:lpwstr>
  </property>
  <property fmtid="{D5CDD505-2E9C-101B-9397-08002B2CF9AE}" pid="6" name="_ReviewingToolsShownOnce">
    <vt:lpwstr/>
  </property>
</Properties>
</file>