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2BFE" w:rsidRPr="00FF0FC2" w:rsidP="00CC4D7A">
      <w:pPr>
        <w:bidi w:val="0"/>
        <w:jc w:val="right"/>
        <w:rPr>
          <w:rFonts w:ascii="Times New Roman" w:hAnsi="Times New Roman"/>
        </w:rPr>
      </w:pPr>
      <w:r w:rsidRPr="00FF0FC2">
        <w:rPr>
          <w:rFonts w:ascii="Times New Roman" w:hAnsi="Times New Roman"/>
        </w:rPr>
        <w:tab/>
        <w:tab/>
      </w:r>
    </w:p>
    <w:p w:rsidR="00E62BFE" w:rsidRPr="00295C8E" w:rsidP="00E62BF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C8E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E62BFE" w:rsidRPr="00295C8E" w:rsidP="00E62BF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C8E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E62BFE" w:rsidRPr="00FF0FC2" w:rsidP="00E62BFE">
      <w:pPr>
        <w:bidi w:val="0"/>
        <w:rPr>
          <w:rFonts w:ascii="Times New Roman" w:hAnsi="Times New Roman"/>
        </w:rPr>
      </w:pPr>
    </w:p>
    <w:p w:rsidR="00E62BFE" w:rsidRPr="00FF0FC2" w:rsidP="00E62BFE">
      <w:pPr>
        <w:bidi w:val="0"/>
        <w:rPr>
          <w:rFonts w:ascii="Times New Roman" w:hAnsi="Times New Roman"/>
          <w:b/>
        </w:rPr>
      </w:pPr>
      <w:r w:rsidRPr="00FF0FC2">
        <w:rPr>
          <w:rFonts w:ascii="Times New Roman" w:hAnsi="Times New Roman"/>
          <w:b/>
        </w:rPr>
        <w:t>2.1. Zhrnutie vplyvov na rozpočet verejnej správy v návrhu</w:t>
      </w:r>
    </w:p>
    <w:p w:rsidR="00E62BFE" w:rsidRPr="00FF0FC2" w:rsidP="00E62BFE">
      <w:pPr>
        <w:bidi w:val="0"/>
        <w:jc w:val="right"/>
        <w:rPr>
          <w:rFonts w:ascii="Times New Roman" w:hAnsi="Times New Roman"/>
        </w:rPr>
      </w:pPr>
      <w:r w:rsidRPr="00FF0FC2">
        <w:rPr>
          <w:rFonts w:ascii="Times New Roman" w:hAnsi="Times New Roman"/>
        </w:rPr>
        <w:t xml:space="preserve">Tabuľka č. 1 </w:t>
      </w:r>
    </w:p>
    <w:tbl>
      <w:tblPr>
        <w:tblStyle w:val="TableNormal"/>
        <w:tblW w:w="10565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150"/>
        <w:gridCol w:w="1418"/>
        <w:gridCol w:w="1842"/>
        <w:gridCol w:w="1628"/>
        <w:gridCol w:w="1527"/>
      </w:tblGrid>
      <w:tr>
        <w:tblPrEx>
          <w:tblW w:w="10565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194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bookmarkStart w:id="0" w:name="OLE_LINK1"/>
            <w:r w:rsidRPr="00FF0FC2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FF0FC2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6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194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FF0FC2">
              <w:rPr>
                <w:rFonts w:ascii="Times New Roman" w:hAnsi="Times New Roman"/>
                <w:b/>
                <w:bCs/>
              </w:rPr>
              <w:t xml:space="preserve">(v </w:t>
            </w:r>
            <w:r w:rsidRPr="00FF0FC2" w:rsidR="007F601B">
              <w:rPr>
                <w:rFonts w:ascii="Times New Roman" w:hAnsi="Times New Roman"/>
                <w:b/>
                <w:bCs/>
              </w:rPr>
              <w:t>eurách</w:t>
            </w:r>
            <w:r w:rsidRPr="00FF0FC2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 w:rsidR="00C60FFD"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 w:rsidR="00C60FFD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 w:rsidR="00C60FFD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3C3FF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  <w:b/>
                <w:bCs/>
              </w:rPr>
              <w:t>Príjmy verejnej správy celkom</w:t>
            </w:r>
            <w:r w:rsidR="003C3FF6">
              <w:rPr>
                <w:rFonts w:ascii="Times New Roman" w:hAnsi="Times New Roman"/>
                <w:b/>
                <w:bCs/>
              </w:rPr>
              <w:t xml:space="preserve"> Všeobecná pokladničná správa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E62BFE" w:rsidRPr="00FF0FC2" w:rsidP="00F011C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C5683" w:rsidRPr="00FF0FC2" w:rsidP="00F011CE">
            <w:pPr>
              <w:bidi w:val="0"/>
              <w:spacing w:line="70" w:lineRule="atLeast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FF0FC2" w:rsidR="00DA7F70">
              <w:rPr>
                <w:rFonts w:ascii="Times New Roman" w:hAnsi="Times New Roman"/>
                <w:b/>
                <w:bCs/>
              </w:rPr>
              <w:t>864 000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B0DE3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 w:rsidR="003E76D2">
              <w:rPr>
                <w:rFonts w:ascii="Times New Roman" w:hAnsi="Times New Roman"/>
                <w:b/>
                <w:bCs/>
              </w:rPr>
              <w:t>1 296 000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B0DE3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 w:rsidR="004F39C0">
              <w:rPr>
                <w:rFonts w:ascii="Times New Roman" w:hAnsi="Times New Roman"/>
                <w:b/>
                <w:bCs/>
              </w:rPr>
              <w:t>806 000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25AE" w:rsidRPr="00FF0FC2" w:rsidP="008825AE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25AE" w:rsidRPr="00FF0FC2" w:rsidP="00E62BFE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  <w:b/>
              </w:rPr>
              <w:t>864 000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25AE" w:rsidRPr="00FF0FC2" w:rsidP="00E62BFE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FF0FC2" w:rsidR="003E76D2">
              <w:rPr>
                <w:rFonts w:ascii="Times New Roman" w:hAnsi="Times New Roman"/>
                <w:b/>
              </w:rPr>
              <w:t>1 296 000</w:t>
            </w:r>
            <w:r w:rsidRPr="00FF0FC2" w:rsidR="00FB04F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25AE" w:rsidRPr="00FF0FC2" w:rsidP="00CA67D5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FF0FC2" w:rsidR="004F39C0">
              <w:rPr>
                <w:rFonts w:ascii="Times New Roman" w:hAnsi="Times New Roman"/>
                <w:b/>
              </w:rPr>
              <w:t>806 000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C5683" w:rsidRPr="00FF0FC2" w:rsidP="00E62BFE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z toho vplyv na štátny rozpočet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7C5683" w:rsidRPr="00FF0FC2" w:rsidP="00DA7F70">
            <w:pPr>
              <w:bidi w:val="0"/>
              <w:jc w:val="right"/>
              <w:rPr>
                <w:rFonts w:ascii="Times New Roman" w:hAnsi="Times New Roman"/>
              </w:rPr>
            </w:pPr>
            <w:r w:rsidRPr="00FF0FC2" w:rsidR="0034101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7C5683" w:rsidRPr="00FF0FC2" w:rsidP="00BB0DE3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FF0FC2" w:rsidR="00DA7F70">
              <w:rPr>
                <w:rFonts w:ascii="Times New Roman" w:hAnsi="Times New Roman"/>
                <w:b/>
              </w:rPr>
              <w:t>864 000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7C5683" w:rsidRPr="00FF0FC2" w:rsidP="00BB0DE3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FF0FC2" w:rsidR="003E76D2">
              <w:rPr>
                <w:rFonts w:ascii="Times New Roman" w:hAnsi="Times New Roman"/>
                <w:b/>
              </w:rPr>
              <w:t>1 296 000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7C5683" w:rsidRPr="00FF0FC2" w:rsidP="00BB0DE3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FF0FC2" w:rsidR="00DA7F70">
              <w:rPr>
                <w:rFonts w:ascii="Times New Roman" w:hAnsi="Times New Roman"/>
                <w:b/>
              </w:rPr>
              <w:t>806 000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z toho vplyv na územnú samosprávu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 w:rsidR="00DA7F70">
              <w:rPr>
                <w:rFonts w:ascii="Times New Roman" w:hAnsi="Times New Roman"/>
                <w:b/>
                <w:bCs/>
              </w:rPr>
              <w:t>180 880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 xml:space="preserve">0   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3C3FF6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F0FC2" w:rsidR="003E76D2">
              <w:rPr>
                <w:rFonts w:ascii="Times New Roman" w:hAnsi="Times New Roman"/>
              </w:rPr>
              <w:t xml:space="preserve">MV </w:t>
            </w:r>
            <w:r w:rsidR="003C3FF6">
              <w:rPr>
                <w:rFonts w:ascii="Times New Roman" w:hAnsi="Times New Roman"/>
              </w:rPr>
              <w:t>SR/</w:t>
            </w:r>
            <w:r w:rsidRPr="00FF0FC2" w:rsidR="003E76D2">
              <w:rPr>
                <w:rFonts w:ascii="Times New Roman" w:hAnsi="Times New Roman"/>
              </w:rPr>
              <w:t>06</w:t>
            </w:r>
            <w:r w:rsidR="003C3FF6">
              <w:rPr>
                <w:rFonts w:ascii="Times New Roman" w:hAnsi="Times New Roman"/>
              </w:rPr>
              <w:t>V ochrana verejného poriadku a bezpečnosti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 w:rsidR="00080C23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80C23" w:rsidRPr="00FF0FC2" w:rsidP="00875481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 w:rsidR="009B46E8">
              <w:rPr>
                <w:rFonts w:ascii="Times New Roman" w:hAnsi="Times New Roman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3E76D2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FF0FC2" w:rsidR="00DA7F70">
              <w:rPr>
                <w:rFonts w:ascii="Times New Roman" w:hAnsi="Times New Roman"/>
                <w:b/>
              </w:rPr>
              <w:t>180</w:t>
            </w:r>
            <w:r w:rsidRPr="00FF0FC2" w:rsidR="003E76D2">
              <w:rPr>
                <w:rFonts w:ascii="Times New Roman" w:hAnsi="Times New Roman"/>
                <w:b/>
              </w:rPr>
              <w:t> </w:t>
            </w:r>
            <w:r w:rsidRPr="00FF0FC2" w:rsidR="00DA7F70">
              <w:rPr>
                <w:rFonts w:ascii="Times New Roman" w:hAnsi="Times New Roman"/>
                <w:b/>
              </w:rPr>
              <w:t>880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 w:rsidR="009B46E8">
              <w:rPr>
                <w:rFonts w:ascii="Times New Roman" w:hAnsi="Times New Roman"/>
              </w:rPr>
              <w:t>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3FF6" w:rsidP="003C3FF6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 w:rsidR="00E62BFE">
              <w:rPr>
                <w:rFonts w:ascii="Times New Roman" w:hAnsi="Times New Roman"/>
                <w:b/>
                <w:bCs/>
                <w:i/>
                <w:iCs/>
              </w:rPr>
              <w:t xml:space="preserve">z toho vplyv na </w:t>
            </w:r>
            <w:r w:rsidRPr="00FF0FC2" w:rsidR="0057104C">
              <w:rPr>
                <w:rFonts w:ascii="Times New Roman" w:hAnsi="Times New Roman"/>
                <w:b/>
                <w:bCs/>
                <w:i/>
                <w:iCs/>
              </w:rPr>
              <w:t>štátny rozpočet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E62BFE" w:rsidRPr="00FF0FC2" w:rsidP="003C3FF6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 w:rsidR="003C3FF6">
              <w:rPr>
                <w:rFonts w:ascii="Times New Roman" w:hAnsi="Times New Roman"/>
              </w:rPr>
              <w:t xml:space="preserve">MV </w:t>
            </w:r>
            <w:r w:rsidR="003C3FF6">
              <w:rPr>
                <w:rFonts w:ascii="Times New Roman" w:hAnsi="Times New Roman"/>
              </w:rPr>
              <w:t>SR/</w:t>
            </w:r>
            <w:r w:rsidRPr="00FF0FC2" w:rsidR="003C3FF6">
              <w:rPr>
                <w:rFonts w:ascii="Times New Roman" w:hAnsi="Times New Roman"/>
              </w:rPr>
              <w:t>06</w:t>
            </w:r>
            <w:r w:rsidR="003C3FF6">
              <w:rPr>
                <w:rFonts w:ascii="Times New Roman" w:hAnsi="Times New Roman"/>
              </w:rPr>
              <w:t>V ochrana verejného poriadku a bezpečnosti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C5683" w:rsidRPr="00FF0FC2" w:rsidP="007C5683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 w:rsidR="00875481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F0FC2" w:rsidR="004D3AE5">
              <w:rPr>
                <w:rFonts w:ascii="Times New Roman" w:hAnsi="Times New Roman"/>
                <w:b/>
                <w:color w:val="000000"/>
              </w:rPr>
              <w:t>180 880</w:t>
            </w:r>
            <w:r w:rsidRPr="00FF0FC2" w:rsidR="0020567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F0FC2" w:rsidR="00FB04F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080C23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 w:rsidR="006C2CB3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z toho vplyv na územnú samosprávu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FF0FC2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Celková zamestnanosť (počet)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zamestnanci v štátnej službe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zamestnanci pri výkone práce vo verejnom záujme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iné skupiny zamestnancov (špecifikovať)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="003C3FF6">
              <w:rPr>
                <w:rFonts w:ascii="Times New Roman" w:hAnsi="Times New Roman"/>
                <w:b/>
                <w:bCs/>
              </w:rPr>
              <w:t>180 88</w:t>
            </w: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10565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3FF6" w:rsidRPr="00FF0FC2" w:rsidP="005077E2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MV </w:t>
            </w:r>
            <w:r>
              <w:rPr>
                <w:rFonts w:ascii="Times New Roman" w:hAnsi="Times New Roman"/>
              </w:rPr>
              <w:t>SR/</w:t>
            </w:r>
            <w:r w:rsidRPr="00FF0FC2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V ochrana verejného poriadku a bezpečnosti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3FF6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3FF6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3FF6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FF0FC2">
              <w:rPr>
                <w:rFonts w:ascii="Times New Roman" w:hAnsi="Times New Roman"/>
                <w:b/>
                <w:color w:val="000000"/>
              </w:rPr>
              <w:t xml:space="preserve">180 880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3FF6" w:rsidRPr="00FF0FC2" w:rsidP="004F39C0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  <w:b/>
              </w:rPr>
              <w:t>0</w:t>
            </w:r>
          </w:p>
        </w:tc>
      </w:tr>
    </w:tbl>
    <w:p w:rsidR="00E62BFE" w:rsidRPr="00FF0FC2" w:rsidP="00E62BFE">
      <w:pPr>
        <w:bidi w:val="0"/>
        <w:rPr>
          <w:rFonts w:ascii="Times New Roman" w:hAnsi="Times New Roman"/>
        </w:rPr>
      </w:pPr>
      <w:bookmarkEnd w:id="0"/>
    </w:p>
    <w:p w:rsidR="00E62BFE" w:rsidRPr="00FF0FC2" w:rsidP="00E62BFE">
      <w:pPr>
        <w:bidi w:val="0"/>
        <w:rPr>
          <w:rFonts w:ascii="Times New Roman" w:hAnsi="Times New Roman"/>
          <w:b/>
          <w:bCs/>
        </w:rPr>
      </w:pPr>
      <w:r w:rsidRPr="00FF0FC2">
        <w:rPr>
          <w:rFonts w:ascii="Times New Roman" w:hAnsi="Times New Roman"/>
          <w:b/>
          <w:bCs/>
        </w:rPr>
        <w:t>2.2. Financovanie návrhu</w:t>
      </w:r>
    </w:p>
    <w:p w:rsidR="00E62BFE" w:rsidRPr="00FF0FC2" w:rsidP="00E62BFE">
      <w:pPr>
        <w:bidi w:val="0"/>
        <w:jc w:val="right"/>
        <w:rPr>
          <w:rFonts w:ascii="Times New Roman" w:hAnsi="Times New Roman"/>
        </w:rPr>
      </w:pPr>
      <w:r w:rsidRPr="00FF0FC2">
        <w:rPr>
          <w:rFonts w:ascii="Times New Roman" w:hAnsi="Times New Roman"/>
        </w:rPr>
        <w:t>Tabuľka č. 2</w:t>
      </w:r>
    </w:p>
    <w:tbl>
      <w:tblPr>
        <w:tblStyle w:val="TableNormal"/>
        <w:tblW w:w="1024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3223"/>
        <w:gridCol w:w="1264"/>
        <w:gridCol w:w="1747"/>
        <w:gridCol w:w="2168"/>
        <w:gridCol w:w="1843"/>
      </w:tblGrid>
      <w:tr>
        <w:tblPrEx>
          <w:tblW w:w="10245" w:type="dxa"/>
          <w:tblInd w:w="-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FF0FC2">
              <w:rPr>
                <w:rFonts w:ascii="Times New Roman" w:hAnsi="Times New Roman"/>
                <w:b/>
                <w:bCs/>
              </w:rPr>
              <w:t xml:space="preserve">(v </w:t>
            </w:r>
            <w:r w:rsidRPr="00FF0FC2" w:rsidR="0057104C">
              <w:rPr>
                <w:rFonts w:ascii="Times New Roman" w:hAnsi="Times New Roman"/>
                <w:b/>
                <w:bCs/>
              </w:rPr>
              <w:t>eurách</w:t>
            </w:r>
            <w:r w:rsidRPr="00FF0FC2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>
        <w:tblPrEx>
          <w:tblW w:w="10245" w:type="dxa"/>
          <w:tblInd w:w="-639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 w:rsidR="00C60FFD"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 w:rsidR="00C60FFD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 w:rsidR="00C60FFD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</w:tr>
      <w:tr>
        <w:tblPrEx>
          <w:tblW w:w="10245" w:type="dxa"/>
          <w:tblInd w:w="-63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DA7F70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 w:rsidR="009B46E8">
              <w:rPr>
                <w:rFonts w:ascii="Times New Roman" w:hAnsi="Times New Roman"/>
                <w:b/>
              </w:rPr>
              <w:t xml:space="preserve"> 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3E76D2">
            <w:pPr>
              <w:numPr>
                <w:numId w:val="2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 w:rsidR="003E76D2">
              <w:rPr>
                <w:rFonts w:ascii="Times New Roman" w:hAnsi="Times New Roman"/>
                <w:b/>
              </w:rPr>
              <w:t xml:space="preserve"> 864 000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DA7F70">
            <w:pPr>
              <w:numPr>
                <w:numId w:val="2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 w:rsidR="00DA7F70">
              <w:rPr>
                <w:rFonts w:ascii="Times New Roman" w:hAnsi="Times New Roman"/>
                <w:b/>
              </w:rPr>
              <w:t xml:space="preserve">1 115 120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4F39C0">
            <w:pPr>
              <w:numPr>
                <w:numId w:val="2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 w:rsidR="00DA7F70">
              <w:rPr>
                <w:rFonts w:ascii="Times New Roman" w:hAnsi="Times New Roman"/>
                <w:b/>
              </w:rPr>
              <w:t>806 000</w:t>
            </w:r>
            <w:r w:rsidRPr="00FF0FC2" w:rsidR="009B46E8">
              <w:rPr>
                <w:rFonts w:ascii="Times New Roman" w:hAnsi="Times New Roman"/>
                <w:b/>
              </w:rPr>
              <w:t xml:space="preserve"> </w:t>
            </w:r>
          </w:p>
        </w:tc>
      </w:tr>
      <w:tr>
        <w:tblPrEx>
          <w:tblW w:w="10245" w:type="dxa"/>
          <w:tblInd w:w="-63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 z toho vplyv na </w:t>
            </w:r>
            <w:r w:rsidRPr="00FF0FC2" w:rsidR="00D064F4">
              <w:rPr>
                <w:rFonts w:ascii="Times New Roman" w:hAnsi="Times New Roman"/>
              </w:rPr>
              <w:t>štátny rozpočet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DA7F70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 w:rsidR="009B46E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3E76D2">
            <w:pPr>
              <w:numPr>
                <w:numId w:val="2"/>
              </w:num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 w:rsidR="009B46E8">
              <w:rPr>
                <w:rFonts w:ascii="Times New Roman" w:hAnsi="Times New Roman"/>
                <w:b/>
              </w:rPr>
              <w:t xml:space="preserve"> </w:t>
            </w:r>
            <w:r w:rsidRPr="00FF0FC2" w:rsidR="003E76D2">
              <w:rPr>
                <w:rFonts w:ascii="Times New Roman" w:hAnsi="Times New Roman"/>
                <w:b/>
              </w:rPr>
              <w:t>864 000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DA7F70">
            <w:pPr>
              <w:numPr>
                <w:numId w:val="2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FF0FC2" w:rsidR="00DA7F70">
              <w:rPr>
                <w:rFonts w:ascii="Times New Roman" w:hAnsi="Times New Roman"/>
                <w:b/>
              </w:rPr>
              <w:t>1 115</w:t>
            </w:r>
            <w:r w:rsidRPr="00FF0FC2" w:rsidR="004F39C0">
              <w:rPr>
                <w:rFonts w:ascii="Times New Roman" w:hAnsi="Times New Roman"/>
                <w:b/>
              </w:rPr>
              <w:t> </w:t>
            </w:r>
            <w:r w:rsidRPr="00FF0FC2" w:rsidR="00DA7F70">
              <w:rPr>
                <w:rFonts w:ascii="Times New Roman" w:hAnsi="Times New Roman"/>
                <w:b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4F39C0">
            <w:pPr>
              <w:numPr>
                <w:numId w:val="2"/>
              </w:num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FF0FC2" w:rsidR="004F39C0">
              <w:rPr>
                <w:rFonts w:ascii="Times New Roman" w:hAnsi="Times New Roman"/>
                <w:b/>
              </w:rPr>
              <w:t>806 000</w:t>
            </w:r>
          </w:p>
        </w:tc>
      </w:tr>
      <w:tr>
        <w:tblPrEx>
          <w:tblW w:w="10245" w:type="dxa"/>
          <w:tblInd w:w="-639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51" w:lineRule="atLeast"/>
              <w:jc w:val="right"/>
              <w:rPr>
                <w:rFonts w:ascii="Times New Roman" w:hAnsi="Times New Roman"/>
                <w:color w:val="000000"/>
              </w:rPr>
            </w:pPr>
            <w:r w:rsidRPr="00FF0FC2" w:rsidR="00DA7F70">
              <w:rPr>
                <w:rFonts w:ascii="Times New Roman" w:hAnsi="Times New Roman"/>
                <w:color w:val="000000"/>
              </w:rPr>
              <w:t>180 880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</w:tr>
      <w:tr>
        <w:tblPrEx>
          <w:tblW w:w="10245" w:type="dxa"/>
          <w:tblInd w:w="-639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spacing w:line="135" w:lineRule="atLeas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0</w:t>
            </w:r>
          </w:p>
        </w:tc>
      </w:tr>
      <w:tr>
        <w:tblPrEx>
          <w:tblW w:w="10245" w:type="dxa"/>
          <w:tblInd w:w="-63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E62BFE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3E76D2">
            <w:pPr>
              <w:numPr>
                <w:numId w:val="2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 w:rsidR="003E76D2">
              <w:rPr>
                <w:rFonts w:ascii="Times New Roman" w:hAnsi="Times New Roman"/>
                <w:b/>
                <w:bCs/>
              </w:rPr>
              <w:t>864 000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3E76D2">
            <w:pPr>
              <w:numPr>
                <w:numId w:val="2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 w:rsidR="003E76D2">
              <w:rPr>
                <w:rFonts w:ascii="Times New Roman" w:hAnsi="Times New Roman"/>
                <w:b/>
                <w:bCs/>
              </w:rPr>
              <w:t>1 296</w:t>
            </w:r>
            <w:r w:rsidRPr="00FF0FC2" w:rsidR="004F39C0">
              <w:rPr>
                <w:rFonts w:ascii="Times New Roman" w:hAnsi="Times New Roman"/>
                <w:b/>
                <w:bCs/>
              </w:rPr>
              <w:t> </w:t>
            </w:r>
            <w:r w:rsidRPr="00FF0FC2" w:rsidR="003E76D2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2BFE" w:rsidRPr="00FF0FC2" w:rsidP="004F39C0">
            <w:pPr>
              <w:numPr>
                <w:numId w:val="2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FF0FC2" w:rsidR="004F39C0">
              <w:rPr>
                <w:rFonts w:ascii="Times New Roman" w:hAnsi="Times New Roman"/>
                <w:b/>
                <w:bCs/>
              </w:rPr>
              <w:t>806 000</w:t>
            </w:r>
          </w:p>
        </w:tc>
      </w:tr>
    </w:tbl>
    <w:p w:rsidR="00E62BFE" w:rsidRPr="00FF0FC2" w:rsidP="00E62BFE">
      <w:pPr>
        <w:bidi w:val="0"/>
        <w:rPr>
          <w:rFonts w:ascii="Times New Roman" w:hAnsi="Times New Roman"/>
        </w:rPr>
      </w:pPr>
    </w:p>
    <w:p w:rsidR="00E62BFE" w:rsidP="00E62BFE">
      <w:pPr>
        <w:bidi w:val="0"/>
        <w:rPr>
          <w:rFonts w:ascii="Times New Roman" w:hAnsi="Times New Roman"/>
          <w:b/>
          <w:bCs/>
        </w:rPr>
      </w:pPr>
    </w:p>
    <w:p w:rsidR="00592392" w:rsidP="00E62BFE">
      <w:pPr>
        <w:bidi w:val="0"/>
        <w:rPr>
          <w:rFonts w:ascii="Times New Roman" w:hAnsi="Times New Roman"/>
          <w:b/>
          <w:bCs/>
        </w:rPr>
      </w:pPr>
    </w:p>
    <w:p w:rsidR="00592392" w:rsidRPr="00FF0FC2" w:rsidP="00E62BFE">
      <w:pPr>
        <w:bidi w:val="0"/>
        <w:rPr>
          <w:rFonts w:ascii="Times New Roman" w:hAnsi="Times New Roman"/>
          <w:b/>
          <w:bCs/>
        </w:rPr>
      </w:pPr>
    </w:p>
    <w:p w:rsidR="00E62BFE" w:rsidRPr="00FF0FC2" w:rsidP="00E62BFE">
      <w:pPr>
        <w:bidi w:val="0"/>
        <w:rPr>
          <w:rFonts w:ascii="Times New Roman" w:hAnsi="Times New Roman"/>
          <w:b/>
          <w:bCs/>
        </w:rPr>
      </w:pPr>
      <w:r w:rsidRPr="00FF0FC2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</w:t>
      </w:r>
      <w:r w:rsidRPr="00FF0FC2" w:rsidR="00BA0ECF">
        <w:rPr>
          <w:rFonts w:ascii="Times New Roman" w:hAnsi="Times New Roman"/>
          <w:b/>
          <w:bCs/>
        </w:rPr>
        <w:t xml:space="preserve"> a o zmene a doplnení niektorých zákonov v znení neskorších predpisov</w:t>
      </w:r>
      <w:r w:rsidRPr="00FF0FC2">
        <w:rPr>
          <w:rFonts w:ascii="Times New Roman" w:hAnsi="Times New Roman"/>
          <w:b/>
          <w:bCs/>
        </w:rPr>
        <w:t>:</w:t>
      </w:r>
    </w:p>
    <w:p w:rsidR="00E62BFE" w:rsidRPr="00FF0FC2" w:rsidP="00E62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</w:rPr>
      </w:pPr>
    </w:p>
    <w:p w:rsidR="00E62BFE" w:rsidRPr="00FF0FC2" w:rsidP="00E62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</w:rPr>
      </w:pPr>
    </w:p>
    <w:p w:rsidR="00E62BFE" w:rsidRPr="00FF0FC2" w:rsidP="00E62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</w:rPr>
      </w:pPr>
    </w:p>
    <w:p w:rsidR="009813A8" w:rsidRPr="00FF0FC2" w:rsidP="00E62BFE">
      <w:pPr>
        <w:bidi w:val="0"/>
        <w:rPr>
          <w:rFonts w:ascii="Times New Roman" w:hAnsi="Times New Roman"/>
          <w:b/>
          <w:bCs/>
        </w:rPr>
      </w:pPr>
    </w:p>
    <w:p w:rsidR="00E62BFE" w:rsidRPr="00FF0FC2" w:rsidP="00E62BFE">
      <w:pPr>
        <w:bidi w:val="0"/>
        <w:rPr>
          <w:rFonts w:ascii="Times New Roman" w:hAnsi="Times New Roman"/>
          <w:b/>
          <w:bCs/>
        </w:rPr>
      </w:pPr>
      <w:r w:rsidRPr="00FF0FC2">
        <w:rPr>
          <w:rFonts w:ascii="Times New Roman" w:hAnsi="Times New Roman"/>
          <w:b/>
          <w:bCs/>
        </w:rPr>
        <w:t>2.3. Popis a charakteristika návrhu</w:t>
      </w:r>
    </w:p>
    <w:p w:rsidR="00C72760" w:rsidRPr="00FF0FC2" w:rsidP="00E62BFE">
      <w:pPr>
        <w:bidi w:val="0"/>
        <w:rPr>
          <w:rFonts w:ascii="Times New Roman" w:hAnsi="Times New Roman"/>
        </w:rPr>
      </w:pPr>
    </w:p>
    <w:p w:rsidR="00E62BFE" w:rsidRPr="00FF0FC2" w:rsidP="00E62BFE">
      <w:pPr>
        <w:bidi w:val="0"/>
        <w:jc w:val="both"/>
        <w:rPr>
          <w:rFonts w:ascii="Times New Roman" w:hAnsi="Times New Roman"/>
          <w:b/>
          <w:bCs/>
        </w:rPr>
      </w:pPr>
      <w:r w:rsidRPr="00FF0FC2">
        <w:rPr>
          <w:rFonts w:ascii="Times New Roman" w:hAnsi="Times New Roman"/>
          <w:b/>
          <w:bCs/>
        </w:rPr>
        <w:t>2.3.1. Popis návrhu:</w:t>
      </w:r>
    </w:p>
    <w:p w:rsidR="00E62BFE" w:rsidRPr="00FF0FC2" w:rsidP="00E62BFE">
      <w:pPr>
        <w:bidi w:val="0"/>
        <w:jc w:val="both"/>
        <w:rPr>
          <w:rFonts w:ascii="Times New Roman" w:hAnsi="Times New Roman"/>
          <w:b/>
          <w:bCs/>
        </w:rPr>
      </w:pPr>
    </w:p>
    <w:p w:rsidR="00C72760" w:rsidRPr="00FF0FC2" w:rsidP="00C72760">
      <w:pPr>
        <w:bidi w:val="0"/>
        <w:jc w:val="both"/>
        <w:rPr>
          <w:rFonts w:ascii="Times New Roman" w:hAnsi="Times New Roman"/>
        </w:rPr>
      </w:pPr>
      <w:r w:rsidRPr="00FF0FC2">
        <w:rPr>
          <w:rFonts w:ascii="Times New Roman" w:hAnsi="Times New Roman"/>
        </w:rPr>
        <w:tab/>
        <w:t xml:space="preserve">Návrh zavádza obmedzenú platnosť vodičských preukazov, ktoré sa v súčasnosti vydávajú s neobmedzenou platnosťou. Vodičské preukazy pre skupiny AM, A1, A2, A, B1, B, BE a T sa navrhuje obmedziť na 15 rokov a vodičské preukazy pre skupiny </w:t>
      </w:r>
      <w:r w:rsidRPr="00FF0FC2">
        <w:rPr>
          <w:rStyle w:val="PlaceholderText"/>
          <w:color w:val="000000"/>
        </w:rPr>
        <w:t>C1, C1E, C, CE, D1, D1E, D a DE na 5 rokov, najdlhšie však do 65 rokov veku jeho držiteľa. Vodičské preukazy osôb starších ako 65 rokov budú platiť dva roky. Vodičské preukazy budú vydávať orgány Policajného zboru.</w:t>
      </w:r>
    </w:p>
    <w:p w:rsidR="00E62BFE" w:rsidRPr="00FF0FC2" w:rsidP="00E62BFE">
      <w:pPr>
        <w:bidi w:val="0"/>
        <w:rPr>
          <w:rFonts w:ascii="Times New Roman" w:hAnsi="Times New Roman"/>
        </w:rPr>
      </w:pPr>
    </w:p>
    <w:p w:rsidR="00E62BFE" w:rsidRPr="00FF0FC2" w:rsidP="00E62BFE">
      <w:pPr>
        <w:bidi w:val="0"/>
        <w:rPr>
          <w:rFonts w:ascii="Times New Roman" w:hAnsi="Times New Roman"/>
          <w:b/>
          <w:bCs/>
        </w:rPr>
      </w:pPr>
      <w:r w:rsidRPr="00FF0FC2">
        <w:rPr>
          <w:rFonts w:ascii="Times New Roman" w:hAnsi="Times New Roman"/>
          <w:b/>
          <w:bCs/>
        </w:rPr>
        <w:t xml:space="preserve">2.3.2. Charakteristika návrhu podľa bodu  2.3.2. </w:t>
      </w:r>
      <w:r w:rsidRPr="00FF0FC2" w:rsidR="00BA0ECF">
        <w:rPr>
          <w:rFonts w:ascii="Times New Roman" w:hAnsi="Times New Roman"/>
          <w:b/>
          <w:bCs/>
        </w:rPr>
        <w:t>Jednotnej metodiky na posudzovanie vybraných vply</w:t>
      </w:r>
      <w:r w:rsidRPr="00FF0FC2" w:rsidR="001361A1">
        <w:rPr>
          <w:rFonts w:ascii="Times New Roman" w:hAnsi="Times New Roman"/>
          <w:b/>
          <w:bCs/>
        </w:rPr>
        <w:t>v</w:t>
      </w:r>
      <w:r w:rsidRPr="00FF0FC2" w:rsidR="00BA0ECF">
        <w:rPr>
          <w:rFonts w:ascii="Times New Roman" w:hAnsi="Times New Roman"/>
          <w:b/>
          <w:bCs/>
        </w:rPr>
        <w:t>ov</w:t>
      </w:r>
      <w:r w:rsidRPr="00FF0FC2">
        <w:rPr>
          <w:rFonts w:ascii="Times New Roman" w:hAnsi="Times New Roman"/>
          <w:b/>
          <w:bCs/>
        </w:rPr>
        <w:t>:</w:t>
      </w:r>
    </w:p>
    <w:p w:rsidR="00E62BFE" w:rsidRPr="00FF0FC2" w:rsidP="00E62BFE">
      <w:pPr>
        <w:bidi w:val="0"/>
        <w:rPr>
          <w:rFonts w:ascii="Times New Roman" w:hAnsi="Times New Roman"/>
        </w:rPr>
      </w:pPr>
    </w:p>
    <w:p w:rsidR="00C72760" w:rsidRPr="00FF0FC2" w:rsidP="00E62BFE">
      <w:pPr>
        <w:bidi w:val="0"/>
        <w:rPr>
          <w:rFonts w:ascii="Times New Roman" w:hAnsi="Times New Roman"/>
        </w:rPr>
      </w:pPr>
      <w:r w:rsidRPr="00FF0FC2">
        <w:rPr>
          <w:rFonts w:ascii="Times New Roman" w:hAnsi="Times New Roman"/>
        </w:rPr>
        <w:t>zmena sadzby</w:t>
      </w:r>
    </w:p>
    <w:p w:rsidR="00C72760" w:rsidRPr="00FF0FC2" w:rsidP="00E62BFE">
      <w:pPr>
        <w:bidi w:val="0"/>
        <w:rPr>
          <w:rFonts w:ascii="Times New Roman" w:hAnsi="Times New Roman"/>
        </w:rPr>
      </w:pPr>
      <w:r w:rsidRPr="00FF0FC2">
        <w:rPr>
          <w:rFonts w:ascii="Times New Roman" w:hAnsi="Times New Roman"/>
        </w:rPr>
        <w:t>- mení sa poplatok za výmenu vodičského preukazu z</w:t>
      </w:r>
      <w:r w:rsidRPr="00FF0FC2" w:rsidR="00C80A53">
        <w:rPr>
          <w:rFonts w:ascii="Times New Roman" w:hAnsi="Times New Roman"/>
        </w:rPr>
        <w:t>o</w:t>
      </w:r>
      <w:r w:rsidRPr="00FF0FC2">
        <w:rPr>
          <w:rFonts w:ascii="Times New Roman" w:hAnsi="Times New Roman"/>
        </w:rPr>
        <w:t> 6,50 € na 3 €</w:t>
      </w:r>
    </w:p>
    <w:p w:rsidR="00C72760" w:rsidRPr="00FF0FC2" w:rsidP="00E62BFE">
      <w:pPr>
        <w:bidi w:val="0"/>
        <w:rPr>
          <w:rFonts w:ascii="Times New Roman" w:hAnsi="Times New Roman"/>
        </w:rPr>
      </w:pPr>
    </w:p>
    <w:p w:rsidR="00E62BFE" w:rsidRPr="00FF0FC2" w:rsidP="00E62BFE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FF0FC2" w:rsidR="00C72760">
        <w:rPr>
          <w:rFonts w:ascii="Times New Roman" w:hAnsi="Times New Roman"/>
          <w:b w:val="0"/>
          <w:szCs w:val="24"/>
        </w:rPr>
        <w:t>nová služba alebo nariadenie</w:t>
      </w:r>
    </w:p>
    <w:p w:rsidR="00C72760" w:rsidRPr="00FF0FC2" w:rsidP="00E62BFE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FF0FC2">
        <w:rPr>
          <w:rFonts w:ascii="Times New Roman" w:hAnsi="Times New Roman"/>
          <w:b w:val="0"/>
          <w:szCs w:val="24"/>
        </w:rPr>
        <w:t>- zavádza sa obmedzená platnosť vodičských preukazov</w:t>
      </w:r>
    </w:p>
    <w:p w:rsidR="00C72760" w:rsidRPr="00FF0FC2" w:rsidP="00E62BFE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FF0FC2">
        <w:rPr>
          <w:rFonts w:ascii="Times New Roman" w:hAnsi="Times New Roman"/>
          <w:b w:val="0"/>
          <w:szCs w:val="24"/>
        </w:rPr>
        <w:t>- zavádza sa poplatok za doručenie osvedčenia o evidencii časti I vo výške 3 €</w:t>
      </w:r>
    </w:p>
    <w:p w:rsidR="00E62BFE" w:rsidRPr="00FF0FC2" w:rsidP="00E62BFE">
      <w:pPr>
        <w:bidi w:val="0"/>
        <w:rPr>
          <w:rFonts w:ascii="Times New Roman" w:hAnsi="Times New Roman"/>
        </w:rPr>
      </w:pPr>
    </w:p>
    <w:p w:rsidR="00E62BFE" w:rsidRPr="00FF0FC2" w:rsidP="00E62BFE">
      <w:pPr>
        <w:bidi w:val="0"/>
        <w:rPr>
          <w:rFonts w:ascii="Times New Roman" w:hAnsi="Times New Roman"/>
        </w:rPr>
      </w:pPr>
      <w:r w:rsidRPr="00FF0FC2">
        <w:rPr>
          <w:rFonts w:ascii="Times New Roman" w:hAnsi="Times New Roman"/>
          <w:b/>
          <w:bCs/>
        </w:rPr>
        <w:t>2.3.3. Predpoklady vývoja objemu aktivít:</w:t>
      </w:r>
    </w:p>
    <w:p w:rsidR="00E62BFE" w:rsidRPr="00FF0FC2" w:rsidP="00E62BFE">
      <w:pPr>
        <w:bidi w:val="0"/>
        <w:rPr>
          <w:rFonts w:ascii="Times New Roman" w:hAnsi="Times New Roman"/>
        </w:rPr>
      </w:pPr>
    </w:p>
    <w:p w:rsidR="00E62BFE" w:rsidRPr="00FF0FC2" w:rsidP="00E62BFE">
      <w:pPr>
        <w:bidi w:val="0"/>
        <w:rPr>
          <w:rFonts w:ascii="Times New Roman" w:hAnsi="Times New Roman"/>
          <w:b/>
          <w:bCs/>
        </w:rPr>
      </w:pPr>
      <w:r w:rsidRPr="00FF0FC2">
        <w:rPr>
          <w:rFonts w:ascii="Times New Roman" w:hAnsi="Times New Roman"/>
          <w:b/>
          <w:bCs/>
        </w:rPr>
        <w:t>2.3.4. Výpočty vplyvov na verejné financie</w:t>
      </w:r>
    </w:p>
    <w:p w:rsidR="00E62BFE" w:rsidRPr="00FF0FC2" w:rsidP="00E62BFE">
      <w:pPr>
        <w:bidi w:val="0"/>
        <w:rPr>
          <w:rFonts w:ascii="Times New Roman" w:hAnsi="Times New Roman"/>
        </w:rPr>
      </w:pPr>
    </w:p>
    <w:p w:rsidR="00CA67D5" w:rsidRPr="00FF0FC2" w:rsidP="00CA67D5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  <w:r w:rsidRPr="00FF0FC2" w:rsidR="006770C9">
        <w:rPr>
          <w:rFonts w:ascii="Times New Roman" w:hAnsi="Times New Roman"/>
          <w:b w:val="0"/>
          <w:szCs w:val="24"/>
        </w:rPr>
        <w:tab/>
      </w:r>
      <w:r w:rsidRPr="00FF0FC2">
        <w:rPr>
          <w:rFonts w:ascii="Times New Roman" w:hAnsi="Times New Roman"/>
          <w:b w:val="0"/>
          <w:szCs w:val="24"/>
        </w:rPr>
        <w:t>K 30.</w:t>
      </w:r>
      <w:r w:rsidRPr="00FF0FC2" w:rsidR="00311CF6">
        <w:rPr>
          <w:rFonts w:ascii="Times New Roman" w:hAnsi="Times New Roman"/>
          <w:b w:val="0"/>
          <w:szCs w:val="24"/>
        </w:rPr>
        <w:t xml:space="preserve"> </w:t>
      </w:r>
      <w:r w:rsidRPr="00FF0FC2">
        <w:rPr>
          <w:rFonts w:ascii="Times New Roman" w:hAnsi="Times New Roman"/>
          <w:b w:val="0"/>
          <w:szCs w:val="24"/>
        </w:rPr>
        <w:t>6.</w:t>
      </w:r>
      <w:r w:rsidRPr="00FF0FC2" w:rsidR="00311CF6">
        <w:rPr>
          <w:rFonts w:ascii="Times New Roman" w:hAnsi="Times New Roman"/>
          <w:b w:val="0"/>
          <w:szCs w:val="24"/>
        </w:rPr>
        <w:t xml:space="preserve"> </w:t>
      </w:r>
      <w:r w:rsidRPr="00FF0FC2">
        <w:rPr>
          <w:rFonts w:ascii="Times New Roman" w:hAnsi="Times New Roman"/>
          <w:b w:val="0"/>
          <w:szCs w:val="24"/>
        </w:rPr>
        <w:t>2010 bolo v Slovenskej republike evidovaných 3 057 618 držiteľov vodičských preukazov. Podľa § 143b ods. 2 a 3 návrhu zákona vodičské preukazy vydané od 1. januára 1993 do 30. apríla 2004 sú platné do 31. decembra 2023 a vodičské preukazy vydané od 1. mája 2004 do 18. januára 2013 sú platné do 31. decembra 203</w:t>
      </w:r>
      <w:r w:rsidRPr="00FF0FC2" w:rsidR="00311CF6">
        <w:rPr>
          <w:rFonts w:ascii="Times New Roman" w:hAnsi="Times New Roman"/>
          <w:b w:val="0"/>
          <w:szCs w:val="24"/>
        </w:rPr>
        <w:t>2</w:t>
      </w:r>
      <w:r w:rsidRPr="00FF0FC2">
        <w:rPr>
          <w:rFonts w:ascii="Times New Roman" w:hAnsi="Times New Roman"/>
          <w:b w:val="0"/>
          <w:szCs w:val="24"/>
        </w:rPr>
        <w:t>. To znamená, že do roku 203</w:t>
      </w:r>
      <w:r w:rsidRPr="00FF0FC2" w:rsidR="00311CF6">
        <w:rPr>
          <w:rFonts w:ascii="Times New Roman" w:hAnsi="Times New Roman"/>
          <w:b w:val="0"/>
          <w:szCs w:val="24"/>
        </w:rPr>
        <w:t>2</w:t>
      </w:r>
      <w:r w:rsidRPr="00FF0FC2">
        <w:rPr>
          <w:rFonts w:ascii="Times New Roman" w:hAnsi="Times New Roman"/>
          <w:b w:val="0"/>
          <w:szCs w:val="24"/>
        </w:rPr>
        <w:t xml:space="preserve"> bude potrebné na požiadanie držiteľov vodičských preukazov vymeniť uvedený počet 3 057 618 vodičských preukazov. Podľa súčasnej výšky správneho poplatku 6,50 eura by predstavoval príjem štátneho rozpočtu sumu 19 874 517 eur. Podľa navrhovanej výšky správneho poplatku vo výške 3 eurá bude predstavovať príjem štátneho rozpočtu sumu 9 172 854 eur. Negatívny vplyv navrhovanej zmeny na rozpo</w:t>
      </w:r>
      <w:r w:rsidRPr="00FF0FC2" w:rsidR="00311CF6">
        <w:rPr>
          <w:rFonts w:ascii="Times New Roman" w:hAnsi="Times New Roman"/>
          <w:b w:val="0"/>
          <w:szCs w:val="24"/>
        </w:rPr>
        <w:t>čet verejnej správy do roku 2032</w:t>
      </w:r>
      <w:r w:rsidRPr="00FF0FC2">
        <w:rPr>
          <w:rFonts w:ascii="Times New Roman" w:hAnsi="Times New Roman"/>
          <w:b w:val="0"/>
          <w:szCs w:val="24"/>
        </w:rPr>
        <w:t xml:space="preserve"> je uvedený v tabuľke.</w:t>
      </w:r>
    </w:p>
    <w:p w:rsidR="00CA67D5" w:rsidRPr="00FF0FC2" w:rsidP="00CA67D5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</w:p>
    <w:p w:rsidR="00CA67D5" w:rsidRPr="00FF0FC2" w:rsidP="00CA67D5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  <w:r w:rsidRPr="00FF0FC2">
        <w:rPr>
          <w:rFonts w:ascii="Times New Roman" w:hAnsi="Times New Roman"/>
          <w:b w:val="0"/>
          <w:szCs w:val="24"/>
        </w:rPr>
        <w:t>Počet evidovaných držiteľov VP k 30.</w:t>
      </w:r>
      <w:r w:rsidRPr="00FF0FC2" w:rsidR="00311CF6">
        <w:rPr>
          <w:rFonts w:ascii="Times New Roman" w:hAnsi="Times New Roman"/>
          <w:b w:val="0"/>
          <w:szCs w:val="24"/>
        </w:rPr>
        <w:t xml:space="preserve"> </w:t>
      </w:r>
      <w:r w:rsidRPr="00FF0FC2">
        <w:rPr>
          <w:rFonts w:ascii="Times New Roman" w:hAnsi="Times New Roman"/>
          <w:b w:val="0"/>
          <w:szCs w:val="24"/>
        </w:rPr>
        <w:t>6.</w:t>
      </w:r>
      <w:r w:rsidRPr="00FF0FC2" w:rsidR="00311CF6">
        <w:rPr>
          <w:rFonts w:ascii="Times New Roman" w:hAnsi="Times New Roman"/>
          <w:b w:val="0"/>
          <w:szCs w:val="24"/>
        </w:rPr>
        <w:t xml:space="preserve"> </w:t>
      </w:r>
      <w:r w:rsidRPr="00FF0FC2">
        <w:rPr>
          <w:rFonts w:ascii="Times New Roman" w:hAnsi="Times New Roman"/>
          <w:b w:val="0"/>
          <w:szCs w:val="24"/>
        </w:rPr>
        <w:t>2010 je 3 057 618</w:t>
      </w:r>
    </w:p>
    <w:tbl>
      <w:tblPr>
        <w:tblStyle w:val="TableNormal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5"/>
        <w:gridCol w:w="2222"/>
        <w:gridCol w:w="1706"/>
        <w:gridCol w:w="1740"/>
        <w:gridCol w:w="2087"/>
      </w:tblGrid>
      <w:tr>
        <w:tblPrEx>
          <w:tblW w:w="91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 xml:space="preserve">Súčasná výška správneho poplatku v eurách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Predpokladaný príjem štátneho rozpočtu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Navrhovaná výška správneho poplatku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Predpokladaný príjem štátneho rozpočtu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Vplyv na rozpočet verejnej správy do roku 203</w:t>
            </w:r>
            <w:r w:rsidRPr="005B624B" w:rsidR="00311CF6">
              <w:rPr>
                <w:rFonts w:ascii="Times New Roman" w:hAnsi="Times New Roman"/>
                <w:b w:val="0"/>
                <w:szCs w:val="24"/>
                <w:lang w:val="sk-SK" w:eastAsia="sk-SK"/>
              </w:rPr>
              <w:t>2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 xml:space="preserve">6,50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EE1D59">
            <w:pPr>
              <w:pStyle w:val="BodyText"/>
              <w:bidi w:val="0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 xml:space="preserve">19 874 </w:t>
            </w:r>
            <w:r w:rsidRPr="005B624B" w:rsidR="00EE1D59">
              <w:rPr>
                <w:rFonts w:ascii="Times New Roman" w:hAnsi="Times New Roman"/>
                <w:b w:val="0"/>
                <w:szCs w:val="24"/>
                <w:lang w:val="sk-SK" w:eastAsia="sk-SK"/>
              </w:rPr>
              <w:t>5</w:t>
            </w: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3,00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EE1D59">
            <w:pPr>
              <w:pStyle w:val="BodyText"/>
              <w:bidi w:val="0"/>
              <w:ind w:left="360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 w:rsidR="00EE1D59">
              <w:rPr>
                <w:rFonts w:ascii="Times New Roman" w:hAnsi="Times New Roman"/>
                <w:b w:val="0"/>
                <w:szCs w:val="24"/>
                <w:lang w:val="sk-SK" w:eastAsia="sk-SK"/>
              </w:rPr>
              <w:t xml:space="preserve">9 </w:t>
            </w: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172 854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EE1D59">
            <w:pPr>
              <w:pStyle w:val="BodyText"/>
              <w:numPr>
                <w:numId w:val="4"/>
              </w:numPr>
              <w:bidi w:val="0"/>
              <w:ind w:left="0" w:firstLine="51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 xml:space="preserve">10 701 </w:t>
            </w:r>
            <w:r w:rsidRPr="005B624B" w:rsidR="00EE1D59">
              <w:rPr>
                <w:rFonts w:ascii="Times New Roman" w:hAnsi="Times New Roman"/>
                <w:b w:val="0"/>
                <w:szCs w:val="24"/>
                <w:lang w:val="sk-SK" w:eastAsia="sk-SK"/>
              </w:rPr>
              <w:t>6</w:t>
            </w: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63</w:t>
            </w:r>
          </w:p>
        </w:tc>
      </w:tr>
    </w:tbl>
    <w:p w:rsidR="00CA67D5" w:rsidRPr="00FF0FC2" w:rsidP="00CA67D5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</w:p>
    <w:p w:rsidR="00CA67D5" w:rsidRPr="00FF0FC2" w:rsidP="00CA67D5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  <w:r w:rsidRPr="00FF0FC2">
        <w:rPr>
          <w:rFonts w:ascii="Times New Roman" w:hAnsi="Times New Roman"/>
          <w:b w:val="0"/>
          <w:szCs w:val="24"/>
        </w:rPr>
        <w:tab/>
        <w:t>Návrh zákona predpokladá zachovať súčasnú výšku správneho poplatku za vydanie vodičského preukazu vo výške 6,50 eura. Vzhľ</w:t>
      </w:r>
      <w:r w:rsidRPr="00FF0FC2" w:rsidR="00311CF6">
        <w:rPr>
          <w:rFonts w:ascii="Times New Roman" w:hAnsi="Times New Roman"/>
          <w:b w:val="0"/>
          <w:szCs w:val="24"/>
        </w:rPr>
        <w:t>adom na termín platnosti súčasných</w:t>
      </w:r>
      <w:r w:rsidRPr="00FF0FC2">
        <w:rPr>
          <w:rFonts w:ascii="Times New Roman" w:hAnsi="Times New Roman"/>
          <w:b w:val="0"/>
          <w:szCs w:val="24"/>
        </w:rPr>
        <w:t xml:space="preserve"> vodičských preukazov do roku 2023, resp. až do roku 203</w:t>
      </w:r>
      <w:r w:rsidRPr="00FF0FC2" w:rsidR="00311CF6">
        <w:rPr>
          <w:rFonts w:ascii="Times New Roman" w:hAnsi="Times New Roman"/>
          <w:b w:val="0"/>
          <w:szCs w:val="24"/>
        </w:rPr>
        <w:t>2</w:t>
      </w:r>
      <w:r w:rsidRPr="00FF0FC2">
        <w:rPr>
          <w:rFonts w:ascii="Times New Roman" w:hAnsi="Times New Roman"/>
          <w:b w:val="0"/>
          <w:szCs w:val="24"/>
        </w:rPr>
        <w:t>, sa predpokladá, že občania nebudú v najbližších rokoch po začatí vydávania vodičských preukazov s obmedzenou dobou platnosti žiadať o výmenu týchto vodičských preukazov. To znamená, že od roku 2013 sa predpokladá obdobný pomer vydávania prvých a vymenených vodičských preukazov. Počty prvýkrát vydaných vodičských preukazov a vymenených vodičských preukazov v rokoch 2006 až 2009 sú uvedené v nasledujúcej tabuľke.</w:t>
      </w:r>
    </w:p>
    <w:p w:rsidR="00CA67D5" w:rsidRPr="00FF0FC2" w:rsidP="00CA67D5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 xml:space="preserve">Rok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Počet prvý krát vydaných VP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Počet vymenených VP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Celkom</w:t>
            </w:r>
          </w:p>
        </w:tc>
      </w:tr>
      <w:tr>
        <w:tblPrEx>
          <w:tblW w:w="0" w:type="auto"/>
          <w:tblLook w:val="04A0"/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2006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104 541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151 102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255 643</w:t>
            </w:r>
          </w:p>
        </w:tc>
      </w:tr>
      <w:tr>
        <w:tblPrEx>
          <w:tblW w:w="0" w:type="auto"/>
          <w:tblLook w:val="04A0"/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2007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119 880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100 734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220 614</w:t>
            </w:r>
          </w:p>
        </w:tc>
      </w:tr>
      <w:tr>
        <w:tblPrEx>
          <w:tblW w:w="0" w:type="auto"/>
          <w:tblLook w:val="04A0"/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2008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131 929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119 250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251 179</w:t>
            </w:r>
          </w:p>
        </w:tc>
      </w:tr>
      <w:tr>
        <w:tblPrEx>
          <w:tblW w:w="0" w:type="auto"/>
          <w:tblLook w:val="04A0"/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2009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88 784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140 224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229 008</w:t>
            </w:r>
          </w:p>
        </w:tc>
      </w:tr>
      <w:tr>
        <w:tblPrEx>
          <w:tblW w:w="0" w:type="auto"/>
          <w:tblLook w:val="04A0"/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2013 (predpoklad)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110 000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140 000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250 000</w:t>
            </w:r>
          </w:p>
        </w:tc>
      </w:tr>
    </w:tbl>
    <w:p w:rsidR="00CA67D5" w:rsidRPr="00FF0FC2" w:rsidP="00CA67D5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</w:p>
    <w:p w:rsidR="00CA67D5" w:rsidRPr="00FF0FC2" w:rsidP="00CA67D5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  <w:r w:rsidRPr="00FF0FC2">
        <w:rPr>
          <w:rFonts w:ascii="Times New Roman" w:hAnsi="Times New Roman"/>
          <w:b w:val="0"/>
          <w:szCs w:val="24"/>
        </w:rPr>
        <w:tab/>
        <w:t>Od roku 2013 pri navrhovanej výške správneho poplatku 3 eurá za výmenu vodičského preukazu (a so zachovaním výšky 6,50 eura za prvé vydanie vodičského preukazu) sa predpokladá každoročne nasledovný negatívny vplyv na príjem štátneho rozpočtu.</w:t>
      </w:r>
    </w:p>
    <w:p w:rsidR="00CA67D5" w:rsidRPr="00FF0FC2" w:rsidP="00CA67D5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</w:p>
    <w:tbl>
      <w:tblPr>
        <w:tblStyle w:val="TableNormal"/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5"/>
        <w:gridCol w:w="2222"/>
        <w:gridCol w:w="1946"/>
        <w:gridCol w:w="1740"/>
        <w:gridCol w:w="1982"/>
      </w:tblGrid>
      <w:tr>
        <w:tblPrEx>
          <w:tblW w:w="93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 xml:space="preserve">Súčasná výška správneho poplatku v eurách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Predpokladaný príjem štátneho rozpočtu od roku 2013 za prvý krát vydané VP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Navrhovaná výška správneho poplatku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Predpokladaný príjem štátneho rozpočtu od roku 2013 za vymenené VP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Predpokladaný príjem štátneho rozpočtu od roku 2013 za všetky VP</w:t>
            </w:r>
          </w:p>
        </w:tc>
      </w:tr>
      <w:tr>
        <w:tblPrEx>
          <w:tblW w:w="9315" w:type="dxa"/>
          <w:tblLayout w:type="fixed"/>
          <w:tblLook w:val="04A0"/>
        </w:tblPrEx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A67D5" w:rsidRPr="005B624B" w:rsidP="00D26A43">
            <w:pPr>
              <w:pStyle w:val="BodyText"/>
              <w:bidi w:val="0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6,50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A67D5" w:rsidRPr="005B624B" w:rsidP="00D26A43">
            <w:pPr>
              <w:pStyle w:val="BodyText"/>
              <w:bidi w:val="0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715 000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A67D5" w:rsidRPr="005B624B" w:rsidP="00D26A43">
            <w:pPr>
              <w:pStyle w:val="BodyText"/>
              <w:bidi w:val="0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A67D5" w:rsidRPr="005B624B" w:rsidP="00D26A43">
            <w:pPr>
              <w:pStyle w:val="BodyText"/>
              <w:bidi w:val="0"/>
              <w:ind w:left="72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910 000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A67D5" w:rsidRPr="005B624B" w:rsidP="00D26A43">
            <w:pPr>
              <w:pStyle w:val="BodyText"/>
              <w:bidi w:val="0"/>
              <w:ind w:left="51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1 625 000</w:t>
            </w:r>
          </w:p>
        </w:tc>
      </w:tr>
      <w:tr>
        <w:tblPrEx>
          <w:tblW w:w="9315" w:type="dxa"/>
          <w:tblLayout w:type="fixed"/>
          <w:tblLook w:val="04A0"/>
        </w:tblPrEx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 xml:space="preserve">6,50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715 000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3,00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ind w:left="720"/>
              <w:jc w:val="center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420 000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ind w:left="51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1 135 000</w:t>
            </w:r>
          </w:p>
        </w:tc>
      </w:tr>
      <w:tr>
        <w:tblPrEx>
          <w:tblW w:w="9315" w:type="dxa"/>
          <w:tblLayout w:type="fixed"/>
          <w:tblLook w:val="04A0"/>
        </w:tblPrEx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D26A43">
            <w:pPr>
              <w:pStyle w:val="BodyText"/>
              <w:bidi w:val="0"/>
              <w:ind w:left="720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Každoročný vplyv na rozpočet verejnej správy od roku 2013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A67D5" w:rsidRPr="005B624B" w:rsidP="00CA67D5">
            <w:pPr>
              <w:pStyle w:val="BodyText"/>
              <w:numPr>
                <w:numId w:val="4"/>
              </w:numPr>
              <w:bidi w:val="0"/>
              <w:ind w:left="0" w:firstLine="51"/>
              <w:jc w:val="right"/>
              <w:rPr>
                <w:rFonts w:ascii="Times New Roman" w:hAnsi="Times New Roman"/>
                <w:b w:val="0"/>
                <w:szCs w:val="24"/>
                <w:lang w:val="sk-SK" w:eastAsia="sk-SK"/>
              </w:rPr>
            </w:pPr>
            <w:r w:rsidRPr="005B624B">
              <w:rPr>
                <w:rFonts w:ascii="Times New Roman" w:hAnsi="Times New Roman"/>
                <w:b w:val="0"/>
                <w:szCs w:val="24"/>
                <w:lang w:val="sk-SK" w:eastAsia="sk-SK"/>
              </w:rPr>
              <w:t>490 000</w:t>
            </w:r>
          </w:p>
        </w:tc>
      </w:tr>
    </w:tbl>
    <w:p w:rsidR="00CA67D5" w:rsidRPr="00FF0FC2" w:rsidP="00CA67D5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</w:p>
    <w:p w:rsidR="00875AFE" w:rsidRPr="00FF0FC2" w:rsidP="00875AFE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  <w:r w:rsidRPr="00FF0FC2" w:rsidR="00CA67D5">
        <w:rPr>
          <w:rFonts w:ascii="Times New Roman" w:hAnsi="Times New Roman"/>
          <w:b w:val="0"/>
          <w:szCs w:val="24"/>
        </w:rPr>
        <w:tab/>
      </w:r>
      <w:r w:rsidRPr="00FF0FC2">
        <w:rPr>
          <w:rFonts w:ascii="Times New Roman" w:hAnsi="Times New Roman"/>
          <w:b w:val="0"/>
          <w:szCs w:val="24"/>
        </w:rPr>
        <w:t>Návrh zákona zároveň ustanovuje nový správny poplatok za doručenie osvedčenia o evidencii časti I na určenú adresu určenú prevádzkovateľom vozidla vo výške 3 eurá. Od 1.</w:t>
      </w:r>
      <w:r w:rsidRPr="00FF0FC2" w:rsidR="004F4055">
        <w:rPr>
          <w:rFonts w:ascii="Times New Roman" w:hAnsi="Times New Roman"/>
          <w:b w:val="0"/>
          <w:szCs w:val="24"/>
        </w:rPr>
        <w:t xml:space="preserve"> </w:t>
      </w:r>
      <w:r w:rsidRPr="00FF0FC2">
        <w:rPr>
          <w:rFonts w:ascii="Times New Roman" w:hAnsi="Times New Roman"/>
          <w:b w:val="0"/>
          <w:szCs w:val="24"/>
        </w:rPr>
        <w:t>6.</w:t>
      </w:r>
      <w:r w:rsidRPr="00FF0FC2" w:rsidR="004F4055">
        <w:rPr>
          <w:rFonts w:ascii="Times New Roman" w:hAnsi="Times New Roman"/>
          <w:b w:val="0"/>
          <w:szCs w:val="24"/>
        </w:rPr>
        <w:t xml:space="preserve"> </w:t>
      </w:r>
      <w:r w:rsidRPr="00FF0FC2">
        <w:rPr>
          <w:rFonts w:ascii="Times New Roman" w:hAnsi="Times New Roman"/>
          <w:b w:val="0"/>
          <w:szCs w:val="24"/>
        </w:rPr>
        <w:t xml:space="preserve">2010 je priemerný mesačný počet vydaných osvedčení o evidencii časť I cca 45 000. Z uvedeného počtu sa predpokladá 80 </w:t>
      </w:r>
      <w:bookmarkStart w:id="1" w:name="_GoBack"/>
      <w:bookmarkEnd w:id="1"/>
      <w:r w:rsidRPr="00FF0FC2">
        <w:rPr>
          <w:rFonts w:ascii="Times New Roman" w:hAnsi="Times New Roman"/>
          <w:b w:val="0"/>
          <w:szCs w:val="24"/>
        </w:rPr>
        <w:t>% doručovaných na adresu určenú držiteľom vozidla. Pri zachovaní takýchto údajov sa predpokladá ročný príjem štátneho rozpočtu za doručenie osvedčenia o evidencii časti I na určenú adresu určenú prevádzkovateľom vozidla vo výške 1 296 000 eur, z toho v roku 20</w:t>
      </w:r>
      <w:r w:rsidRPr="00FF0FC2" w:rsidR="004F4055">
        <w:rPr>
          <w:rFonts w:ascii="Times New Roman" w:hAnsi="Times New Roman"/>
          <w:b w:val="0"/>
          <w:szCs w:val="24"/>
        </w:rPr>
        <w:t>1</w:t>
      </w:r>
      <w:r w:rsidRPr="00FF0FC2">
        <w:rPr>
          <w:rFonts w:ascii="Times New Roman" w:hAnsi="Times New Roman"/>
          <w:b w:val="0"/>
          <w:szCs w:val="24"/>
        </w:rPr>
        <w:t>1 od 1.</w:t>
      </w:r>
      <w:r w:rsidRPr="00FF0FC2" w:rsidR="004F4055">
        <w:rPr>
          <w:rFonts w:ascii="Times New Roman" w:hAnsi="Times New Roman"/>
          <w:b w:val="0"/>
          <w:szCs w:val="24"/>
        </w:rPr>
        <w:t xml:space="preserve"> </w:t>
      </w:r>
      <w:r w:rsidRPr="00FF0FC2">
        <w:rPr>
          <w:rFonts w:ascii="Times New Roman" w:hAnsi="Times New Roman"/>
          <w:b w:val="0"/>
          <w:szCs w:val="24"/>
        </w:rPr>
        <w:t>5.</w:t>
      </w:r>
      <w:r w:rsidRPr="00FF0FC2" w:rsidR="004F4055">
        <w:rPr>
          <w:rFonts w:ascii="Times New Roman" w:hAnsi="Times New Roman"/>
          <w:b w:val="0"/>
          <w:szCs w:val="24"/>
        </w:rPr>
        <w:t xml:space="preserve"> </w:t>
      </w:r>
      <w:r w:rsidRPr="00FF0FC2">
        <w:rPr>
          <w:rFonts w:ascii="Times New Roman" w:hAnsi="Times New Roman"/>
          <w:b w:val="0"/>
          <w:szCs w:val="24"/>
        </w:rPr>
        <w:t xml:space="preserve">2011 vo výške 864 000 eur. </w:t>
      </w:r>
      <w:r w:rsidRPr="00FF0FC2" w:rsidR="00D5478A">
        <w:rPr>
          <w:rFonts w:ascii="Times New Roman" w:hAnsi="Times New Roman"/>
          <w:b w:val="0"/>
          <w:szCs w:val="24"/>
        </w:rPr>
        <w:t>V roku 2013 sa predpokladá vplyv novely zákona na štátny rozpočet vo výške príjmu z vybraných správnych poplatkov za doručenie osvedčenia o evidencii vo výške 1 296 000 eur znížený o nižší výber správnych poplatkov za vydanie vodičských preukazov vo výške 490 000 eur, t. j. celkovo príjem štátneho rozpočtu 806 000 eur.</w:t>
      </w:r>
    </w:p>
    <w:p w:rsidR="00E62BFE" w:rsidRPr="00FF0FC2" w:rsidP="00875AFE">
      <w:pPr>
        <w:pStyle w:val="BodyText"/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E62BFE" w:rsidRPr="00FF0FC2" w:rsidP="00E62B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E62BFE" w:rsidRPr="00FF0FC2" w:rsidP="00E62B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E62BFE" w:rsidRPr="00FF0FC2" w:rsidP="00E62B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E62BFE" w:rsidRPr="00FF0FC2" w:rsidP="00E62BFE">
      <w:pPr>
        <w:bidi w:val="0"/>
        <w:rPr>
          <w:rFonts w:ascii="Times New Roman" w:hAnsi="Times New Roman"/>
          <w:bCs/>
        </w:rPr>
        <w:sectPr w:rsidSect="00464FA9">
          <w:footerReference w:type="even" r:id="rId4"/>
          <w:footerReference w:type="default" r:id="rId5"/>
          <w:pgSz w:w="11906" w:h="16838"/>
          <w:pgMar w:top="1418" w:right="1418" w:bottom="1418" w:left="1418" w:header="709" w:footer="709" w:gutter="0"/>
          <w:lnNumType w:distance="0"/>
          <w:pgNumType w:start="492"/>
          <w:cols w:space="708"/>
          <w:noEndnote w:val="0"/>
          <w:bidi w:val="0"/>
        </w:sectPr>
      </w:pPr>
    </w:p>
    <w:p w:rsidR="00E62BFE" w:rsidRPr="00FF0FC2" w:rsidP="00E62BFE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FF0FC2">
        <w:rPr>
          <w:rFonts w:ascii="Times New Roman" w:hAnsi="Times New Roman"/>
          <w:b w:val="0"/>
          <w:bCs/>
          <w:szCs w:val="24"/>
        </w:rPr>
        <w:t xml:space="preserve">Tabuľka č. 4 </w:t>
      </w:r>
    </w:p>
    <w:p w:rsidR="00E62BFE" w:rsidRPr="00FF0FC2" w:rsidP="00E62B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tbl>
      <w:tblPr>
        <w:tblStyle w:val="TableNormal"/>
        <w:tblpPr w:leftFromText="141" w:rightFromText="141" w:horzAnchor="margin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 xml:space="preserve">Príjmy (v </w:t>
            </w:r>
            <w:r w:rsidRPr="00FF0FC2" w:rsidR="00A42685">
              <w:rPr>
                <w:rFonts w:ascii="Times New Roman" w:hAnsi="Times New Roman"/>
                <w:b/>
                <w:bCs/>
                <w:color w:val="FFFFFF"/>
              </w:rPr>
              <w:t>eurách</w:t>
            </w:r>
            <w:r w:rsidRPr="00FF0FC2">
              <w:rPr>
                <w:rFonts w:ascii="Times New Roman" w:hAnsi="Times New Roman"/>
                <w:b/>
                <w:bCs/>
                <w:color w:val="FFFFFF"/>
              </w:rPr>
              <w:t>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 w:rsidR="00C60FFD"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 w:rsidR="00C60FFD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 w:rsidR="00C60FFD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vertAlign w:val="superscript"/>
              </w:rPr>
            </w:pPr>
            <w:r w:rsidRPr="00FF0FC2">
              <w:rPr>
                <w:rFonts w:ascii="Times New Roman" w:hAnsi="Times New Roman"/>
                <w:b/>
                <w:bCs/>
              </w:rPr>
              <w:t>Daňové príjmy (100)</w:t>
            </w:r>
            <w:r w:rsidRPr="00FF0FC2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0C9" w:rsidRPr="00FF0FC2" w:rsidP="00E62BFE">
            <w:pPr>
              <w:bidi w:val="0"/>
              <w:rPr>
                <w:rFonts w:ascii="Times New Roman" w:hAnsi="Times New Roman"/>
                <w:b/>
                <w:bCs/>
                <w:vertAlign w:val="superscript"/>
              </w:rPr>
            </w:pPr>
            <w:r w:rsidRPr="00FF0FC2" w:rsidR="00E62BFE">
              <w:rPr>
                <w:rFonts w:ascii="Times New Roman" w:hAnsi="Times New Roman"/>
                <w:b/>
                <w:bCs/>
              </w:rPr>
              <w:t>Nedaňové príjmy (200)</w:t>
            </w:r>
            <w:r w:rsidRPr="00FF0FC2" w:rsidR="00E62BFE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0C9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="003C3FF6">
              <w:rPr>
                <w:rFonts w:ascii="Times New Roman" w:hAnsi="Times New Roman"/>
                <w:b/>
                <w:bCs/>
              </w:rPr>
              <w:t>Administratívne poplatky (</w:t>
            </w:r>
            <w:r w:rsidRPr="00FF0FC2">
              <w:rPr>
                <w:rFonts w:ascii="Times New Roman" w:hAnsi="Times New Roman"/>
                <w:b/>
                <w:bCs/>
              </w:rPr>
              <w:t>221</w:t>
            </w:r>
            <w:r w:rsidR="003C3FF6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0C9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0C9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864 000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0C9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1 296 000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0C9" w:rsidRPr="00FF0FC2" w:rsidP="006770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806 000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770C9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Granty a transfery (300)</w:t>
            </w:r>
            <w:r w:rsidRPr="00FF0FC2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  <w:color w:val="FFFFFF"/>
              </w:rPr>
            </w:pPr>
            <w:r w:rsidRPr="00FF0FC2">
              <w:rPr>
                <w:rFonts w:ascii="Times New Roman" w:hAnsi="Times New Roman"/>
                <w:color w:val="FFFFFF"/>
              </w:rPr>
              <w:t> </w:t>
            </w:r>
          </w:p>
        </w:tc>
      </w:tr>
    </w:tbl>
    <w:p w:rsidR="00E62BFE" w:rsidRPr="00FF0FC2" w:rsidP="00E62B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  <w:r w:rsidRPr="00FF0FC2">
        <w:rPr>
          <w:rFonts w:ascii="Times New Roman" w:hAnsi="Times New Roman"/>
          <w:b w:val="0"/>
          <w:bCs/>
          <w:szCs w:val="24"/>
        </w:rPr>
        <w:t>1 –  príjmy rozpísať až do položiek platnej ekonomickej klasifikácie</w:t>
      </w:r>
    </w:p>
    <w:p w:rsidR="00E62BFE" w:rsidRPr="00FF0FC2" w:rsidP="00E62BFE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  <w:r w:rsidRPr="00FF0FC2">
        <w:rPr>
          <w:rFonts w:ascii="Times New Roman" w:hAnsi="Times New Roman"/>
          <w:b w:val="0"/>
          <w:bCs/>
          <w:szCs w:val="24"/>
        </w:rPr>
        <w:t xml:space="preserve"> Tabuľka č. 5 </w:t>
      </w:r>
    </w:p>
    <w:p w:rsidR="00E62BFE" w:rsidRPr="00FF0FC2" w:rsidP="00E62B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tbl>
      <w:tblPr>
        <w:tblStyle w:val="TableNormal"/>
        <w:tblpPr w:leftFromText="141" w:rightFromText="141" w:vertAnchor="text" w:horzAnchor="margin" w:tblpY="2"/>
        <w:tblW w:w="1501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1780"/>
      </w:tblGrid>
      <w:tr>
        <w:tblPrEx>
          <w:tblW w:w="1501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Výdavky (v</w:t>
            </w:r>
            <w:r w:rsidRPr="00FF0FC2" w:rsidR="00A42685">
              <w:rPr>
                <w:rFonts w:ascii="Times New Roman" w:hAnsi="Times New Roman"/>
                <w:b/>
                <w:bCs/>
                <w:color w:val="FFFFFF"/>
              </w:rPr>
              <w:t xml:space="preserve"> eurách</w:t>
            </w:r>
            <w:r w:rsidRPr="00FF0FC2">
              <w:rPr>
                <w:rFonts w:ascii="Times New Roman" w:hAnsi="Times New Roman"/>
                <w:b/>
                <w:bCs/>
                <w:color w:val="FFFFFF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FF0FC2"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FF0FC2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FF0FC2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="003C3FF6">
              <w:rPr>
                <w:rFonts w:ascii="Times New Roman" w:hAnsi="Times New Roman"/>
                <w:b/>
                <w:bCs/>
              </w:rPr>
              <w:t>180 880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vertAlign w:val="superscript"/>
              </w:rPr>
            </w:pPr>
            <w:r w:rsidRPr="00FF0FC2">
              <w:rPr>
                <w:rFonts w:ascii="Times New Roman" w:hAnsi="Times New Roman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vertAlign w:val="superscript"/>
              </w:rPr>
            </w:pPr>
            <w:r w:rsidRPr="00FF0FC2">
              <w:rPr>
                <w:rFonts w:ascii="Times New Roman" w:hAnsi="Times New Roman"/>
              </w:rPr>
              <w:t xml:space="preserve">  Tovary a služby (630)</w:t>
            </w:r>
            <w:r w:rsidRPr="00FF0FC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="003C3FF6">
              <w:rPr>
                <w:rFonts w:ascii="Times New Roman" w:hAnsi="Times New Roman"/>
              </w:rPr>
              <w:t>180 880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7C5683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 Bežné transfery (640)</w:t>
            </w:r>
            <w:r w:rsidRPr="00FF0FC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 Splácanie úrokov a ostatné platby súvisiace s úvermi, pôžičkami a NFV (650)</w:t>
            </w:r>
            <w:r w:rsidRPr="00FF0FC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 Obstarávanie kapitálových aktív (710)</w:t>
            </w:r>
            <w:r w:rsidRPr="00FF0FC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 Kapitálové transfery (720)</w:t>
            </w:r>
            <w:r w:rsidRPr="00FF0FC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3C3FF6">
              <w:rPr>
                <w:rFonts w:ascii="Times New Roman" w:hAnsi="Times New Roman"/>
                <w:b/>
                <w:bCs/>
                <w:color w:val="FFFFFF"/>
              </w:rPr>
              <w:t>180 880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  <w:color w:val="FFFFFF"/>
              </w:rPr>
            </w:pPr>
            <w:r w:rsidRPr="00FF0FC2">
              <w:rPr>
                <w:rFonts w:ascii="Times New Roman" w:hAnsi="Times New Roman"/>
                <w:color w:val="FFFFFF"/>
              </w:rPr>
              <w:t> </w:t>
            </w:r>
          </w:p>
        </w:tc>
      </w:tr>
    </w:tbl>
    <w:p w:rsidR="00E62BFE" w:rsidRPr="00FF0FC2" w:rsidP="00E62B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  <w:r w:rsidRPr="00FF0FC2">
        <w:rPr>
          <w:rFonts w:ascii="Times New Roman" w:hAnsi="Times New Roman"/>
          <w:b w:val="0"/>
          <w:bCs/>
          <w:szCs w:val="24"/>
        </w:rPr>
        <w:t>2 –  výdavky rozpísať až do položiek platnej ekonomickej klasifikácie</w:t>
      </w:r>
    </w:p>
    <w:p w:rsidR="00E62BFE" w:rsidRPr="00FF0FC2" w:rsidP="00E9670C">
      <w:pPr>
        <w:pStyle w:val="BodyText"/>
        <w:tabs>
          <w:tab w:val="num" w:pos="1080"/>
        </w:tabs>
        <w:bidi w:val="0"/>
        <w:rPr>
          <w:rFonts w:ascii="Times New Roman" w:hAnsi="Times New Roman"/>
          <w:b w:val="0"/>
          <w:bCs/>
          <w:szCs w:val="24"/>
        </w:rPr>
      </w:pPr>
      <w:r w:rsidRPr="00FF0FC2" w:rsidR="00E9670C">
        <w:rPr>
          <w:rFonts w:ascii="Times New Roman" w:hAnsi="Times New Roman"/>
          <w:b w:val="0"/>
          <w:bCs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F0FC2">
        <w:rPr>
          <w:rFonts w:ascii="Times New Roman" w:hAnsi="Times New Roman"/>
          <w:b w:val="0"/>
          <w:bCs/>
          <w:szCs w:val="24"/>
        </w:rPr>
        <w:t xml:space="preserve">                 Tabuľka č. 6 </w:t>
      </w:r>
    </w:p>
    <w:p w:rsidR="00E62BFE" w:rsidRPr="00FF0FC2" w:rsidP="00E62B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E62BFE" w:rsidRPr="00FF0FC2" w:rsidP="00E62B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FF0FC2"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FF0FC2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FF0FC2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Počet zamestnancov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142942">
            <w:pPr>
              <w:bidi w:val="0"/>
              <w:ind w:left="244" w:hanging="244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štátna služba</w:t>
            </w:r>
            <w:r w:rsidRPr="00FF0FC2" w:rsidR="00394F5D">
              <w:rPr>
                <w:rFonts w:ascii="Times New Roman" w:hAnsi="Times New Roman"/>
              </w:rPr>
              <w:t xml:space="preserve"> (</w:t>
            </w:r>
            <w:r w:rsidRPr="00FF0FC2" w:rsidR="0002328B">
              <w:rPr>
                <w:rFonts w:ascii="Times New Roman" w:hAnsi="Times New Roman"/>
              </w:rPr>
              <w:t>príslušníci Policajného zboru</w:t>
            </w:r>
            <w:r w:rsidRPr="00FF0FC2" w:rsidR="00394F5D">
              <w:rPr>
                <w:rFonts w:ascii="Times New Roman" w:hAnsi="Times New Roman"/>
              </w:rPr>
              <w:t>, štátna služba, hasiči)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zamestnanci pri výkone práce vo verejnom záujme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iné skupiny zamestnancov (špecifikovať)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 xml:space="preserve">Priemerný mzdový výdavok (v </w:t>
            </w:r>
            <w:r w:rsidRPr="00FF0FC2" w:rsidR="00142942">
              <w:rPr>
                <w:rFonts w:ascii="Times New Roman" w:hAnsi="Times New Roman"/>
                <w:b/>
                <w:bCs/>
              </w:rPr>
              <w:t>eurách</w:t>
            </w:r>
            <w:r w:rsidRPr="00FF0FC2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štátna služba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zamestnanci vo verejnom záujme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iné skupiny zamestnancov (špecifikovať)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 xml:space="preserve">Osobné výdavky celkom (v </w:t>
            </w:r>
            <w:r w:rsidRPr="00FF0FC2" w:rsidR="005C7EC5">
              <w:rPr>
                <w:rFonts w:ascii="Times New Roman" w:hAnsi="Times New Roman"/>
                <w:b/>
                <w:bCs/>
                <w:color w:val="FFFFFF"/>
              </w:rPr>
              <w:t>eurách</w:t>
            </w:r>
            <w:r w:rsidRPr="00FF0FC2">
              <w:rPr>
                <w:rFonts w:ascii="Times New Roman" w:hAnsi="Times New Roman"/>
                <w:b/>
                <w:bCs/>
                <w:color w:val="FFFFFF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FF0FC2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štátna služba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zamestnanci vo verejnom záujme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iné skupiny zamestnancov (špecifikovať)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štátna služba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zamestnanci vo verejnom záujme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 - iné skupiny zamestnancov (špecifikovať)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F0FC2"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  <w:r w:rsidRPr="00FF0FC2" w:rsidR="005C7EC5"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43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 xml:space="preserve">Poistné tvorí podiel mzdových výdavkov, pričom za organizácie v pôsobnosti kapitol štátneho rozpočtu štátna služba a odmeňovanie zamestnancov pri výkone                                 práce vo verejnom záujme predstavuje  34,95 %,  pre </w:t>
            </w:r>
            <w:r w:rsidRPr="00FF0FC2" w:rsidR="005C7EC5">
              <w:rPr>
                <w:rFonts w:ascii="Times New Roman" w:hAnsi="Times New Roman"/>
              </w:rPr>
              <w:t>príslušníkov Policajného</w:t>
            </w:r>
            <w:r w:rsidRPr="00FF0FC2" w:rsidR="00F42D74">
              <w:rPr>
                <w:rFonts w:ascii="Times New Roman" w:hAnsi="Times New Roman"/>
              </w:rPr>
              <w:t xml:space="preserve"> </w:t>
            </w:r>
            <w:r w:rsidRPr="00FF0FC2" w:rsidR="005C7EC5">
              <w:rPr>
                <w:rFonts w:ascii="Times New Roman" w:hAnsi="Times New Roman"/>
              </w:rPr>
              <w:t>zboru</w:t>
            </w:r>
            <w:r w:rsidRPr="00FF0FC2">
              <w:rPr>
                <w:rFonts w:ascii="Times New Roman" w:hAnsi="Times New Roman"/>
              </w:rPr>
              <w:t>, profesionálnych voja</w:t>
            </w:r>
            <w:r w:rsidRPr="00FF0FC2" w:rsidR="00D802E1">
              <w:rPr>
                <w:rFonts w:ascii="Times New Roman" w:hAnsi="Times New Roman"/>
              </w:rPr>
              <w:t>kov, colníkov, hasičov vrátane H</w:t>
            </w:r>
            <w:r w:rsidRPr="00FF0FC2">
              <w:rPr>
                <w:rFonts w:ascii="Times New Roman" w:hAnsi="Times New Roman"/>
              </w:rPr>
              <w:t>orskej záchrannej služby predstavuje 33,2 %.  Pre ostatné subjekty verejnej správy poistné tvorí podiel zodpovedajúci  35,2 %.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  <w:r w:rsidRPr="00FF0FC2"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  <w:r w:rsidRPr="00FF0FC2" w:rsidR="00BE104A">
              <w:rPr>
                <w:rFonts w:ascii="Times New Roman" w:hAnsi="Times New Roman"/>
              </w:rPr>
              <w:t>.</w:t>
            </w:r>
          </w:p>
        </w:tc>
        <w:tc>
          <w:tcPr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E62BFE" w:rsidRPr="00FF0FC2" w:rsidP="00E62BFE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2B194C" w:rsidRPr="00FF0FC2" w:rsidP="003C3FF6">
      <w:pPr>
        <w:bidi w:val="0"/>
        <w:rPr>
          <w:rFonts w:ascii="Times New Roman" w:hAnsi="Times New Roman"/>
        </w:rPr>
      </w:pPr>
    </w:p>
    <w:sectPr w:rsidSect="00DB6E50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B4" w:rsidP="00DB6E5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781FB4" w:rsidP="00E62B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B4" w:rsidP="00E62B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37B5"/>
    <w:multiLevelType w:val="hybridMultilevel"/>
    <w:tmpl w:val="85D0F58E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763DF"/>
    <w:multiLevelType w:val="hybridMultilevel"/>
    <w:tmpl w:val="B94C134E"/>
    <w:lvl w:ilvl="0">
      <w:start w:val="9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24BD4"/>
    <w:multiLevelType w:val="hybridMultilevel"/>
    <w:tmpl w:val="9412002E"/>
    <w:lvl w:ilvl="0">
      <w:start w:val="8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F60B3"/>
    <w:multiLevelType w:val="hybridMultilevel"/>
    <w:tmpl w:val="D5CEE5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62BFE"/>
    <w:rsid w:val="0002328B"/>
    <w:rsid w:val="00026A4A"/>
    <w:rsid w:val="00080C23"/>
    <w:rsid w:val="00092ECA"/>
    <w:rsid w:val="000A0892"/>
    <w:rsid w:val="00102BA2"/>
    <w:rsid w:val="00117D54"/>
    <w:rsid w:val="001361A1"/>
    <w:rsid w:val="00142942"/>
    <w:rsid w:val="001839FE"/>
    <w:rsid w:val="001D4BA1"/>
    <w:rsid w:val="00205672"/>
    <w:rsid w:val="00216CAB"/>
    <w:rsid w:val="002310E7"/>
    <w:rsid w:val="00242A3B"/>
    <w:rsid w:val="00295C8E"/>
    <w:rsid w:val="002971F3"/>
    <w:rsid w:val="002A6CAA"/>
    <w:rsid w:val="002B194C"/>
    <w:rsid w:val="002D5CA6"/>
    <w:rsid w:val="002F1ACF"/>
    <w:rsid w:val="00311CF6"/>
    <w:rsid w:val="00340A47"/>
    <w:rsid w:val="00341015"/>
    <w:rsid w:val="003421A4"/>
    <w:rsid w:val="00352B7D"/>
    <w:rsid w:val="00394F5D"/>
    <w:rsid w:val="003B46C0"/>
    <w:rsid w:val="003C05E2"/>
    <w:rsid w:val="003C3FF6"/>
    <w:rsid w:val="003E76D2"/>
    <w:rsid w:val="00450411"/>
    <w:rsid w:val="00455723"/>
    <w:rsid w:val="00456EA9"/>
    <w:rsid w:val="00464FA9"/>
    <w:rsid w:val="004D3AE5"/>
    <w:rsid w:val="004E429A"/>
    <w:rsid w:val="004F39C0"/>
    <w:rsid w:val="004F4055"/>
    <w:rsid w:val="005077E2"/>
    <w:rsid w:val="0057104C"/>
    <w:rsid w:val="005861F6"/>
    <w:rsid w:val="00592392"/>
    <w:rsid w:val="005B4161"/>
    <w:rsid w:val="005B624B"/>
    <w:rsid w:val="005C7EC5"/>
    <w:rsid w:val="005F05D8"/>
    <w:rsid w:val="005F4D73"/>
    <w:rsid w:val="006770C9"/>
    <w:rsid w:val="00690C41"/>
    <w:rsid w:val="006C2CB3"/>
    <w:rsid w:val="006D53B7"/>
    <w:rsid w:val="0074243A"/>
    <w:rsid w:val="00742BD4"/>
    <w:rsid w:val="007602D3"/>
    <w:rsid w:val="00781FB4"/>
    <w:rsid w:val="0078487E"/>
    <w:rsid w:val="00784E55"/>
    <w:rsid w:val="007C2C36"/>
    <w:rsid w:val="007C5683"/>
    <w:rsid w:val="007D64FA"/>
    <w:rsid w:val="007F601B"/>
    <w:rsid w:val="00875481"/>
    <w:rsid w:val="00875AFE"/>
    <w:rsid w:val="008825AE"/>
    <w:rsid w:val="009813A8"/>
    <w:rsid w:val="009B46E8"/>
    <w:rsid w:val="00A200BA"/>
    <w:rsid w:val="00A235A9"/>
    <w:rsid w:val="00A236BC"/>
    <w:rsid w:val="00A346A9"/>
    <w:rsid w:val="00A42685"/>
    <w:rsid w:val="00A55825"/>
    <w:rsid w:val="00AB1C52"/>
    <w:rsid w:val="00AC1C59"/>
    <w:rsid w:val="00AE7E63"/>
    <w:rsid w:val="00BA0ECF"/>
    <w:rsid w:val="00BB0DE3"/>
    <w:rsid w:val="00BE104A"/>
    <w:rsid w:val="00C60FFD"/>
    <w:rsid w:val="00C72760"/>
    <w:rsid w:val="00C80A53"/>
    <w:rsid w:val="00CA67D5"/>
    <w:rsid w:val="00CC4D7A"/>
    <w:rsid w:val="00CD3B30"/>
    <w:rsid w:val="00CE6BAC"/>
    <w:rsid w:val="00CF2828"/>
    <w:rsid w:val="00D064F4"/>
    <w:rsid w:val="00D166B5"/>
    <w:rsid w:val="00D26A43"/>
    <w:rsid w:val="00D303E4"/>
    <w:rsid w:val="00D327D5"/>
    <w:rsid w:val="00D5478A"/>
    <w:rsid w:val="00D802E1"/>
    <w:rsid w:val="00DA7F70"/>
    <w:rsid w:val="00DB6E50"/>
    <w:rsid w:val="00DB7CD2"/>
    <w:rsid w:val="00DD2EAA"/>
    <w:rsid w:val="00E62BFE"/>
    <w:rsid w:val="00E72472"/>
    <w:rsid w:val="00E8474A"/>
    <w:rsid w:val="00E9670C"/>
    <w:rsid w:val="00E97285"/>
    <w:rsid w:val="00EE1D59"/>
    <w:rsid w:val="00EF6FB6"/>
    <w:rsid w:val="00F011CE"/>
    <w:rsid w:val="00F06530"/>
    <w:rsid w:val="00F42D74"/>
    <w:rsid w:val="00F628E3"/>
    <w:rsid w:val="00F668A7"/>
    <w:rsid w:val="00F75608"/>
    <w:rsid w:val="00F951D7"/>
    <w:rsid w:val="00FB04FA"/>
    <w:rsid w:val="00FF0FC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62BF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2BFE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rsid w:val="00E62BFE"/>
    <w:pPr>
      <w:jc w:val="left"/>
    </w:pPr>
    <w:rPr>
      <w:b/>
      <w:szCs w:val="20"/>
    </w:rPr>
  </w:style>
  <w:style w:type="paragraph" w:customStyle="1" w:styleId="BodyText21">
    <w:name w:val="Body Text 21"/>
    <w:basedOn w:val="Normal"/>
    <w:rsid w:val="00E62BFE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Header">
    <w:name w:val="header"/>
    <w:basedOn w:val="Normal"/>
    <w:rsid w:val="005B4161"/>
    <w:pPr>
      <w:tabs>
        <w:tab w:val="center" w:pos="4536"/>
        <w:tab w:val="right" w:pos="9072"/>
      </w:tabs>
      <w:jc w:val="left"/>
    </w:pPr>
  </w:style>
  <w:style w:type="paragraph" w:customStyle="1" w:styleId="CharCharCharCharCharCharCharChar">
    <w:name w:val="Char Char Char Char Char Char Char Char"/>
    <w:basedOn w:val="Normal"/>
    <w:next w:val="Normal"/>
    <w:rsid w:val="005B4161"/>
    <w:pPr>
      <w:spacing w:after="160" w:line="240" w:lineRule="exact"/>
      <w:jc w:val="left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">
    <w:name w:val="Základný text Char"/>
    <w:link w:val="BodyText"/>
    <w:locked/>
    <w:rsid w:val="00CA67D5"/>
    <w:rPr>
      <w:b/>
      <w:sz w:val="24"/>
    </w:rPr>
  </w:style>
  <w:style w:type="character" w:styleId="PlaceholderText">
    <w:name w:val="Placeholder Text"/>
    <w:uiPriority w:val="99"/>
    <w:semiHidden/>
    <w:rsid w:val="00C72760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9239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592392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1392</Words>
  <Characters>7715</Characters>
  <Application>Microsoft Office Word</Application>
  <DocSecurity>0</DocSecurity>
  <Lines>0</Lines>
  <Paragraphs>0</Paragraphs>
  <ScaleCrop>false</ScaleCrop>
  <Company>MVSR</Company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natasa.wiedemannova</dc:creator>
  <cp:lastModifiedBy>GaspJarm</cp:lastModifiedBy>
  <cp:revision>2</cp:revision>
  <cp:lastPrinted>2010-11-19T09:06:00Z</cp:lastPrinted>
  <dcterms:created xsi:type="dcterms:W3CDTF">2010-12-06T14:54:00Z</dcterms:created>
  <dcterms:modified xsi:type="dcterms:W3CDTF">2010-12-06T14:54:00Z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