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007A5C" w:rsidP="005242C8">
      <w:pPr>
        <w:pStyle w:val="Heading1"/>
        <w:spacing w:line="240" w:lineRule="auto"/>
        <w:ind w:firstLine="540"/>
        <w:rPr>
          <w:rFonts w:ascii="Arial" w:hAnsi="Arial" w:cs="Arial"/>
          <w:b w:val="0"/>
          <w:bCs/>
          <w:i/>
          <w:iCs/>
        </w:rPr>
      </w:pPr>
      <w:r w:rsidRPr="00007A5C">
        <w:rPr>
          <w:rFonts w:ascii="Arial" w:hAnsi="Arial" w:cs="Arial"/>
          <w:b w:val="0"/>
          <w:bCs/>
          <w:i/>
          <w:iCs/>
        </w:rPr>
        <w:t xml:space="preserve">              Výbor</w:t>
      </w:r>
    </w:p>
    <w:p w:rsidR="005242C8" w:rsidRPr="00007A5C" w:rsidP="005242C8">
      <w:pPr>
        <w:jc w:val="both"/>
        <w:rPr>
          <w:rFonts w:ascii="Arial" w:hAnsi="Arial" w:cs="Arial"/>
          <w:i/>
        </w:rPr>
      </w:pPr>
      <w:r w:rsidRPr="00007A5C">
        <w:rPr>
          <w:rFonts w:ascii="Arial" w:hAnsi="Arial" w:cs="Arial"/>
          <w:i/>
        </w:rPr>
        <w:t xml:space="preserve"> Národnej rady Slovenskej republiky</w:t>
      </w:r>
    </w:p>
    <w:p w:rsidR="005242C8" w:rsidRPr="00007A5C" w:rsidP="005242C8">
      <w:pPr>
        <w:jc w:val="both"/>
        <w:rPr>
          <w:rFonts w:ascii="Arial" w:hAnsi="Arial" w:cs="Arial"/>
        </w:rPr>
      </w:pPr>
      <w:r w:rsidRPr="00007A5C">
        <w:rPr>
          <w:rFonts w:ascii="Arial" w:hAnsi="Arial" w:cs="Arial"/>
          <w:i/>
        </w:rPr>
        <w:t xml:space="preserve">pre hospodárstvo, výstavbu a dopravu </w:t>
      </w:r>
      <w:r w:rsidRPr="00007A5C">
        <w:rPr>
          <w:rFonts w:ascii="Arial" w:hAnsi="Arial" w:cs="Arial"/>
        </w:rPr>
        <w:t xml:space="preserve">              </w:t>
      </w:r>
    </w:p>
    <w:p w:rsidR="00154657" w:rsidRPr="00007A5C" w:rsidP="005242C8">
      <w:pPr>
        <w:jc w:val="both"/>
        <w:rPr>
          <w:rFonts w:ascii="Arial" w:hAnsi="Arial" w:cs="Arial"/>
        </w:rPr>
      </w:pPr>
    </w:p>
    <w:p w:rsidR="00154657" w:rsidRPr="00007A5C" w:rsidP="005242C8">
      <w:pPr>
        <w:jc w:val="both"/>
        <w:rPr>
          <w:rFonts w:ascii="Arial" w:hAnsi="Arial" w:cs="Arial"/>
          <w:i/>
        </w:rPr>
      </w:pPr>
    </w:p>
    <w:p w:rsidR="005242C8" w:rsidRPr="00007A5C" w:rsidP="005242C8">
      <w:pPr>
        <w:jc w:val="both"/>
        <w:rPr>
          <w:rFonts w:ascii="Arial" w:hAnsi="Arial" w:cs="Arial"/>
        </w:rPr>
      </w:pPr>
      <w:r w:rsidRPr="00007A5C">
        <w:rPr>
          <w:rFonts w:ascii="Arial" w:hAnsi="Arial" w:cs="Arial"/>
        </w:rPr>
        <w:t xml:space="preserve">                                                                                    8. schôdza výboru</w:t>
      </w:r>
    </w:p>
    <w:p w:rsidR="005242C8" w:rsidRPr="00007A5C" w:rsidP="005242C8">
      <w:pPr>
        <w:pStyle w:val="BodyTextIndent"/>
        <w:rPr>
          <w:rFonts w:ascii="Arial" w:hAnsi="Arial" w:cs="Arial"/>
          <w:iCs/>
          <w:color w:val="auto"/>
          <w:lang w:val="sk-SK"/>
        </w:rPr>
      </w:pPr>
      <w:r w:rsidRPr="00007A5C">
        <w:rPr>
          <w:rFonts w:ascii="Arial" w:hAnsi="Arial" w:cs="Arial"/>
          <w:color w:val="auto"/>
          <w:lang w:val="sk-SK"/>
        </w:rPr>
        <w:t xml:space="preserve">                                                                           </w:t>
      </w:r>
      <w:r w:rsidRPr="00007A5C">
        <w:rPr>
          <w:rFonts w:ascii="Arial" w:hAnsi="Arial" w:cs="Arial"/>
          <w:color w:val="auto"/>
          <w:lang w:val="sk-SK"/>
        </w:rPr>
        <w:t xml:space="preserve">Číslo: CRD -  </w:t>
      </w:r>
      <w:r w:rsidRPr="00007A5C" w:rsidR="00195D1D">
        <w:rPr>
          <w:rFonts w:ascii="Arial" w:hAnsi="Arial" w:cs="Arial"/>
          <w:color w:val="auto"/>
          <w:lang w:val="sk-SK"/>
        </w:rPr>
        <w:t>2</w:t>
      </w:r>
      <w:r w:rsidR="0028251E">
        <w:rPr>
          <w:rFonts w:ascii="Arial" w:hAnsi="Arial" w:cs="Arial"/>
          <w:color w:val="auto"/>
          <w:lang w:val="sk-SK"/>
        </w:rPr>
        <w:t>736</w:t>
      </w:r>
      <w:r w:rsidRPr="00007A5C">
        <w:rPr>
          <w:rFonts w:ascii="Arial" w:hAnsi="Arial" w:cs="Arial"/>
          <w:iCs/>
          <w:color w:val="auto"/>
          <w:lang w:val="sk-SK"/>
        </w:rPr>
        <w:t xml:space="preserve">/2010 - VHVD  </w:t>
      </w:r>
    </w:p>
    <w:p w:rsidR="003E69BB" w:rsidRPr="00007A5C" w:rsidP="005242C8">
      <w:pPr>
        <w:pStyle w:val="BodyTextIndent"/>
        <w:rPr>
          <w:rFonts w:ascii="Arial" w:hAnsi="Arial" w:cs="Arial"/>
          <w:iCs/>
          <w:color w:val="auto"/>
          <w:lang w:val="sk-SK"/>
        </w:rPr>
      </w:pPr>
    </w:p>
    <w:p w:rsidR="003E69BB" w:rsidRPr="00007A5C" w:rsidP="005242C8">
      <w:pPr>
        <w:pStyle w:val="BodyTextIndent"/>
        <w:rPr>
          <w:rFonts w:ascii="Arial" w:hAnsi="Arial" w:cs="Arial"/>
          <w:color w:val="auto"/>
          <w:lang w:val="sk-SK"/>
        </w:rPr>
      </w:pPr>
    </w:p>
    <w:p w:rsidR="005242C8" w:rsidRPr="00007A5C" w:rsidP="005242C8">
      <w:pPr>
        <w:jc w:val="center"/>
        <w:rPr>
          <w:rFonts w:ascii="Arial" w:hAnsi="Arial" w:cs="Arial"/>
          <w:b/>
          <w:sz w:val="32"/>
          <w:szCs w:val="28"/>
        </w:rPr>
      </w:pPr>
      <w:r w:rsidR="003C4821">
        <w:rPr>
          <w:rFonts w:ascii="Arial" w:hAnsi="Arial" w:cs="Arial"/>
          <w:b/>
          <w:sz w:val="32"/>
          <w:szCs w:val="28"/>
        </w:rPr>
        <w:t>70</w:t>
      </w:r>
    </w:p>
    <w:p w:rsidR="005242C8" w:rsidRPr="00007A5C" w:rsidP="005242C8">
      <w:pPr>
        <w:pStyle w:val="Heading2"/>
        <w:spacing w:line="240" w:lineRule="auto"/>
        <w:rPr>
          <w:rFonts w:ascii="Arial" w:hAnsi="Arial" w:cs="Arial"/>
          <w:color w:val="auto"/>
          <w:lang w:val="sk-SK"/>
        </w:rPr>
      </w:pPr>
      <w:r w:rsidRPr="00007A5C">
        <w:rPr>
          <w:rFonts w:ascii="Arial" w:hAnsi="Arial" w:cs="Arial"/>
          <w:color w:val="auto"/>
          <w:lang w:val="sk-SK"/>
        </w:rPr>
        <w:t>U z n e s e n i e</w:t>
      </w:r>
    </w:p>
    <w:p w:rsidR="005242C8" w:rsidRPr="00007A5C" w:rsidP="005242C8">
      <w:pPr>
        <w:jc w:val="center"/>
        <w:rPr>
          <w:rFonts w:ascii="Arial" w:hAnsi="Arial" w:cs="Arial"/>
          <w:b/>
        </w:rPr>
      </w:pPr>
      <w:r w:rsidRPr="00007A5C">
        <w:rPr>
          <w:rFonts w:ascii="Arial" w:hAnsi="Arial" w:cs="Arial"/>
          <w:b/>
        </w:rPr>
        <w:t>Výboru Národnej rady Slovenskej republiky</w:t>
      </w:r>
    </w:p>
    <w:p w:rsidR="005242C8" w:rsidRPr="00007A5C" w:rsidP="005242C8">
      <w:pPr>
        <w:jc w:val="center"/>
        <w:rPr>
          <w:rFonts w:ascii="Arial" w:hAnsi="Arial" w:cs="Arial"/>
          <w:b/>
        </w:rPr>
      </w:pPr>
      <w:r w:rsidRPr="00007A5C">
        <w:rPr>
          <w:rFonts w:ascii="Arial" w:hAnsi="Arial" w:cs="Arial"/>
          <w:b/>
        </w:rPr>
        <w:t>pre hospodárstvo, výstavbu a dopravu</w:t>
      </w:r>
    </w:p>
    <w:p w:rsidR="005242C8" w:rsidRPr="00007A5C" w:rsidP="005242C8">
      <w:pPr>
        <w:jc w:val="center"/>
        <w:rPr>
          <w:rFonts w:ascii="Arial" w:hAnsi="Arial" w:cs="Arial"/>
        </w:rPr>
      </w:pPr>
      <w:r w:rsidR="008743DC">
        <w:rPr>
          <w:rFonts w:ascii="Arial" w:hAnsi="Arial" w:cs="Arial"/>
        </w:rPr>
        <w:t>z 25</w:t>
      </w:r>
      <w:r w:rsidRPr="00007A5C">
        <w:rPr>
          <w:rFonts w:ascii="Arial" w:hAnsi="Arial" w:cs="Arial"/>
        </w:rPr>
        <w:t>. novembra 2010</w:t>
      </w:r>
    </w:p>
    <w:p w:rsidR="005242C8" w:rsidRPr="00007A5C" w:rsidP="005242C8">
      <w:pPr>
        <w:tabs>
          <w:tab w:val="left" w:pos="-1985"/>
          <w:tab w:val="left" w:pos="709"/>
          <w:tab w:val="left" w:pos="1077"/>
        </w:tabs>
        <w:jc w:val="both"/>
        <w:rPr>
          <w:rFonts w:ascii="Arial" w:hAnsi="Arial" w:cs="Arial"/>
        </w:rPr>
      </w:pPr>
    </w:p>
    <w:p w:rsidR="005242C8" w:rsidRPr="00007A5C" w:rsidP="005242C8">
      <w:pPr>
        <w:pStyle w:val="BodyTextIndent"/>
        <w:ind w:firstLine="360"/>
        <w:rPr>
          <w:rFonts w:ascii="Arial" w:hAnsi="Arial" w:cs="Arial"/>
          <w:color w:val="auto"/>
          <w:lang w:val="sk-SK"/>
        </w:rPr>
      </w:pPr>
      <w:r w:rsidRPr="00007A5C">
        <w:rPr>
          <w:rFonts w:ascii="Arial" w:hAnsi="Arial" w:cs="Arial"/>
          <w:color w:val="auto"/>
          <w:lang w:val="sk-SK"/>
        </w:rPr>
        <w:t xml:space="preserve">     k </w:t>
      </w:r>
      <w:r w:rsidRPr="00007A5C" w:rsidR="00154657">
        <w:rPr>
          <w:rFonts w:ascii="Arial" w:hAnsi="Arial" w:cs="Arial"/>
          <w:color w:val="auto"/>
          <w:lang w:val="sk-SK"/>
        </w:rPr>
        <w:t xml:space="preserve">návrhu poslanca Národnej rady Slovenskej republiky Ľudovíta Jurčíka na vydanie zákona, </w:t>
      </w:r>
      <w:r w:rsidRPr="00007A5C" w:rsidR="00154657">
        <w:rPr>
          <w:rFonts w:ascii="Arial" w:hAnsi="Arial" w:cs="Arial"/>
          <w:bCs/>
          <w:color w:val="auto"/>
          <w:lang w:val="sk-SK"/>
        </w:rPr>
        <w:t>ktorým sa mení a dopĺňa zákon č. 309/2009 Z.z. o podpore obnoviteľných zdrojov energie a vysoko účinnej kombinovanej výroby a</w:t>
      </w:r>
      <w:r w:rsidRPr="00007A5C" w:rsidR="00154657">
        <w:rPr>
          <w:rFonts w:ascii="Arial" w:hAnsi="Arial" w:cs="Arial"/>
          <w:color w:val="auto"/>
          <w:lang w:val="sk-SK"/>
        </w:rPr>
        <w:t> o zmene a doplnení niektorých zákonov (tlač 145)</w:t>
      </w:r>
      <w:r w:rsidRPr="00007A5C">
        <w:rPr>
          <w:rFonts w:ascii="Arial" w:hAnsi="Arial" w:cs="Arial"/>
          <w:color w:val="auto"/>
          <w:lang w:val="sk-SK"/>
        </w:rPr>
        <w:t>;</w:t>
      </w:r>
    </w:p>
    <w:p w:rsidR="005242C8" w:rsidRPr="00007A5C" w:rsidP="005242C8">
      <w:pPr>
        <w:pStyle w:val="BodyTextIndent"/>
        <w:ind w:firstLine="360"/>
        <w:rPr>
          <w:rFonts w:ascii="Arial" w:hAnsi="Arial" w:cs="Arial"/>
          <w:b/>
          <w:bCs/>
          <w:color w:val="auto"/>
          <w:lang w:val="sk-SK"/>
        </w:rPr>
      </w:pPr>
    </w:p>
    <w:p w:rsidR="005242C8" w:rsidRPr="00007A5C" w:rsidP="005242C8">
      <w:pPr>
        <w:pStyle w:val="BodyTextIndent"/>
        <w:ind w:firstLine="360"/>
        <w:rPr>
          <w:rFonts w:ascii="Arial" w:hAnsi="Arial" w:cs="Arial"/>
          <w:b/>
          <w:bCs/>
          <w:color w:val="auto"/>
          <w:lang w:val="sk-SK"/>
        </w:rPr>
      </w:pPr>
      <w:r w:rsidRPr="00007A5C">
        <w:rPr>
          <w:rFonts w:ascii="Arial" w:hAnsi="Arial" w:cs="Arial"/>
          <w:b/>
          <w:bCs/>
          <w:color w:val="auto"/>
          <w:lang w:val="sk-SK"/>
        </w:rPr>
        <w:t xml:space="preserve">Výbor Národnej rady Slovenskej republiky </w:t>
      </w:r>
    </w:p>
    <w:p w:rsidR="005242C8" w:rsidRPr="00007A5C" w:rsidP="005242C8">
      <w:pPr>
        <w:pStyle w:val="BodyTextIndent2"/>
        <w:ind w:firstLine="360"/>
        <w:rPr>
          <w:rFonts w:ascii="Arial" w:hAnsi="Arial" w:cs="Arial"/>
          <w:color w:val="auto"/>
          <w:lang w:val="sk-SK"/>
        </w:rPr>
      </w:pPr>
      <w:r w:rsidRPr="00007A5C">
        <w:rPr>
          <w:rFonts w:ascii="Arial" w:hAnsi="Arial" w:cs="Arial"/>
          <w:b/>
          <w:color w:val="auto"/>
          <w:lang w:val="sk-SK"/>
        </w:rPr>
        <w:t>pre hospodárstvo, výstavbu a dopravu</w:t>
      </w:r>
      <w:r w:rsidRPr="00007A5C">
        <w:rPr>
          <w:rFonts w:ascii="Arial" w:hAnsi="Arial" w:cs="Arial"/>
          <w:color w:val="auto"/>
          <w:lang w:val="sk-SK"/>
        </w:rPr>
        <w:t xml:space="preserve"> </w:t>
      </w:r>
    </w:p>
    <w:p w:rsidR="005242C8" w:rsidRPr="00007A5C" w:rsidP="005242C8">
      <w:pPr>
        <w:tabs>
          <w:tab w:val="left" w:pos="-1985"/>
          <w:tab w:val="left" w:pos="709"/>
          <w:tab w:val="left" w:pos="1077"/>
        </w:tabs>
        <w:jc w:val="both"/>
        <w:rPr>
          <w:rFonts w:ascii="Arial" w:hAnsi="Arial" w:cs="Arial"/>
        </w:rPr>
      </w:pPr>
    </w:p>
    <w:p w:rsidR="005242C8" w:rsidRPr="00007A5C" w:rsidP="005242C8">
      <w:pPr>
        <w:pStyle w:val="Heading3"/>
        <w:numPr>
          <w:numId w:val="10"/>
        </w:numPr>
        <w:tabs>
          <w:tab w:val="left" w:pos="720"/>
        </w:tabs>
        <w:rPr>
          <w:rFonts w:ascii="Arial" w:hAnsi="Arial" w:cs="Arial"/>
          <w:color w:val="auto"/>
          <w:lang w:val="sk-SK"/>
        </w:rPr>
      </w:pPr>
      <w:r w:rsidRPr="00007A5C">
        <w:rPr>
          <w:rFonts w:ascii="Arial" w:hAnsi="Arial" w:cs="Arial"/>
          <w:color w:val="auto"/>
          <w:lang w:val="sk-SK"/>
        </w:rPr>
        <w:t xml:space="preserve">s ú </w:t>
      </w:r>
      <w:r w:rsidRPr="00007A5C">
        <w:rPr>
          <w:rFonts w:ascii="Arial" w:hAnsi="Arial" w:cs="Arial"/>
          <w:color w:val="auto"/>
          <w:lang w:val="sk-SK"/>
        </w:rPr>
        <w:t>h l a s</w:t>
      </w:r>
      <w:r w:rsidRPr="00007A5C" w:rsidR="00154657">
        <w:rPr>
          <w:rFonts w:ascii="Arial" w:hAnsi="Arial" w:cs="Arial"/>
          <w:color w:val="auto"/>
          <w:lang w:val="sk-SK"/>
        </w:rPr>
        <w:t> </w:t>
      </w:r>
      <w:r w:rsidRPr="00007A5C">
        <w:rPr>
          <w:rFonts w:ascii="Arial" w:hAnsi="Arial" w:cs="Arial"/>
          <w:color w:val="auto"/>
          <w:lang w:val="sk-SK"/>
        </w:rPr>
        <w:t>í</w:t>
      </w:r>
    </w:p>
    <w:p w:rsidR="00154657" w:rsidRPr="00007A5C" w:rsidP="00154657">
      <w:pPr>
        <w:rPr>
          <w:rFonts w:ascii="Times New Roman" w:hAnsi="Times New Roman" w:cs="Times New Roman"/>
        </w:rPr>
      </w:pPr>
    </w:p>
    <w:p w:rsidR="005242C8" w:rsidRPr="00007A5C" w:rsidP="005242C8">
      <w:pPr>
        <w:pStyle w:val="BodyTextIndent2"/>
        <w:rPr>
          <w:rFonts w:ascii="Arial" w:hAnsi="Arial" w:cs="Arial"/>
          <w:color w:val="auto"/>
          <w:u w:val="single"/>
          <w:lang w:val="sk-SK"/>
        </w:rPr>
      </w:pPr>
      <w:r w:rsidRPr="00007A5C">
        <w:rPr>
          <w:rFonts w:ascii="Arial" w:hAnsi="Arial" w:cs="Arial"/>
          <w:color w:val="auto"/>
          <w:lang w:val="sk-SK"/>
        </w:rPr>
        <w:t xml:space="preserve">     s návrhom </w:t>
      </w:r>
      <w:r w:rsidRPr="00007A5C" w:rsidR="00154657">
        <w:rPr>
          <w:rFonts w:ascii="Arial" w:hAnsi="Arial" w:cs="Arial"/>
          <w:color w:val="auto"/>
          <w:lang w:val="sk-SK"/>
        </w:rPr>
        <w:t xml:space="preserve">poslanca Národnej rady Slovenskej republiky Ľudovíta Jurčíka na vydanie zákona, </w:t>
      </w:r>
      <w:r w:rsidRPr="00007A5C" w:rsidR="00154657">
        <w:rPr>
          <w:rFonts w:ascii="Arial" w:hAnsi="Arial" w:cs="Arial"/>
          <w:bCs/>
          <w:color w:val="auto"/>
          <w:lang w:val="sk-SK"/>
        </w:rPr>
        <w:t>ktorým sa mení a dopĺňa zákon č. 309/2009 Z.z. o podpore obnoviteľných zdrojov energie a vysoko účinnej kombinovanej výroby a</w:t>
      </w:r>
      <w:r w:rsidRPr="00007A5C" w:rsidR="00154657">
        <w:rPr>
          <w:rFonts w:ascii="Arial" w:hAnsi="Arial" w:cs="Arial"/>
          <w:color w:val="auto"/>
          <w:lang w:val="sk-SK"/>
        </w:rPr>
        <w:t> o zmene a doplnení niektorých zákonov (tlač 145)</w:t>
      </w:r>
      <w:r w:rsidRPr="00007A5C">
        <w:rPr>
          <w:rFonts w:ascii="Arial" w:hAnsi="Arial" w:cs="Arial"/>
          <w:color w:val="auto"/>
          <w:lang w:val="sk-SK"/>
        </w:rPr>
        <w:t xml:space="preserve">; </w:t>
      </w:r>
    </w:p>
    <w:p w:rsidR="005242C8" w:rsidRPr="00007A5C" w:rsidP="005242C8">
      <w:pPr>
        <w:tabs>
          <w:tab w:val="left" w:pos="-1985"/>
          <w:tab w:val="left" w:pos="709"/>
          <w:tab w:val="left" w:pos="1077"/>
        </w:tabs>
        <w:jc w:val="both"/>
        <w:rPr>
          <w:rFonts w:ascii="Arial" w:hAnsi="Arial" w:cs="Arial"/>
        </w:rPr>
      </w:pPr>
    </w:p>
    <w:p w:rsidR="005242C8" w:rsidRPr="00007A5C" w:rsidP="005242C8">
      <w:pPr>
        <w:pStyle w:val="Heading4"/>
        <w:numPr>
          <w:ilvl w:val="0"/>
          <w:numId w:val="9"/>
        </w:numPr>
        <w:tabs>
          <w:tab w:val="left" w:pos="720"/>
        </w:tabs>
        <w:rPr>
          <w:rFonts w:ascii="Arial" w:hAnsi="Arial" w:cs="Arial"/>
          <w:color w:val="auto"/>
          <w:lang w:val="sk-SK"/>
        </w:rPr>
      </w:pPr>
      <w:r w:rsidRPr="00007A5C">
        <w:rPr>
          <w:rFonts w:ascii="Arial" w:hAnsi="Arial" w:cs="Arial"/>
          <w:color w:val="auto"/>
          <w:lang w:val="sk-SK"/>
        </w:rPr>
        <w:t>o d p o r ú č a</w:t>
      </w:r>
    </w:p>
    <w:p w:rsidR="005242C8" w:rsidRPr="00007A5C" w:rsidP="005242C8">
      <w:pPr>
        <w:pStyle w:val="Heading1"/>
        <w:spacing w:line="240" w:lineRule="auto"/>
        <w:ind w:firstLine="360"/>
        <w:rPr>
          <w:rFonts w:ascii="Arial" w:hAnsi="Arial" w:cs="Arial"/>
        </w:rPr>
      </w:pPr>
      <w:r w:rsidRPr="00007A5C">
        <w:rPr>
          <w:rFonts w:ascii="Arial" w:hAnsi="Arial" w:cs="Arial"/>
        </w:rPr>
        <w:t xml:space="preserve">     Národnej rade Slovenskej republiky</w:t>
      </w:r>
    </w:p>
    <w:p w:rsidR="00154657" w:rsidRPr="00007A5C" w:rsidP="00154657">
      <w:pPr>
        <w:rPr>
          <w:rFonts w:ascii="Times New Roman" w:hAnsi="Times New Roman" w:cs="Times New Roman"/>
        </w:rPr>
      </w:pPr>
    </w:p>
    <w:p w:rsidR="005242C8" w:rsidRPr="00C95ADC" w:rsidP="005242C8">
      <w:pPr>
        <w:pStyle w:val="BodyTextIndent2"/>
        <w:ind w:firstLine="360"/>
        <w:rPr>
          <w:rFonts w:ascii="Arial" w:hAnsi="Arial" w:cs="Arial"/>
          <w:color w:val="auto"/>
          <w:lang w:val="sk-SK"/>
        </w:rPr>
      </w:pPr>
      <w:r w:rsidRPr="00007A5C">
        <w:rPr>
          <w:rFonts w:ascii="Arial" w:hAnsi="Arial" w:cs="Arial"/>
          <w:color w:val="auto"/>
          <w:lang w:val="sk-SK"/>
        </w:rPr>
        <w:t xml:space="preserve">     </w:t>
      </w:r>
      <w:r w:rsidRPr="00007A5C" w:rsidR="00154657">
        <w:rPr>
          <w:rFonts w:ascii="Arial" w:hAnsi="Arial" w:cs="Arial"/>
          <w:color w:val="auto"/>
          <w:lang w:val="sk-SK"/>
        </w:rPr>
        <w:t xml:space="preserve">návrh poslanca Národnej rady Slovenskej republiky Ľudovíta Jurčíka na vydanie zákona, </w:t>
      </w:r>
      <w:r w:rsidRPr="00007A5C" w:rsidR="00154657">
        <w:rPr>
          <w:rFonts w:ascii="Arial" w:hAnsi="Arial" w:cs="Arial"/>
          <w:bCs/>
          <w:color w:val="auto"/>
          <w:lang w:val="sk-SK"/>
        </w:rPr>
        <w:t>ktorým sa mení a dopĺňa zákon č. 309/2009 Z.z. o podpore obnoviteľných zdrojov energie a vysoko účinnej kombinovanej výroby a</w:t>
      </w:r>
      <w:r w:rsidRPr="00007A5C" w:rsidR="00154657">
        <w:rPr>
          <w:rFonts w:ascii="Arial" w:hAnsi="Arial" w:cs="Arial"/>
          <w:color w:val="auto"/>
          <w:lang w:val="sk-SK"/>
        </w:rPr>
        <w:t> o zmene a doplnení niektorých zákonov (tlač 145)</w:t>
      </w:r>
      <w:r w:rsidRPr="00007A5C">
        <w:rPr>
          <w:rFonts w:ascii="Arial" w:hAnsi="Arial" w:cs="Arial"/>
          <w:color w:val="auto"/>
          <w:lang w:val="sk-SK"/>
        </w:rPr>
        <w:t xml:space="preserve"> s</w:t>
      </w:r>
      <w:r w:rsidRPr="00007A5C">
        <w:rPr>
          <w:rFonts w:ascii="Arial" w:hAnsi="Arial" w:cs="Arial"/>
          <w:bCs/>
          <w:color w:val="auto"/>
          <w:lang w:val="sk-SK"/>
        </w:rPr>
        <w:t xml:space="preserve">chváliť </w:t>
      </w:r>
      <w:r w:rsidRPr="00C95ADC">
        <w:rPr>
          <w:rFonts w:ascii="Arial" w:hAnsi="Arial" w:cs="Arial"/>
          <w:bCs/>
          <w:color w:val="auto"/>
          <w:lang w:val="sk-SK"/>
        </w:rPr>
        <w:t xml:space="preserve">s pozmeňujúcimi a doplňujúcimi návrhmi; </w:t>
      </w:r>
    </w:p>
    <w:p w:rsidR="005242C8" w:rsidRPr="00007A5C" w:rsidP="005242C8">
      <w:pPr>
        <w:ind w:firstLine="360"/>
        <w:jc w:val="both"/>
        <w:rPr>
          <w:rFonts w:ascii="Arial" w:hAnsi="Arial" w:cs="Arial"/>
        </w:rPr>
      </w:pPr>
    </w:p>
    <w:p w:rsidR="005242C8" w:rsidRPr="00007A5C" w:rsidP="005242C8">
      <w:pPr>
        <w:pStyle w:val="Heading4"/>
        <w:numPr>
          <w:ilvl w:val="0"/>
          <w:numId w:val="8"/>
        </w:numPr>
        <w:tabs>
          <w:tab w:val="left" w:pos="720"/>
        </w:tabs>
        <w:rPr>
          <w:rFonts w:ascii="Arial" w:hAnsi="Arial" w:cs="Arial"/>
          <w:color w:val="auto"/>
          <w:lang w:val="sk-SK"/>
        </w:rPr>
      </w:pPr>
      <w:r w:rsidRPr="00007A5C">
        <w:rPr>
          <w:rFonts w:ascii="Arial" w:hAnsi="Arial" w:cs="Arial"/>
          <w:color w:val="auto"/>
          <w:lang w:val="sk-SK"/>
        </w:rPr>
        <w:t>p o v e r u j e</w:t>
      </w:r>
    </w:p>
    <w:p w:rsidR="00154657" w:rsidRPr="00007A5C" w:rsidP="00154657">
      <w:pPr>
        <w:rPr>
          <w:rFonts w:ascii="Times New Roman" w:hAnsi="Times New Roman" w:cs="Times New Roman"/>
        </w:rPr>
      </w:pPr>
    </w:p>
    <w:p w:rsidR="005242C8" w:rsidRPr="00007A5C" w:rsidP="005242C8">
      <w:pPr>
        <w:numPr>
          <w:ilvl w:val="0"/>
          <w:numId w:val="3"/>
        </w:numPr>
        <w:tabs>
          <w:tab w:val="left" w:pos="720"/>
        </w:tabs>
        <w:jc w:val="both"/>
        <w:rPr>
          <w:rFonts w:ascii="Arial" w:hAnsi="Arial" w:cs="Arial"/>
        </w:rPr>
      </w:pPr>
      <w:r w:rsidRPr="00007A5C">
        <w:rPr>
          <w:rFonts w:ascii="Arial" w:hAnsi="Arial" w:cs="Arial"/>
        </w:rPr>
        <w:t>predsedu výboru, aby výsledky rokovania  výboru  v  druhom čítaní z 18.</w:t>
      </w:r>
      <w:r w:rsidR="00C62C12">
        <w:rPr>
          <w:rFonts w:ascii="Arial" w:hAnsi="Arial" w:cs="Arial"/>
        </w:rPr>
        <w:t xml:space="preserve"> a 25.</w:t>
      </w:r>
      <w:r w:rsidRPr="00007A5C">
        <w:rPr>
          <w:rFonts w:ascii="Arial" w:hAnsi="Arial" w:cs="Arial"/>
        </w:rPr>
        <w:t xml:space="preserve"> novembra 2010 spolu s výsledkami rokovania ostatných výborov spracoval do písomnej spoločnej správy výborov v súlade s § 79 ods. 1 zákona Národnej rady Slovenskej republiky </w:t>
      </w:r>
      <w:r w:rsidRPr="00007A5C">
        <w:rPr>
          <w:rFonts w:ascii="Arial" w:hAnsi="Arial" w:cs="Arial"/>
          <w:bCs/>
        </w:rPr>
        <w:t>č. 350/1996 Z. z. o</w:t>
      </w:r>
      <w:r w:rsidRPr="00007A5C">
        <w:rPr>
          <w:rFonts w:ascii="Arial" w:hAnsi="Arial" w:cs="Arial"/>
        </w:rPr>
        <w:t xml:space="preserve"> rokovacom poriadku Národnej rady Slovenskej republiky v znení neskorších predpisov a predložil ju na schválenie gestorskému výboru,</w:t>
      </w:r>
    </w:p>
    <w:p w:rsidR="00154657" w:rsidRPr="00007A5C" w:rsidP="00154657">
      <w:pPr>
        <w:ind w:left="360"/>
        <w:jc w:val="both"/>
        <w:rPr>
          <w:rFonts w:ascii="Arial" w:hAnsi="Arial" w:cs="Arial"/>
        </w:rPr>
      </w:pPr>
    </w:p>
    <w:p w:rsidR="00154657" w:rsidRPr="00007A5C" w:rsidP="00154657">
      <w:pPr>
        <w:ind w:left="360"/>
        <w:jc w:val="both"/>
        <w:rPr>
          <w:rFonts w:ascii="Arial" w:hAnsi="Arial" w:cs="Arial"/>
        </w:rPr>
      </w:pPr>
    </w:p>
    <w:p w:rsidR="00154657" w:rsidRPr="00007A5C" w:rsidP="00154657">
      <w:pPr>
        <w:ind w:left="360"/>
        <w:jc w:val="both"/>
        <w:rPr>
          <w:rFonts w:ascii="Arial" w:hAnsi="Arial" w:cs="Arial"/>
        </w:rPr>
      </w:pPr>
    </w:p>
    <w:p w:rsidR="005242C8" w:rsidRPr="00007A5C" w:rsidP="005242C8">
      <w:pPr>
        <w:numPr>
          <w:ilvl w:val="0"/>
          <w:numId w:val="3"/>
        </w:numPr>
        <w:tabs>
          <w:tab w:val="left" w:pos="720"/>
        </w:tabs>
        <w:jc w:val="both"/>
        <w:rPr>
          <w:rFonts w:ascii="Arial" w:hAnsi="Arial" w:cs="Arial"/>
          <w:bCs/>
        </w:rPr>
      </w:pPr>
      <w:r w:rsidRPr="00007A5C">
        <w:rPr>
          <w:rFonts w:ascii="Arial" w:hAnsi="Arial" w:cs="Arial"/>
          <w:bCs/>
        </w:rPr>
        <w:t xml:space="preserve">spoločného spravodajcu výborov </w:t>
      </w:r>
      <w:r w:rsidRPr="00007A5C" w:rsidR="00154657">
        <w:rPr>
          <w:rFonts w:ascii="Arial" w:hAnsi="Arial" w:cs="Arial"/>
          <w:bCs/>
        </w:rPr>
        <w:t>A. Přidala</w:t>
      </w:r>
      <w:r w:rsidRPr="00007A5C">
        <w:rPr>
          <w:rFonts w:ascii="Arial" w:hAnsi="Arial" w:cs="Arial"/>
          <w:b/>
          <w:bCs/>
        </w:rPr>
        <w:t xml:space="preserve"> </w:t>
      </w:r>
      <w:r w:rsidRPr="00007A5C">
        <w:rPr>
          <w:rFonts w:ascii="Arial" w:hAnsi="Arial" w:cs="Arial"/>
          <w:bCs/>
        </w:rPr>
        <w:t>(</w:t>
      </w:r>
      <w:r w:rsidRPr="00007A5C" w:rsidR="00154657">
        <w:rPr>
          <w:rFonts w:ascii="Arial" w:hAnsi="Arial" w:cs="Arial"/>
          <w:bCs/>
        </w:rPr>
        <w:t>Ľ. Jahnátka</w:t>
      </w:r>
      <w:r w:rsidRPr="00007A5C">
        <w:rPr>
          <w:rFonts w:ascii="Arial" w:hAnsi="Arial" w:cs="Arial"/>
          <w:bCs/>
        </w:rPr>
        <w:t>), aby v súlade s § 80 ods. 2 zákona Národnej rady Slovenskej republiky č. 350/1996 Z. z. o rokovacom poriadku Národnej rady Slovenskej republiky</w:t>
      </w:r>
      <w:r w:rsidRPr="00007A5C">
        <w:rPr>
          <w:rFonts w:ascii="Arial" w:hAnsi="Arial" w:cs="Arial"/>
          <w:bCs/>
        </w:rPr>
        <w:t xml:space="preserve"> v znení neskorších  predpisov  informoval  o výsledku rokovania výborov a aby odôvodnil návrh a stanovisko</w:t>
      </w:r>
      <w:r w:rsidRPr="00007A5C">
        <w:rPr>
          <w:rFonts w:ascii="Arial" w:hAnsi="Arial" w:cs="Arial"/>
        </w:rPr>
        <w:t xml:space="preserve"> </w:t>
      </w:r>
      <w:r w:rsidRPr="00007A5C">
        <w:rPr>
          <w:rFonts w:ascii="Arial" w:hAnsi="Arial" w:cs="Arial"/>
          <w:bCs/>
        </w:rPr>
        <w:t>gestorského výboru k návrhu zákona uvedené v spoločnej správe výborov na schôdzi Národnej rady Slovenskej republiky.</w:t>
      </w:r>
    </w:p>
    <w:p w:rsidR="005242C8" w:rsidRPr="00007A5C" w:rsidP="005242C8">
      <w:pPr>
        <w:jc w:val="both"/>
        <w:rPr>
          <w:rFonts w:ascii="Arial" w:hAnsi="Arial" w:cs="Arial"/>
          <w:bCs/>
        </w:rPr>
      </w:pPr>
    </w:p>
    <w:p w:rsidR="005242C8" w:rsidRPr="00007A5C" w:rsidP="005242C8">
      <w:pPr>
        <w:jc w:val="both"/>
        <w:rPr>
          <w:rFonts w:ascii="Arial" w:hAnsi="Arial" w:cs="Arial"/>
          <w:bCs/>
        </w:rPr>
      </w:pPr>
    </w:p>
    <w:p w:rsidR="0085008B" w:rsidRPr="00007A5C" w:rsidP="005242C8">
      <w:pPr>
        <w:jc w:val="both"/>
        <w:rPr>
          <w:rFonts w:ascii="Arial" w:hAnsi="Arial" w:cs="Arial"/>
        </w:rPr>
      </w:pPr>
      <w:r w:rsidRPr="00007A5C" w:rsidR="005242C8">
        <w:rPr>
          <w:rFonts w:ascii="Arial" w:hAnsi="Arial" w:cs="Arial"/>
        </w:rPr>
        <w:t xml:space="preserve">                             </w:t>
      </w:r>
      <w:r w:rsidRPr="00007A5C" w:rsidR="005242C8">
        <w:rPr>
          <w:rFonts w:ascii="Arial" w:hAnsi="Arial" w:cs="Arial"/>
        </w:rPr>
        <w:t xml:space="preserve">                     </w:t>
      </w:r>
    </w:p>
    <w:p w:rsidR="0085008B" w:rsidRPr="00007A5C" w:rsidP="005242C8">
      <w:pPr>
        <w:jc w:val="both"/>
        <w:rPr>
          <w:rFonts w:ascii="Arial" w:hAnsi="Arial" w:cs="Arial"/>
        </w:rPr>
      </w:pPr>
    </w:p>
    <w:p w:rsidR="005242C8" w:rsidRPr="00007A5C" w:rsidP="005242C8">
      <w:pPr>
        <w:jc w:val="both"/>
        <w:rPr>
          <w:rFonts w:ascii="Arial" w:hAnsi="Arial" w:cs="Arial"/>
          <w:b/>
        </w:rPr>
      </w:pPr>
      <w:r w:rsidRPr="00007A5C">
        <w:rPr>
          <w:rFonts w:ascii="Arial" w:hAnsi="Arial" w:cs="Arial"/>
        </w:rPr>
        <w:t xml:space="preserve">                                                                                                      Stanislav  </w:t>
      </w:r>
      <w:r w:rsidRPr="00007A5C">
        <w:rPr>
          <w:rFonts w:ascii="Arial" w:hAnsi="Arial" w:cs="Arial"/>
          <w:b/>
          <w:bCs/>
        </w:rPr>
        <w:t>J a n i š</w:t>
      </w:r>
      <w:r w:rsidRPr="00007A5C">
        <w:rPr>
          <w:rFonts w:ascii="Arial" w:hAnsi="Arial" w:cs="Arial"/>
          <w:b/>
        </w:rPr>
        <w:t xml:space="preserve"> </w:t>
      </w:r>
    </w:p>
    <w:p w:rsidR="005242C8" w:rsidRPr="00007A5C" w:rsidP="005242C8">
      <w:pPr>
        <w:jc w:val="both"/>
        <w:rPr>
          <w:rFonts w:ascii="Arial" w:hAnsi="Arial" w:cs="Arial"/>
        </w:rPr>
      </w:pPr>
      <w:r w:rsidRPr="00007A5C">
        <w:rPr>
          <w:rFonts w:ascii="Arial" w:hAnsi="Arial" w:cs="Arial"/>
        </w:rPr>
        <w:t xml:space="preserve">                                                                                                        predseda výboru</w:t>
      </w:r>
    </w:p>
    <w:p w:rsidR="005242C8" w:rsidRPr="00007A5C" w:rsidP="005242C8">
      <w:pPr>
        <w:jc w:val="both"/>
        <w:rPr>
          <w:rFonts w:ascii="Arial" w:hAnsi="Arial" w:cs="Arial"/>
        </w:rPr>
      </w:pPr>
      <w:r w:rsidRPr="00007A5C">
        <w:rPr>
          <w:rFonts w:ascii="Arial" w:hAnsi="Arial" w:cs="Arial"/>
        </w:rPr>
        <w:t>overovateľ výboru</w:t>
      </w:r>
    </w:p>
    <w:p w:rsidR="00DC2F07" w:rsidP="00DC2F07">
      <w:pPr>
        <w:jc w:val="both"/>
        <w:rPr>
          <w:rFonts w:ascii="Arial" w:hAnsi="Arial" w:cs="Arial"/>
          <w:b/>
          <w:bCs/>
        </w:rPr>
      </w:pPr>
      <w:r w:rsidR="00C95ADC">
        <w:rPr>
          <w:rFonts w:ascii="Arial" w:hAnsi="Arial" w:cs="Arial"/>
        </w:rPr>
        <w:t>Maroš</w:t>
      </w:r>
      <w:r w:rsidRPr="009F627A">
        <w:rPr>
          <w:rFonts w:ascii="Arial" w:hAnsi="Arial" w:cs="Arial"/>
        </w:rPr>
        <w:t xml:space="preserve"> </w:t>
      </w:r>
      <w:r w:rsidR="00C95ADC">
        <w:rPr>
          <w:rFonts w:ascii="Arial" w:hAnsi="Arial" w:cs="Arial"/>
          <w:b/>
          <w:bCs/>
        </w:rPr>
        <w:t>K o n d r ó t</w:t>
      </w: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154657" w:rsidRPr="00007A5C" w:rsidP="005242C8">
      <w:pPr>
        <w:jc w:val="both"/>
        <w:rPr>
          <w:rFonts w:ascii="Arial" w:hAnsi="Arial" w:cs="Arial"/>
          <w:b/>
          <w:bCs/>
        </w:rPr>
      </w:pPr>
    </w:p>
    <w:p w:rsidR="005242C8" w:rsidRPr="00007A5C" w:rsidP="005242C8">
      <w:pPr>
        <w:pStyle w:val="Heading2"/>
        <w:ind w:left="708" w:firstLine="708"/>
        <w:jc w:val="both"/>
        <w:rPr>
          <w:rFonts w:ascii="Arial" w:hAnsi="Arial" w:cs="Arial"/>
          <w:bCs/>
          <w:i/>
          <w:color w:val="auto"/>
          <w:sz w:val="24"/>
          <w:szCs w:val="24"/>
          <w:lang w:val="sk-SK"/>
        </w:rPr>
      </w:pPr>
      <w:r w:rsidRPr="00007A5C">
        <w:rPr>
          <w:rFonts w:ascii="Arial" w:hAnsi="Arial" w:cs="Arial"/>
          <w:bCs/>
          <w:i/>
          <w:color w:val="auto"/>
          <w:sz w:val="24"/>
          <w:szCs w:val="24"/>
          <w:lang w:val="sk-SK"/>
        </w:rPr>
        <w:t xml:space="preserve"> Výbor</w:t>
      </w:r>
    </w:p>
    <w:p w:rsidR="005242C8" w:rsidRPr="00007A5C" w:rsidP="005242C8">
      <w:pPr>
        <w:spacing w:line="240" w:lineRule="atLeast"/>
        <w:jc w:val="both"/>
        <w:rPr>
          <w:rFonts w:ascii="Arial" w:hAnsi="Arial" w:cs="Arial"/>
          <w:bCs/>
          <w:i/>
          <w:iCs/>
        </w:rPr>
      </w:pPr>
      <w:r w:rsidRPr="00007A5C">
        <w:rPr>
          <w:rFonts w:ascii="Arial" w:hAnsi="Arial" w:cs="Arial"/>
          <w:bCs/>
          <w:i/>
          <w:iCs/>
        </w:rPr>
        <w:t xml:space="preserve">  Národnej rady Slovenskej republiky</w:t>
      </w:r>
    </w:p>
    <w:p w:rsidR="005242C8" w:rsidRPr="00007A5C" w:rsidP="005242C8">
      <w:pPr>
        <w:spacing w:line="240" w:lineRule="atLeast"/>
        <w:jc w:val="both"/>
        <w:rPr>
          <w:rFonts w:ascii="Arial" w:hAnsi="Arial" w:cs="Arial"/>
          <w:bCs/>
          <w:i/>
          <w:iCs/>
        </w:rPr>
      </w:pPr>
      <w:r w:rsidRPr="00007A5C">
        <w:rPr>
          <w:rFonts w:ascii="Arial" w:hAnsi="Arial" w:cs="Arial"/>
          <w:i/>
        </w:rPr>
        <w:t xml:space="preserve">pre hospodárstvo, výstavbu a dopravu </w:t>
      </w:r>
    </w:p>
    <w:p w:rsidR="005242C8" w:rsidRPr="00007A5C" w:rsidP="005242C8">
      <w:pPr>
        <w:spacing w:line="240" w:lineRule="atLeast"/>
        <w:ind w:firstLine="6840"/>
        <w:jc w:val="both"/>
        <w:rPr>
          <w:rFonts w:ascii="Arial" w:hAnsi="Arial" w:cs="Arial"/>
          <w:bCs/>
        </w:rPr>
      </w:pPr>
      <w:r w:rsidRPr="00007A5C">
        <w:rPr>
          <w:rFonts w:ascii="Arial" w:hAnsi="Arial" w:cs="Arial"/>
          <w:bCs/>
        </w:rPr>
        <w:t xml:space="preserve">Príloha </w:t>
      </w:r>
    </w:p>
    <w:p w:rsidR="005242C8" w:rsidRPr="00007A5C" w:rsidP="005242C8">
      <w:pPr>
        <w:spacing w:line="240" w:lineRule="atLeast"/>
        <w:ind w:left="6840"/>
        <w:jc w:val="both"/>
        <w:rPr>
          <w:rFonts w:ascii="Arial" w:hAnsi="Arial" w:cs="Arial"/>
          <w:bCs/>
        </w:rPr>
      </w:pPr>
      <w:r w:rsidR="003C4821">
        <w:rPr>
          <w:rFonts w:ascii="Arial" w:hAnsi="Arial" w:cs="Arial"/>
          <w:bCs/>
        </w:rPr>
        <w:t>k uzneseniu č. 70</w:t>
      </w:r>
    </w:p>
    <w:p w:rsidR="005242C8" w:rsidRPr="00007A5C" w:rsidP="005242C8">
      <w:pPr>
        <w:spacing w:line="240" w:lineRule="atLeast"/>
        <w:ind w:left="6840"/>
        <w:jc w:val="both"/>
        <w:rPr>
          <w:rFonts w:ascii="Arial" w:hAnsi="Arial" w:cs="Arial"/>
          <w:bCs/>
        </w:rPr>
      </w:pPr>
    </w:p>
    <w:p w:rsidR="005242C8" w:rsidRPr="00007A5C" w:rsidP="005242C8">
      <w:pPr>
        <w:pStyle w:val="Heading5"/>
        <w:rPr>
          <w:rFonts w:ascii="Arial" w:hAnsi="Arial" w:cs="Arial"/>
          <w:bCs/>
        </w:rPr>
      </w:pPr>
      <w:r w:rsidRPr="00007A5C">
        <w:rPr>
          <w:rFonts w:ascii="Arial" w:hAnsi="Arial" w:cs="Arial"/>
        </w:rPr>
        <w:t>Z m e n y  a  d o p l n k y</w:t>
      </w:r>
    </w:p>
    <w:p w:rsidR="005242C8" w:rsidRPr="00007A5C" w:rsidP="005242C8">
      <w:pPr>
        <w:pBdr>
          <w:bottom w:val="single" w:sz="12" w:space="1" w:color="auto"/>
        </w:pBdr>
        <w:tabs>
          <w:tab w:val="left" w:pos="-1985"/>
          <w:tab w:val="left" w:pos="709"/>
          <w:tab w:val="left" w:pos="1077"/>
        </w:tabs>
        <w:jc w:val="center"/>
        <w:rPr>
          <w:rStyle w:val="Strong"/>
          <w:rFonts w:ascii="Arial" w:hAnsi="Arial" w:cs="Arial"/>
          <w:b w:val="0"/>
          <w:color w:val="000000"/>
        </w:rPr>
      </w:pPr>
      <w:r w:rsidRPr="00007A5C">
        <w:rPr>
          <w:rFonts w:ascii="Arial" w:hAnsi="Arial" w:cs="Arial"/>
        </w:rPr>
        <w:t>k </w:t>
      </w:r>
      <w:r w:rsidRPr="00007A5C" w:rsidR="00154657">
        <w:rPr>
          <w:rFonts w:ascii="Arial" w:hAnsi="Arial" w:cs="Arial"/>
        </w:rPr>
        <w:t xml:space="preserve">návrhu poslanca Národnej rady Slovenskej republiky Ľudovíta Jurčíka na vydanie zákona, </w:t>
      </w:r>
      <w:r w:rsidRPr="00007A5C" w:rsidR="00154657">
        <w:rPr>
          <w:rFonts w:ascii="Arial" w:hAnsi="Arial" w:cs="Arial"/>
          <w:bCs/>
        </w:rPr>
        <w:t>ktorým sa mení a dopĺňa zákon č. 309/2009 Z.z. o podpore obnoviteľných zdrojov energie a vysoko účinnej kombinovanej výroby a</w:t>
      </w:r>
      <w:r w:rsidRPr="00007A5C" w:rsidR="00154657">
        <w:rPr>
          <w:rFonts w:ascii="Arial" w:hAnsi="Arial" w:cs="Arial"/>
        </w:rPr>
        <w:t> o zmene a doplnení niektorých zákonov (tlač 145)</w:t>
      </w:r>
    </w:p>
    <w:p w:rsidR="007B4455" w:rsidP="00521DCA">
      <w:pPr>
        <w:pStyle w:val="BodyTextIndent"/>
        <w:ind w:firstLine="360"/>
        <w:rPr>
          <w:rFonts w:ascii="Arial" w:hAnsi="Arial" w:cs="Arial"/>
          <w:b/>
          <w:color w:val="auto"/>
          <w:lang w:val="sk-SK"/>
        </w:rPr>
      </w:pPr>
    </w:p>
    <w:p w:rsidR="00E92076" w:rsidRPr="00E92076" w:rsidP="00E92076">
      <w:pPr>
        <w:numPr>
          <w:ilvl w:val="0"/>
          <w:numId w:val="33"/>
        </w:numPr>
        <w:tabs>
          <w:tab w:val="left" w:pos="720"/>
        </w:tabs>
        <w:jc w:val="both"/>
        <w:rPr>
          <w:rFonts w:ascii="Arial" w:hAnsi="Arial" w:cs="Arial"/>
        </w:rPr>
      </w:pPr>
      <w:r w:rsidRPr="00E92076">
        <w:rPr>
          <w:rFonts w:ascii="Arial" w:hAnsi="Arial" w:cs="Arial"/>
          <w:u w:val="single"/>
        </w:rPr>
        <w:t>V názve návrhu zákona</w:t>
      </w:r>
      <w:r w:rsidRPr="00E92076">
        <w:rPr>
          <w:rFonts w:ascii="Arial" w:hAnsi="Arial" w:cs="Arial"/>
        </w:rPr>
        <w:t xml:space="preserve"> sa na konci pripájajú tieto slová: „a ktorým sa dopĺňa zákon č. 276/2001 Z. z. o regulácii v sieťových odvetviach a o zmene a doplnení niektorých zákonov v znení ne</w:t>
      </w:r>
      <w:smartTag w:uri="urn:schemas-microsoft-com:office:smarttags" w:element="PersonName">
        <w:r w:rsidRPr="00E92076">
          <w:rPr>
            <w:rFonts w:ascii="Arial" w:hAnsi="Arial" w:cs="Arial"/>
          </w:rPr>
          <w:t>sk</w:t>
        </w:r>
      </w:smartTag>
      <w:r w:rsidRPr="00E92076">
        <w:rPr>
          <w:rFonts w:ascii="Arial" w:hAnsi="Arial" w:cs="Arial"/>
        </w:rPr>
        <w:t>orších predpisov“.</w:t>
      </w:r>
    </w:p>
    <w:p w:rsidR="00E92076" w:rsidRPr="00E92076" w:rsidP="00E92076">
      <w:pPr>
        <w:jc w:val="both"/>
        <w:rPr>
          <w:rFonts w:ascii="Arial" w:hAnsi="Arial" w:cs="Arial"/>
        </w:rPr>
      </w:pPr>
      <w:r w:rsidRPr="00E92076">
        <w:rPr>
          <w:rFonts w:ascii="Arial" w:hAnsi="Arial" w:cs="Arial"/>
          <w:color w:val="000080"/>
          <w:sz w:val="20"/>
          <w:szCs w:val="20"/>
        </w:rPr>
        <w:t> </w:t>
      </w:r>
    </w:p>
    <w:p w:rsidR="00E92076" w:rsidRPr="00E92076" w:rsidP="00E92076">
      <w:pPr>
        <w:ind w:left="2520"/>
        <w:jc w:val="both"/>
        <w:rPr>
          <w:rFonts w:ascii="Arial" w:hAnsi="Arial" w:cs="Arial"/>
          <w:lang w:eastAsia="cs-CZ"/>
        </w:rPr>
      </w:pPr>
      <w:r w:rsidRPr="00E92076">
        <w:rPr>
          <w:rFonts w:ascii="Arial" w:hAnsi="Arial" w:cs="Arial"/>
          <w:lang w:eastAsia="cs-CZ"/>
        </w:rPr>
        <w:t>Legislatívno-technická</w:t>
      </w:r>
      <w:r>
        <w:rPr>
          <w:rFonts w:ascii="Arial" w:hAnsi="Arial" w:cs="Arial"/>
          <w:lang w:eastAsia="cs-CZ"/>
        </w:rPr>
        <w:t xml:space="preserve"> úprava</w:t>
      </w:r>
    </w:p>
    <w:p w:rsidR="00E92076" w:rsidRPr="00E92076" w:rsidP="00E92076">
      <w:pPr>
        <w:jc w:val="both"/>
        <w:rPr>
          <w:rFonts w:ascii="Arial" w:hAnsi="Arial" w:cs="Arial"/>
        </w:rPr>
      </w:pPr>
    </w:p>
    <w:p w:rsidR="0066015C" w:rsidRPr="00E92076" w:rsidP="0066015C">
      <w:pPr>
        <w:numPr>
          <w:ilvl w:val="0"/>
          <w:numId w:val="33"/>
        </w:numPr>
        <w:tabs>
          <w:tab w:val="left" w:pos="720"/>
        </w:tabs>
        <w:jc w:val="both"/>
        <w:rPr>
          <w:rFonts w:ascii="Arial" w:hAnsi="Arial" w:cs="Arial"/>
          <w:u w:val="single"/>
        </w:rPr>
      </w:pPr>
      <w:r w:rsidRPr="00E92076">
        <w:rPr>
          <w:rFonts w:ascii="Arial" w:hAnsi="Arial" w:cs="Arial"/>
          <w:u w:val="single"/>
        </w:rPr>
        <w:t>V čl. I </w:t>
      </w:r>
      <w:r>
        <w:rPr>
          <w:rFonts w:ascii="Arial" w:hAnsi="Arial" w:cs="Arial"/>
          <w:u w:val="single"/>
        </w:rPr>
        <w:t>2</w:t>
      </w:r>
      <w:r w:rsidRPr="00E92076">
        <w:rPr>
          <w:rFonts w:ascii="Arial" w:hAnsi="Arial" w:cs="Arial"/>
          <w:u w:val="single"/>
        </w:rPr>
        <w:t>. bod znie:</w:t>
      </w:r>
    </w:p>
    <w:p w:rsidR="0066015C" w:rsidRPr="00E92076" w:rsidP="0066015C">
      <w:pPr>
        <w:ind w:left="720"/>
        <w:jc w:val="both"/>
        <w:rPr>
          <w:rFonts w:ascii="Arial" w:hAnsi="Arial" w:cs="Arial"/>
        </w:rPr>
      </w:pPr>
      <w:r>
        <w:rPr>
          <w:rFonts w:ascii="Arial" w:hAnsi="Arial" w:cs="Arial"/>
        </w:rPr>
        <w:t>„2</w:t>
      </w:r>
      <w:r w:rsidRPr="00E92076">
        <w:rPr>
          <w:rFonts w:ascii="Arial" w:hAnsi="Arial" w:cs="Arial"/>
        </w:rPr>
        <w:t xml:space="preserve">. V § 3 ods. </w:t>
      </w:r>
      <w:r>
        <w:rPr>
          <w:rFonts w:ascii="Arial" w:hAnsi="Arial" w:cs="Arial"/>
        </w:rPr>
        <w:t>5</w:t>
      </w:r>
      <w:r w:rsidRPr="00E92076">
        <w:rPr>
          <w:rFonts w:ascii="Arial" w:hAnsi="Arial" w:cs="Arial"/>
        </w:rPr>
        <w:t xml:space="preserve"> sa </w:t>
      </w:r>
      <w:r>
        <w:rPr>
          <w:rFonts w:ascii="Arial" w:hAnsi="Arial" w:cs="Arial"/>
        </w:rPr>
        <w:t xml:space="preserve">na konci </w:t>
      </w:r>
      <w:r w:rsidR="00256B8E">
        <w:rPr>
          <w:rFonts w:ascii="Arial" w:hAnsi="Arial" w:cs="Arial"/>
        </w:rPr>
        <w:t>pr</w:t>
      </w:r>
      <w:r w:rsidR="00256B8E">
        <w:rPr>
          <w:rFonts w:ascii="Arial" w:hAnsi="Arial" w:cs="Arial"/>
        </w:rPr>
        <w:t>ipája</w:t>
      </w:r>
      <w:r>
        <w:rPr>
          <w:rFonts w:ascii="Arial" w:hAnsi="Arial" w:cs="Arial"/>
        </w:rPr>
        <w:t xml:space="preserve"> táto veta: </w:t>
      </w:r>
      <w:r w:rsidR="00256B8E">
        <w:rPr>
          <w:rFonts w:ascii="Arial" w:hAnsi="Arial" w:cs="Arial"/>
        </w:rPr>
        <w:t>„</w:t>
      </w:r>
      <w:r>
        <w:rPr>
          <w:rFonts w:ascii="Arial" w:hAnsi="Arial" w:cs="Arial"/>
        </w:rPr>
        <w:t xml:space="preserve">Pri zariadení výrobcu elektriny využívajúce </w:t>
      </w:r>
      <w:r w:rsidR="00EA0F1B">
        <w:rPr>
          <w:rFonts w:ascii="Arial" w:hAnsi="Arial" w:cs="Arial"/>
        </w:rPr>
        <w:t xml:space="preserve">ako zdroj </w:t>
      </w:r>
      <w:r>
        <w:rPr>
          <w:rFonts w:ascii="Arial" w:hAnsi="Arial" w:cs="Arial"/>
        </w:rPr>
        <w:t>slnečnú energiu sa podpora podľa odseku 1 písm. d) vzťahuje len na zariadenie</w:t>
      </w:r>
      <w:r w:rsidR="004046B5">
        <w:rPr>
          <w:rFonts w:ascii="Arial" w:hAnsi="Arial" w:cs="Arial"/>
        </w:rPr>
        <w:t xml:space="preserve"> s inštalovaným výkonom do 30 kW</w:t>
      </w:r>
      <w:r>
        <w:rPr>
          <w:rFonts w:ascii="Arial" w:hAnsi="Arial" w:cs="Arial"/>
        </w:rPr>
        <w:t xml:space="preserve"> </w:t>
      </w:r>
      <w:r w:rsidRPr="00E92076">
        <w:rPr>
          <w:rFonts w:ascii="Arial" w:hAnsi="Arial" w:cs="Arial"/>
        </w:rPr>
        <w:t>.“.</w:t>
      </w:r>
      <w:r w:rsidR="004046B5">
        <w:rPr>
          <w:rFonts w:ascii="Arial" w:hAnsi="Arial" w:cs="Arial"/>
        </w:rPr>
        <w:t>“.</w:t>
      </w:r>
      <w:r w:rsidRPr="00E92076">
        <w:rPr>
          <w:rFonts w:ascii="Arial" w:hAnsi="Arial" w:cs="Arial"/>
        </w:rPr>
        <w:t xml:space="preserve"> </w:t>
      </w:r>
    </w:p>
    <w:p w:rsidR="0066015C" w:rsidRPr="00E92076" w:rsidP="0066015C">
      <w:pPr>
        <w:ind w:firstLine="360"/>
        <w:jc w:val="both"/>
        <w:rPr>
          <w:rFonts w:ascii="Arial" w:hAnsi="Arial" w:cs="Arial"/>
        </w:rPr>
      </w:pPr>
      <w:r w:rsidRPr="00E92076">
        <w:rPr>
          <w:rFonts w:ascii="Arial" w:hAnsi="Arial" w:cs="Arial"/>
        </w:rPr>
        <w:t xml:space="preserve"> </w:t>
        <w:tab/>
      </w:r>
    </w:p>
    <w:p w:rsidR="0066015C" w:rsidRPr="00E92076" w:rsidP="0066015C">
      <w:pPr>
        <w:ind w:left="2520"/>
        <w:jc w:val="both"/>
        <w:rPr>
          <w:rFonts w:ascii="Arial" w:hAnsi="Arial" w:cs="Arial"/>
        </w:rPr>
      </w:pPr>
      <w:r w:rsidRPr="00E92076">
        <w:rPr>
          <w:rFonts w:ascii="Arial" w:hAnsi="Arial" w:cs="Arial"/>
        </w:rPr>
        <w:t>Navrhuje sa</w:t>
      </w:r>
      <w:r w:rsidR="004046B5">
        <w:rPr>
          <w:rFonts w:ascii="Arial" w:hAnsi="Arial" w:cs="Arial"/>
        </w:rPr>
        <w:t xml:space="preserve"> zmeniť hranicu prebratia zodpovednosti za odchýlku výrobcom elektriny využívajúcim slnečnú energiu na 30 kW</w:t>
      </w:r>
      <w:r w:rsidRPr="00E92076">
        <w:rPr>
          <w:rFonts w:ascii="Arial" w:hAnsi="Arial" w:cs="Arial"/>
        </w:rPr>
        <w:t>.</w:t>
      </w:r>
    </w:p>
    <w:p w:rsidR="00D27CF5" w:rsidP="00D27CF5">
      <w:pPr>
        <w:ind w:left="360"/>
        <w:jc w:val="both"/>
        <w:rPr>
          <w:rFonts w:ascii="Arial" w:hAnsi="Arial" w:cs="Arial"/>
          <w:u w:val="single"/>
        </w:rPr>
      </w:pPr>
    </w:p>
    <w:p w:rsidR="00E92076" w:rsidRPr="00E92076" w:rsidP="00E92076">
      <w:pPr>
        <w:numPr>
          <w:ilvl w:val="0"/>
          <w:numId w:val="33"/>
        </w:numPr>
        <w:tabs>
          <w:tab w:val="left" w:pos="720"/>
        </w:tabs>
        <w:jc w:val="both"/>
        <w:rPr>
          <w:rFonts w:ascii="Arial" w:hAnsi="Arial" w:cs="Arial"/>
          <w:u w:val="single"/>
        </w:rPr>
      </w:pPr>
      <w:r w:rsidRPr="00E92076">
        <w:rPr>
          <w:rFonts w:ascii="Arial" w:hAnsi="Arial" w:cs="Arial"/>
          <w:u w:val="single"/>
        </w:rPr>
        <w:t>V čl. I 3. bod znie:</w:t>
      </w:r>
    </w:p>
    <w:p w:rsidR="00E92076" w:rsidRPr="00E92076" w:rsidP="00E92076">
      <w:pPr>
        <w:ind w:left="720"/>
        <w:jc w:val="both"/>
        <w:rPr>
          <w:rFonts w:ascii="Arial" w:hAnsi="Arial" w:cs="Arial"/>
        </w:rPr>
      </w:pPr>
      <w:r w:rsidRPr="00E92076">
        <w:rPr>
          <w:rFonts w:ascii="Arial" w:hAnsi="Arial" w:cs="Arial"/>
        </w:rPr>
        <w:t xml:space="preserve">„3. V § 3 ods. 6 sa za prvú vetu vkladá nová druhá veta, ktorá znie: „Náklady na rekonštrukciu alebo modernizáciu technologickej časti zariadenia výrobcu elektriny musia byť vyššie ako 50 % investičných nákladov na obstaranie novej porovnateľnej technologickej časti zariadenia výrobcu elektriny, okrem zariadenia výrobcu elektriny využívajúce ako zdroj vodnú energiu s inštalovaným výkonom do 2 MW.“. </w:t>
      </w:r>
    </w:p>
    <w:p w:rsidR="00E92076" w:rsidRPr="00E92076" w:rsidP="00E92076">
      <w:pPr>
        <w:ind w:firstLine="360"/>
        <w:jc w:val="both"/>
        <w:rPr>
          <w:rFonts w:ascii="Arial" w:hAnsi="Arial" w:cs="Arial"/>
        </w:rPr>
      </w:pPr>
      <w:r w:rsidRPr="00E92076">
        <w:rPr>
          <w:rFonts w:ascii="Arial" w:hAnsi="Arial" w:cs="Arial"/>
        </w:rPr>
        <w:t xml:space="preserve"> </w:t>
        <w:tab/>
      </w:r>
    </w:p>
    <w:p w:rsidR="00E92076" w:rsidRPr="00E92076" w:rsidP="00E92076">
      <w:pPr>
        <w:ind w:left="2520"/>
        <w:jc w:val="both"/>
        <w:rPr>
          <w:rFonts w:ascii="Arial" w:hAnsi="Arial" w:cs="Arial"/>
        </w:rPr>
      </w:pPr>
      <w:r w:rsidRPr="00E92076">
        <w:rPr>
          <w:rFonts w:ascii="Arial" w:hAnsi="Arial" w:cs="Arial"/>
        </w:rPr>
        <w:t>Navrhuje sa</w:t>
      </w:r>
      <w:r>
        <w:rPr>
          <w:rFonts w:ascii="Arial" w:hAnsi="Arial" w:cs="Arial"/>
        </w:rPr>
        <w:t>,</w:t>
      </w:r>
      <w:r w:rsidRPr="00E92076">
        <w:rPr>
          <w:rFonts w:ascii="Arial" w:hAnsi="Arial" w:cs="Arial"/>
        </w:rPr>
        <w:t xml:space="preserve"> aby pri posudzovaní rekonštrukcii alebo modernizácii technologickej časti výrobcu elektriny sa nevyžadovalo prekročenie 50% investičných nákladov na novú porovnateľnú technologickú časť pre zariadenia výrobcu elektriny využívajúce ako zdroj vodnú energiu s inštalovaným </w:t>
      </w:r>
      <w:r w:rsidRPr="00E92076">
        <w:rPr>
          <w:rFonts w:ascii="Arial" w:hAnsi="Arial" w:cs="Arial"/>
        </w:rPr>
        <w:t>výkonom do 2 MW.</w:t>
      </w:r>
    </w:p>
    <w:p w:rsidR="00E92076" w:rsidRPr="00E92076" w:rsidP="00E92076">
      <w:pPr>
        <w:jc w:val="both"/>
        <w:rPr>
          <w:rFonts w:ascii="Arial" w:hAnsi="Arial" w:cs="Arial"/>
        </w:rPr>
      </w:pPr>
    </w:p>
    <w:p w:rsidR="00E92076" w:rsidRPr="00E92076" w:rsidP="00E92076">
      <w:pPr>
        <w:numPr>
          <w:ilvl w:val="0"/>
          <w:numId w:val="33"/>
        </w:numPr>
        <w:tabs>
          <w:tab w:val="left" w:pos="720"/>
        </w:tabs>
        <w:jc w:val="both"/>
        <w:rPr>
          <w:rFonts w:ascii="Arial" w:hAnsi="Arial" w:cs="Arial"/>
        </w:rPr>
      </w:pPr>
      <w:r w:rsidRPr="00E92076">
        <w:rPr>
          <w:rFonts w:ascii="Arial" w:hAnsi="Arial" w:cs="Arial"/>
          <w:u w:val="single"/>
        </w:rPr>
        <w:t>V čl. I 4. bod znie</w:t>
      </w:r>
      <w:r w:rsidRPr="00E92076">
        <w:rPr>
          <w:rFonts w:ascii="Arial" w:hAnsi="Arial" w:cs="Arial"/>
        </w:rPr>
        <w:t>:</w:t>
      </w:r>
    </w:p>
    <w:p w:rsidR="00E92076" w:rsidRPr="00E92076" w:rsidP="00E92076">
      <w:pPr>
        <w:ind w:left="720"/>
        <w:jc w:val="both"/>
        <w:rPr>
          <w:rFonts w:ascii="Arial" w:hAnsi="Arial" w:cs="Arial"/>
        </w:rPr>
      </w:pPr>
      <w:r w:rsidRPr="00E92076">
        <w:rPr>
          <w:rFonts w:ascii="Arial" w:hAnsi="Arial" w:cs="Arial"/>
        </w:rPr>
        <w:t>„4. § 3 sa dopĺňa odsekom 8, ktorý znie:</w:t>
      </w:r>
    </w:p>
    <w:p w:rsidR="00E92076" w:rsidRPr="00E92076" w:rsidP="00E92076">
      <w:pPr>
        <w:ind w:left="720"/>
        <w:jc w:val="both"/>
        <w:rPr>
          <w:rFonts w:ascii="Arial" w:hAnsi="Arial" w:cs="Arial"/>
        </w:rPr>
      </w:pPr>
      <w:r w:rsidRPr="00E92076">
        <w:rPr>
          <w:rFonts w:ascii="Arial" w:hAnsi="Arial" w:cs="Arial"/>
        </w:rPr>
        <w:t>„(8) Pri zariadení výrobcu elektriny využívajúce ako zdroj slnečnú energiu sa podpora podľa odseku 1 písm. c) vzťahuje len na zariadenie s inštalovaným výkonom do 30 kW, ktoré je umiestnené na strešnej konštrukcii alebo obvodovom plášti jednej budovy spojenej so zemou pevným základom evidovanej v katastri nehnuteľnosti.</w:t>
      </w:r>
      <w:r w:rsidRPr="00E92076">
        <w:rPr>
          <w:rFonts w:ascii="Arial" w:hAnsi="Arial" w:cs="Arial"/>
          <w:vertAlign w:val="superscript"/>
        </w:rPr>
        <w:t>9a)</w:t>
      </w:r>
      <w:r w:rsidRPr="00E92076">
        <w:rPr>
          <w:rFonts w:ascii="Arial" w:hAnsi="Arial" w:cs="Arial"/>
        </w:rPr>
        <w:t>“.</w:t>
      </w:r>
    </w:p>
    <w:p w:rsidR="00E92076" w:rsidRPr="00E92076" w:rsidP="00E92076">
      <w:pPr>
        <w:ind w:left="720"/>
        <w:jc w:val="both"/>
        <w:rPr>
          <w:rFonts w:ascii="Arial" w:hAnsi="Arial" w:cs="Arial"/>
        </w:rPr>
      </w:pPr>
    </w:p>
    <w:p w:rsidR="00E92076" w:rsidRPr="00E92076" w:rsidP="00E92076">
      <w:pPr>
        <w:ind w:left="720"/>
        <w:jc w:val="both"/>
        <w:rPr>
          <w:rFonts w:ascii="Arial" w:hAnsi="Arial" w:cs="Arial"/>
          <w:szCs w:val="22"/>
        </w:rPr>
      </w:pPr>
      <w:r w:rsidRPr="00E92076">
        <w:rPr>
          <w:rFonts w:ascii="Arial" w:hAnsi="Arial" w:cs="Arial"/>
          <w:szCs w:val="22"/>
        </w:rPr>
        <w:t xml:space="preserve">Poznámka pod čiarou k odkazu 9a znie: </w:t>
      </w:r>
    </w:p>
    <w:p w:rsidR="00E92076" w:rsidRPr="00E92076" w:rsidP="00E92076">
      <w:pPr>
        <w:ind w:left="720"/>
        <w:jc w:val="both"/>
        <w:rPr>
          <w:rFonts w:ascii="Arial" w:hAnsi="Arial" w:cs="Arial"/>
        </w:rPr>
      </w:pPr>
      <w:r w:rsidRPr="00E92076">
        <w:rPr>
          <w:rFonts w:ascii="Arial" w:hAnsi="Arial" w:cs="Arial"/>
          <w:szCs w:val="22"/>
        </w:rPr>
        <w:t>„9</w:t>
      </w:r>
      <w:r w:rsidRPr="00E92076">
        <w:rPr>
          <w:rFonts w:ascii="Arial" w:hAnsi="Arial" w:cs="Arial"/>
          <w:iCs/>
          <w:szCs w:val="22"/>
        </w:rPr>
        <w:t>a)</w:t>
      </w:r>
      <w:r w:rsidRPr="00E92076">
        <w:rPr>
          <w:rFonts w:ascii="Arial" w:hAnsi="Arial" w:cs="Arial"/>
          <w:szCs w:val="22"/>
        </w:rPr>
        <w:t xml:space="preserve"> § 1 z</w:t>
      </w:r>
      <w:r w:rsidRPr="00E92076">
        <w:rPr>
          <w:rFonts w:ascii="Arial" w:hAnsi="Arial" w:cs="Arial"/>
        </w:rPr>
        <w:t>ákona č. 162/1995 Z. z</w:t>
      </w:r>
      <w:r w:rsidRPr="00E92076">
        <w:rPr>
          <w:rFonts w:ascii="Arial" w:hAnsi="Arial" w:cs="Arial"/>
          <w:szCs w:val="22"/>
        </w:rPr>
        <w:t>. o katastri nehnuteľností a o zápise vlastníckych a iných práv k nehnuteľnostiam.“.“.</w:t>
      </w:r>
    </w:p>
    <w:p w:rsidR="00E92076" w:rsidRPr="00E92076" w:rsidP="00E92076">
      <w:pPr>
        <w:ind w:left="720"/>
        <w:jc w:val="both"/>
        <w:rPr>
          <w:rFonts w:ascii="Arial" w:hAnsi="Arial" w:cs="Arial"/>
        </w:rPr>
      </w:pPr>
    </w:p>
    <w:p w:rsidR="00E92076" w:rsidRPr="00E92076" w:rsidP="00E92076">
      <w:pPr>
        <w:ind w:left="2520"/>
        <w:jc w:val="both"/>
        <w:rPr>
          <w:rFonts w:ascii="Arial" w:hAnsi="Arial" w:cs="Arial"/>
        </w:rPr>
      </w:pPr>
      <w:r w:rsidRPr="00E92076">
        <w:rPr>
          <w:rFonts w:ascii="Arial" w:hAnsi="Arial" w:cs="Arial"/>
        </w:rPr>
        <w:t>Na základe stanovi</w:t>
      </w:r>
      <w:smartTag w:uri="urn:schemas-microsoft-com:office:smarttags" w:element="PersonName">
        <w:r w:rsidRPr="00E92076">
          <w:rPr>
            <w:rFonts w:ascii="Arial" w:hAnsi="Arial" w:cs="Arial"/>
          </w:rPr>
          <w:t>sk</w:t>
        </w:r>
      </w:smartTag>
      <w:r w:rsidRPr="00E92076">
        <w:rPr>
          <w:rFonts w:ascii="Arial" w:hAnsi="Arial" w:cs="Arial"/>
        </w:rPr>
        <w:t>a Legislatívnej rady vlády SR na rokovaní dňa 9.11.2010 sa slová „obvodovej stene“ nahrádzajú slovami „obvodovom plášti“ podľa aplikované</w:t>
      </w:r>
      <w:r w:rsidR="00EA0F1B">
        <w:rPr>
          <w:rFonts w:ascii="Arial" w:hAnsi="Arial" w:cs="Arial"/>
        </w:rPr>
        <w:t>ho pojmu vyhlášky č. 625/2006 Z</w:t>
      </w:r>
      <w:r w:rsidRPr="00E92076">
        <w:rPr>
          <w:rFonts w:ascii="Arial" w:hAnsi="Arial" w:cs="Arial"/>
        </w:rPr>
        <w:t>.z</w:t>
      </w:r>
      <w:r w:rsidR="00EA0F1B">
        <w:rPr>
          <w:rFonts w:ascii="Arial" w:hAnsi="Arial" w:cs="Arial"/>
        </w:rPr>
        <w:t>.</w:t>
      </w:r>
      <w:r w:rsidRPr="00E92076">
        <w:rPr>
          <w:rFonts w:ascii="Arial" w:hAnsi="Arial" w:cs="Arial"/>
        </w:rPr>
        <w:t>,  ktorou sa vykonáva zákon č. 555/2005   Z.z.  o energetickej hospodárnosti budov a o zmene a doplnení niektorých zákonov a upresňuje sa definícia budovy. Zároveň sa navrhuje ú</w:t>
      </w:r>
      <w:r w:rsidRPr="00E92076">
        <w:rPr>
          <w:rFonts w:ascii="Arial" w:hAnsi="Arial" w:cs="Arial"/>
          <w:bCs/>
        </w:rPr>
        <w:t>prava podpory pre elektrinu zo slnečnej energie s tým, že nárok na podporu doplatkom sa obmedzuje len na zariadenie umiestnené na strešnej konštrukcii alebo obvodovom plášti do inštalovaného výkonu 30 kW.</w:t>
      </w:r>
    </w:p>
    <w:p w:rsidR="00E92076" w:rsidRPr="00E92076" w:rsidP="00E92076">
      <w:pPr>
        <w:jc w:val="both"/>
        <w:rPr>
          <w:rFonts w:ascii="Arial" w:hAnsi="Arial" w:cs="Arial"/>
        </w:rPr>
      </w:pPr>
    </w:p>
    <w:p w:rsidR="00E92076" w:rsidRPr="00E92076" w:rsidP="00E92076">
      <w:pPr>
        <w:numPr>
          <w:ilvl w:val="0"/>
          <w:numId w:val="33"/>
        </w:numPr>
        <w:tabs>
          <w:tab w:val="left" w:pos="720"/>
        </w:tabs>
        <w:jc w:val="both"/>
        <w:rPr>
          <w:rFonts w:ascii="Arial" w:hAnsi="Arial" w:cs="Arial"/>
          <w:u w:val="single"/>
        </w:rPr>
      </w:pPr>
      <w:r w:rsidRPr="00E92076">
        <w:rPr>
          <w:rFonts w:ascii="Arial" w:hAnsi="Arial" w:cs="Arial"/>
          <w:u w:val="single"/>
        </w:rPr>
        <w:t>V čl. I 6. bod znie:</w:t>
      </w:r>
    </w:p>
    <w:p w:rsidR="00E92076" w:rsidRPr="00E92076" w:rsidP="00E92076">
      <w:pPr>
        <w:ind w:left="720"/>
        <w:jc w:val="both"/>
        <w:rPr>
          <w:rFonts w:ascii="Arial" w:hAnsi="Arial" w:cs="Arial"/>
        </w:rPr>
      </w:pPr>
      <w:r w:rsidRPr="00E92076">
        <w:rPr>
          <w:rFonts w:ascii="Arial" w:hAnsi="Arial" w:cs="Arial"/>
        </w:rPr>
        <w:t>„6. V § 6 ods. 1 sa za písmeno c) vkladá nové písmeno d), ktoré znie:</w:t>
      </w:r>
    </w:p>
    <w:p w:rsidR="00E92076" w:rsidRPr="00E92076" w:rsidP="00E92076">
      <w:pPr>
        <w:ind w:left="720"/>
        <w:jc w:val="both"/>
        <w:rPr>
          <w:rFonts w:ascii="Arial" w:hAnsi="Arial" w:cs="Arial"/>
          <w:color w:val="0000FF"/>
          <w:lang w:eastAsia="cs-CZ"/>
        </w:rPr>
      </w:pPr>
      <w:r w:rsidRPr="00E92076">
        <w:rPr>
          <w:rFonts w:ascii="Arial" w:hAnsi="Arial" w:cs="Arial"/>
        </w:rPr>
        <w:t xml:space="preserve">„d) jednoduchou dobou návratnosti  </w:t>
      </w:r>
      <w:r w:rsidRPr="00E92076">
        <w:rPr>
          <w:rFonts w:ascii="Arial" w:hAnsi="Arial" w:cs="Arial"/>
          <w:color w:val="000000"/>
        </w:rPr>
        <w:t>doba trvania projektu od jeho začiatku do obdobia, kým sa úhrnný peňažný tok nestane kladným.“.“.</w:t>
      </w:r>
    </w:p>
    <w:p w:rsidR="00E92076" w:rsidRPr="00E92076" w:rsidP="00E92076">
      <w:pPr>
        <w:jc w:val="both"/>
        <w:rPr>
          <w:rFonts w:ascii="Arial" w:hAnsi="Arial" w:cs="Arial"/>
        </w:rPr>
      </w:pPr>
    </w:p>
    <w:p w:rsidR="00E92076" w:rsidRPr="00E92076" w:rsidP="00E92076">
      <w:pPr>
        <w:ind w:left="2520"/>
        <w:jc w:val="both"/>
        <w:rPr>
          <w:rFonts w:ascii="Arial" w:hAnsi="Arial" w:cs="Arial"/>
        </w:rPr>
      </w:pPr>
      <w:r w:rsidRPr="00E92076">
        <w:rPr>
          <w:rFonts w:ascii="Arial" w:hAnsi="Arial" w:cs="Arial"/>
        </w:rPr>
        <w:t xml:space="preserve">Ustanovenie týkajúce sa neuplatňovania podpory podľa </w:t>
      </w:r>
      <w:r w:rsidR="00DF57DD">
        <w:rPr>
          <w:rFonts w:ascii="Arial" w:hAnsi="Arial" w:cs="Arial"/>
        </w:rPr>
        <w:t>§</w:t>
      </w:r>
      <w:r w:rsidRPr="00E92076">
        <w:rPr>
          <w:rFonts w:ascii="Arial" w:hAnsi="Arial" w:cs="Arial"/>
        </w:rPr>
        <w:t xml:space="preserve"> 3 ods. 1 písm. c) v prípade ak pri výstavbe zariadenia na výrobu elektriny bola po</w:t>
      </w:r>
      <w:smartTag w:uri="urn:schemas-microsoft-com:office:smarttags" w:element="PersonName">
        <w:r w:rsidRPr="00E92076">
          <w:rPr>
            <w:rFonts w:ascii="Arial" w:hAnsi="Arial" w:cs="Arial"/>
          </w:rPr>
          <w:t>sk</w:t>
        </w:r>
      </w:smartTag>
      <w:r w:rsidRPr="00E92076">
        <w:rPr>
          <w:rFonts w:ascii="Arial" w:hAnsi="Arial" w:cs="Arial"/>
        </w:rPr>
        <w:t xml:space="preserve">ytnutá akákoľvek investičná pomoc z prostriedkov štátneho rozpočtu sa nahrádza ustanovením, ktorým sa upresňuje pojem jednoduchej doby návratnosti.  </w:t>
      </w:r>
    </w:p>
    <w:p w:rsidR="00577C1F" w:rsidRPr="00E92076" w:rsidP="00577C1F">
      <w:pPr>
        <w:ind w:left="360" w:firstLine="348"/>
        <w:jc w:val="both"/>
        <w:rPr>
          <w:rFonts w:ascii="Arial" w:hAnsi="Arial" w:cs="Arial"/>
        </w:rPr>
      </w:pPr>
    </w:p>
    <w:p w:rsidR="00577C1F" w:rsidRPr="00E92076" w:rsidP="00577C1F">
      <w:pPr>
        <w:numPr>
          <w:ilvl w:val="0"/>
          <w:numId w:val="33"/>
        </w:numPr>
        <w:tabs>
          <w:tab w:val="left" w:pos="720"/>
        </w:tabs>
        <w:jc w:val="both"/>
        <w:rPr>
          <w:rFonts w:ascii="Arial" w:hAnsi="Arial" w:cs="Arial"/>
        </w:rPr>
      </w:pPr>
      <w:r w:rsidRPr="007D5A81">
        <w:rPr>
          <w:rFonts w:ascii="Arial" w:hAnsi="Arial" w:cs="Arial"/>
          <w:u w:val="single"/>
        </w:rPr>
        <w:t xml:space="preserve">V čl. I sa za </w:t>
      </w:r>
      <w:r>
        <w:rPr>
          <w:rFonts w:ascii="Arial" w:hAnsi="Arial" w:cs="Arial"/>
          <w:u w:val="single"/>
        </w:rPr>
        <w:t>7</w:t>
      </w:r>
      <w:r w:rsidRPr="007D5A81">
        <w:rPr>
          <w:rFonts w:ascii="Arial" w:hAnsi="Arial" w:cs="Arial"/>
          <w:u w:val="single"/>
        </w:rPr>
        <w:t xml:space="preserve">. bod </w:t>
      </w:r>
      <w:r>
        <w:rPr>
          <w:rFonts w:ascii="Arial" w:hAnsi="Arial" w:cs="Arial"/>
          <w:u w:val="single"/>
        </w:rPr>
        <w:t>vkladá 8</w:t>
      </w:r>
      <w:r w:rsidRPr="007D5A81">
        <w:rPr>
          <w:rFonts w:ascii="Arial" w:hAnsi="Arial" w:cs="Arial"/>
          <w:u w:val="single"/>
        </w:rPr>
        <w:t>. bod, ktorý znie:</w:t>
      </w:r>
    </w:p>
    <w:p w:rsidR="00577C1F" w:rsidRPr="00E92076" w:rsidP="00577C1F">
      <w:pPr>
        <w:ind w:left="720"/>
        <w:jc w:val="both"/>
        <w:rPr>
          <w:rFonts w:ascii="Arial" w:hAnsi="Arial" w:cs="Arial"/>
        </w:rPr>
      </w:pPr>
      <w:r>
        <w:rPr>
          <w:rFonts w:ascii="Arial" w:hAnsi="Arial" w:cs="Arial"/>
        </w:rPr>
        <w:t>„8</w:t>
      </w:r>
      <w:r w:rsidRPr="00E92076">
        <w:rPr>
          <w:rFonts w:ascii="Arial" w:hAnsi="Arial" w:cs="Arial"/>
        </w:rPr>
        <w:t xml:space="preserve">. V § 9 ods. 5 sa na konci pripája táto veta: „Úrad uverejní každoročne do 30. júna na svojom webovom sídle zoznam výrobcov elektriny s právom na podporu, </w:t>
      </w:r>
      <w:smartTag w:uri="urn:schemas-microsoft-com:office:smarttags" w:element="PersonName">
        <w:r w:rsidRPr="00E92076">
          <w:rPr>
            <w:rFonts w:ascii="Arial" w:hAnsi="Arial" w:cs="Arial"/>
          </w:rPr>
          <w:t>sk</w:t>
        </w:r>
      </w:smartTag>
      <w:r w:rsidRPr="00E92076">
        <w:rPr>
          <w:rFonts w:ascii="Arial" w:hAnsi="Arial" w:cs="Arial"/>
        </w:rPr>
        <w:t>utočné množstvo vyrobenej elektriny, na ktoré sa vzťahuje doplatok a výšku celkového doplatku za predchádzajúci kalendárny rok za každého výrobcu elektriny</w:t>
      </w:r>
      <w:r>
        <w:rPr>
          <w:rFonts w:ascii="Arial" w:hAnsi="Arial" w:cs="Arial"/>
        </w:rPr>
        <w:t>.“.“.</w:t>
      </w:r>
      <w:r w:rsidRPr="00E92076">
        <w:rPr>
          <w:rFonts w:ascii="Arial" w:hAnsi="Arial" w:cs="Arial"/>
        </w:rPr>
        <w:t xml:space="preserve"> </w:t>
      </w:r>
    </w:p>
    <w:p w:rsidR="00577C1F" w:rsidP="00577C1F">
      <w:pPr>
        <w:jc w:val="both"/>
        <w:rPr>
          <w:rFonts w:ascii="Arial" w:hAnsi="Arial" w:cs="Arial"/>
        </w:rPr>
      </w:pPr>
    </w:p>
    <w:p w:rsidR="00577C1F" w:rsidRPr="004C47AB" w:rsidP="00577C1F">
      <w:pPr>
        <w:ind w:left="709"/>
        <w:jc w:val="both"/>
        <w:rPr>
          <w:rFonts w:ascii="Arial" w:hAnsi="Arial" w:cs="Arial"/>
        </w:rPr>
      </w:pPr>
      <w:r w:rsidRPr="004C47AB">
        <w:rPr>
          <w:rFonts w:ascii="Arial" w:hAnsi="Arial" w:cs="Arial"/>
        </w:rPr>
        <w:t>Nasledujúce body sa prečíslujú.</w:t>
      </w:r>
    </w:p>
    <w:p w:rsidR="00577C1F" w:rsidRPr="00E92076" w:rsidP="00577C1F">
      <w:pPr>
        <w:jc w:val="both"/>
        <w:rPr>
          <w:rFonts w:ascii="Arial" w:hAnsi="Arial" w:cs="Arial"/>
        </w:rPr>
      </w:pPr>
    </w:p>
    <w:p w:rsidR="00577C1F" w:rsidRPr="00E92076" w:rsidP="00577C1F">
      <w:pPr>
        <w:ind w:left="2520"/>
        <w:jc w:val="both"/>
        <w:rPr>
          <w:rFonts w:ascii="Arial" w:hAnsi="Arial" w:cs="Arial"/>
        </w:rPr>
      </w:pPr>
      <w:r w:rsidRPr="00E92076">
        <w:rPr>
          <w:rFonts w:ascii="Arial" w:hAnsi="Arial" w:cs="Arial"/>
        </w:rPr>
        <w:t xml:space="preserve">Z dôvodu transparentnosti údajov o výrobcoch elektriny sa navrhuje, aby úrad uverejnil každoročne do 30. júna na </w:t>
      </w:r>
      <w:r>
        <w:rPr>
          <w:rFonts w:ascii="Arial" w:hAnsi="Arial" w:cs="Arial"/>
        </w:rPr>
        <w:t>svojom webovom sídle</w:t>
      </w:r>
      <w:r w:rsidRPr="00E92076">
        <w:rPr>
          <w:rFonts w:ascii="Arial" w:hAnsi="Arial" w:cs="Arial"/>
        </w:rPr>
        <w:t xml:space="preserve"> zoznam výrobcov elektriny s právom na podporu, </w:t>
      </w:r>
      <w:smartTag w:uri="urn:schemas-microsoft-com:office:smarttags" w:element="PersonName">
        <w:r w:rsidRPr="00E92076">
          <w:rPr>
            <w:rFonts w:ascii="Arial" w:hAnsi="Arial" w:cs="Arial"/>
          </w:rPr>
          <w:t>sk</w:t>
        </w:r>
      </w:smartTag>
      <w:r w:rsidRPr="00E92076">
        <w:rPr>
          <w:rFonts w:ascii="Arial" w:hAnsi="Arial" w:cs="Arial"/>
        </w:rPr>
        <w:t>utočné  množstvo vyrobenej elektriny, na ktoré sa vzťahuje doplatok a výšku celkového doplatku za predchádzajúci kalendárny rok za každého výrobcu elektriny.</w:t>
      </w:r>
    </w:p>
    <w:p w:rsidR="00E92076" w:rsidRPr="00E92076" w:rsidP="00E92076">
      <w:pPr>
        <w:jc w:val="both"/>
        <w:rPr>
          <w:rFonts w:ascii="Arial" w:hAnsi="Arial" w:cs="Arial"/>
        </w:rPr>
      </w:pPr>
    </w:p>
    <w:p w:rsidR="00E92076" w:rsidRPr="00E92076" w:rsidP="00E92076">
      <w:pPr>
        <w:numPr>
          <w:ilvl w:val="0"/>
          <w:numId w:val="33"/>
        </w:numPr>
        <w:tabs>
          <w:tab w:val="left" w:pos="720"/>
        </w:tabs>
        <w:jc w:val="both"/>
        <w:rPr>
          <w:rFonts w:ascii="Arial" w:hAnsi="Arial" w:cs="Arial"/>
          <w:u w:val="single"/>
        </w:rPr>
      </w:pPr>
      <w:r w:rsidRPr="00E92076">
        <w:rPr>
          <w:rFonts w:ascii="Arial" w:hAnsi="Arial" w:cs="Arial"/>
          <w:u w:val="single"/>
        </w:rPr>
        <w:t>V</w:t>
      </w:r>
      <w:r>
        <w:rPr>
          <w:rFonts w:ascii="Arial" w:hAnsi="Arial" w:cs="Arial"/>
          <w:u w:val="single"/>
        </w:rPr>
        <w:t> </w:t>
      </w:r>
      <w:r w:rsidRPr="00E92076">
        <w:rPr>
          <w:rFonts w:ascii="Arial" w:hAnsi="Arial" w:cs="Arial"/>
          <w:u w:val="single"/>
        </w:rPr>
        <w:t>čl</w:t>
      </w:r>
      <w:r>
        <w:rPr>
          <w:rFonts w:ascii="Arial" w:hAnsi="Arial" w:cs="Arial"/>
          <w:u w:val="single"/>
        </w:rPr>
        <w:t>.</w:t>
      </w:r>
      <w:r w:rsidRPr="00E92076">
        <w:rPr>
          <w:rFonts w:ascii="Arial" w:hAnsi="Arial" w:cs="Arial"/>
          <w:u w:val="single"/>
        </w:rPr>
        <w:t xml:space="preserve"> I</w:t>
      </w:r>
      <w:r>
        <w:rPr>
          <w:rFonts w:ascii="Arial" w:hAnsi="Arial" w:cs="Arial"/>
          <w:u w:val="single"/>
        </w:rPr>
        <w:t xml:space="preserve"> 8. </w:t>
      </w:r>
      <w:r w:rsidRPr="00E92076">
        <w:rPr>
          <w:rFonts w:ascii="Arial" w:hAnsi="Arial" w:cs="Arial"/>
          <w:u w:val="single"/>
        </w:rPr>
        <w:t>bod znie:</w:t>
      </w:r>
    </w:p>
    <w:p w:rsidR="00E92076" w:rsidRPr="00E92076" w:rsidP="00E92076">
      <w:pPr>
        <w:ind w:left="720"/>
        <w:jc w:val="both"/>
        <w:rPr>
          <w:rFonts w:ascii="Arial" w:hAnsi="Arial" w:cs="Arial"/>
        </w:rPr>
      </w:pPr>
      <w:r w:rsidRPr="00E92076">
        <w:rPr>
          <w:rFonts w:ascii="Arial" w:hAnsi="Arial" w:cs="Arial"/>
        </w:rPr>
        <w:t>„8. Za § 18 sa vkladá § 18a, ktorý vrátane nadpisu znie:</w:t>
      </w:r>
    </w:p>
    <w:p w:rsidR="00E92076" w:rsidRPr="00E92076" w:rsidP="00E92076">
      <w:pPr>
        <w:ind w:firstLine="360"/>
        <w:jc w:val="both"/>
        <w:rPr>
          <w:rFonts w:ascii="Arial" w:hAnsi="Arial" w:cs="Arial"/>
        </w:rPr>
      </w:pPr>
      <w:r w:rsidRPr="00E92076">
        <w:rPr>
          <w:rFonts w:ascii="Arial" w:hAnsi="Arial" w:cs="Arial"/>
        </w:rPr>
        <w:t xml:space="preserve">  </w:t>
      </w:r>
    </w:p>
    <w:p w:rsidR="00E92076" w:rsidRPr="00E92076" w:rsidP="00E92076">
      <w:pPr>
        <w:pStyle w:val="ListParagraph"/>
        <w:tabs>
          <w:tab w:val="left" w:pos="426"/>
        </w:tabs>
        <w:ind w:left="0"/>
        <w:jc w:val="center"/>
        <w:rPr>
          <w:rFonts w:ascii="Arial" w:hAnsi="Arial" w:cs="Arial"/>
          <w:highlight w:val="lightGray"/>
        </w:rPr>
      </w:pPr>
      <w:r w:rsidRPr="00E92076">
        <w:rPr>
          <w:rFonts w:ascii="Arial" w:hAnsi="Arial" w:cs="Arial"/>
        </w:rPr>
        <w:t>„§18a</w:t>
        <w:br/>
        <w:t>Prechodné ustanovenie k úpravám účinným od 1. februára 2011</w:t>
      </w:r>
    </w:p>
    <w:p w:rsidR="00E92076" w:rsidRPr="00E92076" w:rsidP="00E92076">
      <w:pPr>
        <w:jc w:val="both"/>
        <w:rPr>
          <w:rFonts w:ascii="Arial" w:hAnsi="Arial" w:cs="Arial"/>
        </w:rPr>
      </w:pPr>
    </w:p>
    <w:p w:rsidR="00E92076" w:rsidRPr="00E92076" w:rsidP="00E92076">
      <w:pPr>
        <w:ind w:left="360" w:firstLine="348"/>
        <w:jc w:val="both"/>
        <w:rPr>
          <w:rFonts w:ascii="Arial" w:hAnsi="Arial" w:cs="Arial"/>
        </w:rPr>
      </w:pPr>
      <w:r w:rsidRPr="00E92076">
        <w:rPr>
          <w:rFonts w:ascii="Arial" w:hAnsi="Arial" w:cs="Arial"/>
        </w:rPr>
        <w:t>(1) Podmienky podpory výroby elektriny z obnoviteľných zdrojov energie a podpory výroby elektriny vysoko účinnou kombinovanou výrobou pri zariadení výrobcu elektriny, ktoré bolo uvedené do prevádzky pred 1. februárom 2011, zostávajú zachované podľa  doterajších predpisov.</w:t>
      </w:r>
    </w:p>
    <w:p w:rsidR="00E92076" w:rsidRPr="00E92076" w:rsidP="00E92076">
      <w:pPr>
        <w:ind w:left="360" w:firstLine="348"/>
        <w:jc w:val="both"/>
        <w:rPr>
          <w:rFonts w:ascii="Arial" w:hAnsi="Arial" w:cs="Arial"/>
        </w:rPr>
      </w:pPr>
    </w:p>
    <w:p w:rsidR="00E92076" w:rsidRPr="00E92076" w:rsidP="00E92076">
      <w:pPr>
        <w:ind w:left="360" w:firstLine="348"/>
        <w:jc w:val="both"/>
        <w:rPr>
          <w:rFonts w:ascii="Arial" w:hAnsi="Arial" w:cs="Arial"/>
        </w:rPr>
      </w:pPr>
      <w:r w:rsidRPr="00E92076">
        <w:rPr>
          <w:rFonts w:ascii="Arial" w:hAnsi="Arial" w:cs="Arial"/>
        </w:rPr>
        <w:t>(2) Na zariadenie, na ktorého výstavbu vydané stavebné povolenie nadobudlo právoplatnosť pred 1. februárom 2011 a ktoré je uvedené do prevádzky pred 1. júlom 2011, sa podpora podľa § 3 ods. 1 písm. d) vzťahuje na zariadenia výrobcu elektriny s celkovým inštalovaným výkonom  menej ako 4 MW a ustanovenie § 3 ods. 8 sa  naň nevzťahuje.“.“.</w:t>
      </w:r>
    </w:p>
    <w:p w:rsidR="00E92076" w:rsidRPr="00E92076" w:rsidP="00E92076">
      <w:pPr>
        <w:ind w:left="360" w:firstLine="348"/>
        <w:jc w:val="both"/>
        <w:rPr>
          <w:rFonts w:ascii="Arial" w:hAnsi="Arial" w:cs="Arial"/>
        </w:rPr>
      </w:pPr>
    </w:p>
    <w:p w:rsidR="00E92076" w:rsidRPr="00E92076" w:rsidP="00E92076">
      <w:pPr>
        <w:ind w:left="2520"/>
        <w:jc w:val="both"/>
        <w:rPr>
          <w:rFonts w:ascii="Arial" w:hAnsi="Arial" w:cs="Arial"/>
        </w:rPr>
      </w:pPr>
      <w:r w:rsidRPr="00E92076">
        <w:rPr>
          <w:rFonts w:ascii="Arial" w:hAnsi="Arial" w:cs="Arial"/>
        </w:rPr>
        <w:t>Navrhujú sa prechodné ustanovenia k úpravám účinným od 1. februára 2011. Navrhuje sa, aby podmienky podpory výroby elektriny z obnoviteľných zdrojov energie a podpory výroby elektriny vysoko účinnou kombinovanou výrobou pri zariadení výrobcu elektriny, ktoré bolo uvedené do prevádzky pred 1. februárom 2011, zostali zachované podľa  doterajších predpisov. Zároveň sa navrhuje, aby na zariadenie, na ktorého výstavbu vydané stavebné povolenie nadobudne právoplatnosť pred 1. februárom 2011 a ktoré bude uvedené do prevádzky pred 1. júlom 2011, sa podpora podľa § 3 ods. 1 písm. d) vzťahovala na zariadenia výrobcu elektriny s celkovým inštalovaným výkonom  menej ako 4 MW a ustanovenie § 3 ods. 8 sa  naň nevzťahovali.</w:t>
      </w:r>
    </w:p>
    <w:p w:rsidR="00E92076" w:rsidRPr="00E92076" w:rsidP="00E92076">
      <w:pPr>
        <w:ind w:left="2832"/>
        <w:jc w:val="both"/>
        <w:rPr>
          <w:rFonts w:ascii="Arial" w:hAnsi="Arial" w:cs="Arial"/>
        </w:rPr>
      </w:pPr>
    </w:p>
    <w:p w:rsidR="00E92076" w:rsidRPr="007D5A81" w:rsidP="007D5A81">
      <w:pPr>
        <w:numPr>
          <w:ilvl w:val="0"/>
          <w:numId w:val="33"/>
        </w:numPr>
        <w:tabs>
          <w:tab w:val="left" w:pos="720"/>
        </w:tabs>
        <w:jc w:val="both"/>
        <w:rPr>
          <w:rFonts w:ascii="Arial" w:hAnsi="Arial" w:cs="Arial"/>
          <w:u w:val="single"/>
        </w:rPr>
      </w:pPr>
      <w:r w:rsidR="007D5A81">
        <w:rPr>
          <w:rFonts w:ascii="Arial" w:hAnsi="Arial" w:cs="Arial"/>
          <w:u w:val="single"/>
        </w:rPr>
        <w:t>Za čl. I sa vkladá nový č</w:t>
      </w:r>
      <w:r w:rsidRPr="007D5A81">
        <w:rPr>
          <w:rFonts w:ascii="Arial" w:hAnsi="Arial" w:cs="Arial"/>
          <w:u w:val="single"/>
        </w:rPr>
        <w:t>lánok II</w:t>
      </w:r>
      <w:r w:rsidR="007D5A81">
        <w:rPr>
          <w:rFonts w:ascii="Arial" w:hAnsi="Arial" w:cs="Arial"/>
          <w:u w:val="single"/>
        </w:rPr>
        <w:t>, ktorý</w:t>
      </w:r>
      <w:r w:rsidRPr="007D5A81">
        <w:rPr>
          <w:rFonts w:ascii="Arial" w:hAnsi="Arial" w:cs="Arial"/>
          <w:u w:val="single"/>
        </w:rPr>
        <w:t xml:space="preserve"> znie:</w:t>
      </w:r>
    </w:p>
    <w:p w:rsidR="00E92076" w:rsidRPr="00E92076" w:rsidP="00E92076">
      <w:pPr>
        <w:jc w:val="both"/>
        <w:rPr>
          <w:rFonts w:ascii="Arial" w:hAnsi="Arial" w:cs="Arial"/>
        </w:rPr>
      </w:pPr>
    </w:p>
    <w:p w:rsidR="00E92076" w:rsidRPr="007D5A81" w:rsidP="007D5A81">
      <w:pPr>
        <w:autoSpaceDE/>
        <w:autoSpaceDN/>
        <w:jc w:val="center"/>
        <w:rPr>
          <w:rFonts w:ascii="Arial" w:hAnsi="Arial" w:cs="Arial"/>
          <w:bCs/>
        </w:rPr>
      </w:pPr>
      <w:r w:rsidRPr="007D5A81">
        <w:rPr>
          <w:rFonts w:ascii="Arial" w:hAnsi="Arial" w:cs="Arial"/>
        </w:rPr>
        <w:t>„</w:t>
      </w:r>
      <w:r w:rsidRPr="007D5A81">
        <w:rPr>
          <w:rFonts w:ascii="Arial" w:hAnsi="Arial" w:cs="Arial"/>
          <w:bCs/>
        </w:rPr>
        <w:t>Čl. II</w:t>
      </w:r>
    </w:p>
    <w:p w:rsidR="00E92076" w:rsidRPr="00E92076" w:rsidP="00E92076">
      <w:pPr>
        <w:autoSpaceDE/>
        <w:autoSpaceDN/>
        <w:ind w:left="360"/>
        <w:jc w:val="both"/>
        <w:rPr>
          <w:rFonts w:ascii="Arial" w:hAnsi="Arial" w:cs="Arial"/>
          <w:lang w:eastAsia="cs-CZ"/>
        </w:rPr>
      </w:pPr>
      <w:r w:rsidRPr="00E92076">
        <w:rPr>
          <w:rFonts w:ascii="Arial" w:hAnsi="Arial" w:cs="Arial"/>
        </w:rPr>
        <w:t xml:space="preserve">Zákon </w:t>
      </w:r>
      <w:r w:rsidRPr="00E92076">
        <w:rPr>
          <w:rFonts w:ascii="Arial" w:hAnsi="Arial" w:cs="Arial"/>
          <w:lang w:eastAsia="cs-CZ"/>
        </w:rPr>
        <w:t xml:space="preserve">č. 276/2001 Z. z. o regulácii v sieťových odvetviach a o zmene a doplnení niektorých zákonov v znení zákona  č. 397/2002 Z. z., zákona č. 442/2002 Z. z., zákona č. 658/2004 Z. z., zákona č. 107/2007 Z. z., zákona č. 112/2008 Z. z., zákona č. 283/2008 Z. z., zákona č. 73/2009 Z. z., zákona č. 309/2009 Z. z. a zákona č. 142/2010 Z. z. sa dopĺňa takto: </w:t>
      </w:r>
    </w:p>
    <w:p w:rsidR="00E92076" w:rsidRPr="00E92076" w:rsidP="00E92076">
      <w:pPr>
        <w:ind w:left="360"/>
        <w:jc w:val="both"/>
        <w:rPr>
          <w:rFonts w:ascii="Arial" w:hAnsi="Arial" w:cs="Arial"/>
        </w:rPr>
      </w:pPr>
    </w:p>
    <w:p w:rsidR="00E92076" w:rsidRPr="00E92076" w:rsidP="00E92076">
      <w:pPr>
        <w:ind w:firstLine="360"/>
        <w:jc w:val="both"/>
        <w:rPr>
          <w:rFonts w:ascii="Arial" w:hAnsi="Arial" w:cs="Arial"/>
        </w:rPr>
      </w:pPr>
      <w:r w:rsidRPr="00E92076">
        <w:rPr>
          <w:rFonts w:ascii="Arial" w:hAnsi="Arial" w:cs="Arial"/>
        </w:rPr>
        <w:t>1.  § 12 sa dopĺňa odsekom 13, ktorý znie:</w:t>
      </w:r>
    </w:p>
    <w:p w:rsidR="00E92076" w:rsidRPr="00E92076" w:rsidP="00E92076">
      <w:pPr>
        <w:ind w:left="360" w:firstLine="348"/>
        <w:jc w:val="both"/>
        <w:rPr>
          <w:rFonts w:ascii="Arial" w:hAnsi="Arial" w:cs="Arial"/>
          <w:lang w:eastAsia="cs-CZ"/>
        </w:rPr>
      </w:pPr>
      <w:bookmarkStart w:id="0" w:name="000"/>
      <w:bookmarkEnd w:id="0"/>
      <w:r w:rsidRPr="00E92076">
        <w:rPr>
          <w:rFonts w:ascii="Arial" w:hAnsi="Arial" w:cs="Arial"/>
        </w:rPr>
        <w:t xml:space="preserve">„(13) Úrad s účinnosťou od 1. júla 2011 stanoví všeobecne záväzným právnym predpisom ceny elektriny pre jednotlivé druhy obnoviteľných zdrojov energie tak, aby bola naplnená </w:t>
      </w:r>
      <w:r w:rsidRPr="00E92076">
        <w:rPr>
          <w:rFonts w:ascii="Arial" w:hAnsi="Arial" w:cs="Arial"/>
          <w:lang w:eastAsia="cs-CZ"/>
        </w:rPr>
        <w:t>požiadavka jednoduchej doby návratnosti investícií podľa osobitného predpisu</w:t>
      </w:r>
      <w:r w:rsidRPr="00E92076">
        <w:rPr>
          <w:rFonts w:ascii="Arial" w:hAnsi="Arial" w:cs="Arial"/>
          <w:vertAlign w:val="superscript"/>
          <w:lang w:eastAsia="cs-CZ"/>
        </w:rPr>
        <w:t>6ea)</w:t>
      </w:r>
      <w:r w:rsidRPr="00E92076">
        <w:rPr>
          <w:rFonts w:ascii="Arial" w:hAnsi="Arial" w:cs="Arial"/>
          <w:lang w:eastAsia="cs-CZ"/>
        </w:rPr>
        <w:t>.“</w:t>
      </w:r>
    </w:p>
    <w:p w:rsidR="00E92076" w:rsidRPr="00E92076" w:rsidP="00E92076">
      <w:pPr>
        <w:jc w:val="both"/>
        <w:rPr>
          <w:rFonts w:ascii="Arial" w:hAnsi="Arial" w:cs="Arial"/>
          <w:lang w:eastAsia="cs-CZ"/>
        </w:rPr>
      </w:pPr>
    </w:p>
    <w:p w:rsidR="00E92076" w:rsidRPr="00E92076" w:rsidP="00E92076">
      <w:pPr>
        <w:ind w:firstLine="360"/>
        <w:jc w:val="both"/>
        <w:rPr>
          <w:rFonts w:ascii="Arial" w:hAnsi="Arial" w:cs="Arial"/>
          <w:szCs w:val="22"/>
        </w:rPr>
      </w:pPr>
      <w:r w:rsidRPr="00E92076">
        <w:rPr>
          <w:rFonts w:ascii="Arial" w:hAnsi="Arial" w:cs="Arial"/>
          <w:szCs w:val="22"/>
        </w:rPr>
        <w:t xml:space="preserve">Poznámka pod čiarou k odkazu 6ea) znie: </w:t>
      </w:r>
    </w:p>
    <w:p w:rsidR="00E92076" w:rsidRPr="00E92076" w:rsidP="00E92076">
      <w:pPr>
        <w:ind w:firstLine="360"/>
        <w:jc w:val="both"/>
        <w:rPr>
          <w:rFonts w:ascii="Arial" w:hAnsi="Arial" w:cs="Arial"/>
        </w:rPr>
      </w:pPr>
      <w:r w:rsidRPr="00E92076">
        <w:rPr>
          <w:rFonts w:ascii="Arial" w:hAnsi="Arial" w:cs="Arial"/>
          <w:szCs w:val="22"/>
        </w:rPr>
        <w:t>„6ea) § 6 ods. 6  z</w:t>
      </w:r>
      <w:r w:rsidRPr="00E92076">
        <w:rPr>
          <w:rFonts w:ascii="Arial" w:hAnsi="Arial" w:cs="Arial"/>
        </w:rPr>
        <w:t>ákona č. 309/2009 Z. z.“.“.</w:t>
      </w:r>
    </w:p>
    <w:p w:rsidR="00E92076" w:rsidRPr="00E92076" w:rsidP="00E92076">
      <w:pPr>
        <w:jc w:val="both"/>
        <w:rPr>
          <w:rFonts w:ascii="Arial" w:hAnsi="Arial" w:cs="Arial"/>
        </w:rPr>
      </w:pPr>
    </w:p>
    <w:p w:rsidR="00E92076" w:rsidRPr="00E92076" w:rsidP="00E92076">
      <w:pPr>
        <w:ind w:left="2520"/>
        <w:jc w:val="both"/>
        <w:rPr>
          <w:rFonts w:ascii="Arial" w:hAnsi="Arial" w:cs="Arial"/>
          <w:lang w:eastAsia="cs-CZ"/>
        </w:rPr>
      </w:pPr>
      <w:r w:rsidRPr="00E92076">
        <w:rPr>
          <w:rFonts w:ascii="Arial" w:hAnsi="Arial" w:cs="Arial"/>
          <w:lang w:eastAsia="cs-CZ"/>
        </w:rPr>
        <w:t>Legislatívno-technická úprava</w:t>
      </w:r>
      <w:r w:rsidR="007D5A81">
        <w:rPr>
          <w:rFonts w:ascii="Arial" w:hAnsi="Arial" w:cs="Arial"/>
          <w:lang w:eastAsia="cs-CZ"/>
        </w:rPr>
        <w:t>.</w:t>
      </w:r>
    </w:p>
    <w:p w:rsidR="00E92076" w:rsidP="00E92076">
      <w:pPr>
        <w:jc w:val="both"/>
        <w:rPr>
          <w:rFonts w:ascii="Arial" w:hAnsi="Arial" w:cs="Arial"/>
          <w:lang w:eastAsia="cs-CZ"/>
        </w:rPr>
      </w:pPr>
    </w:p>
    <w:p w:rsidR="007D5A81" w:rsidRPr="00E92076" w:rsidP="00E92076">
      <w:pPr>
        <w:jc w:val="both"/>
        <w:rPr>
          <w:rFonts w:ascii="Arial" w:hAnsi="Arial" w:cs="Arial"/>
          <w:lang w:eastAsia="cs-CZ"/>
        </w:rPr>
      </w:pPr>
      <w:r>
        <w:rPr>
          <w:rFonts w:ascii="Arial" w:hAnsi="Arial" w:cs="Arial"/>
          <w:lang w:eastAsia="cs-CZ"/>
        </w:rPr>
        <w:t>Doterajší čl. II sa označuje ako článok III.</w:t>
      </w:r>
    </w:p>
    <w:p w:rsidR="00E92076" w:rsidP="00E92076">
      <w:pPr>
        <w:jc w:val="both"/>
        <w:rPr>
          <w:rFonts w:ascii="Arial" w:hAnsi="Arial" w:cs="Arial"/>
          <w:lang w:eastAsia="cs-CZ"/>
        </w:rPr>
      </w:pPr>
    </w:p>
    <w:p w:rsidR="00E92076" w:rsidRPr="00E92076" w:rsidP="00E92076">
      <w:pPr>
        <w:jc w:val="both"/>
        <w:rPr>
          <w:rFonts w:ascii="Arial" w:hAnsi="Arial" w:cs="Arial"/>
          <w:lang w:eastAsia="cs-CZ"/>
        </w:rPr>
      </w:pPr>
      <w:r w:rsidRPr="00E92076">
        <w:rPr>
          <w:rFonts w:ascii="Arial" w:hAnsi="Arial" w:cs="Arial"/>
          <w:lang w:eastAsia="cs-CZ"/>
        </w:rPr>
        <w:t xml:space="preserve">9. </w:t>
      </w:r>
      <w:r w:rsidRPr="007D5A81" w:rsidR="007D5A81">
        <w:rPr>
          <w:rFonts w:ascii="Arial" w:hAnsi="Arial" w:cs="Arial"/>
          <w:u w:val="single"/>
          <w:lang w:eastAsia="cs-CZ"/>
        </w:rPr>
        <w:t xml:space="preserve">Doterajší </w:t>
      </w:r>
      <w:r w:rsidRPr="007D5A81">
        <w:rPr>
          <w:rFonts w:ascii="Arial" w:hAnsi="Arial" w:cs="Arial"/>
          <w:u w:val="single"/>
        </w:rPr>
        <w:t>článok I</w:t>
      </w:r>
      <w:r w:rsidRPr="007D5A81" w:rsidR="007D5A81">
        <w:rPr>
          <w:rFonts w:ascii="Arial" w:hAnsi="Arial" w:cs="Arial"/>
          <w:u w:val="single"/>
        </w:rPr>
        <w:t>I</w:t>
      </w:r>
      <w:r w:rsidRPr="007D5A81">
        <w:rPr>
          <w:rFonts w:ascii="Arial" w:hAnsi="Arial" w:cs="Arial"/>
          <w:u w:val="single"/>
        </w:rPr>
        <w:t xml:space="preserve"> znie:</w:t>
      </w:r>
      <w:r w:rsidRPr="00E92076">
        <w:rPr>
          <w:rFonts w:ascii="Arial" w:hAnsi="Arial" w:cs="Arial"/>
        </w:rPr>
        <w:t xml:space="preserve"> </w:t>
      </w:r>
    </w:p>
    <w:p w:rsidR="00E92076" w:rsidP="007D5A81">
      <w:pPr>
        <w:pStyle w:val="BodyText"/>
        <w:jc w:val="center"/>
        <w:rPr>
          <w:rFonts w:ascii="Arial" w:hAnsi="Arial" w:cs="Arial"/>
          <w:bCs/>
        </w:rPr>
      </w:pPr>
      <w:r w:rsidRPr="00E92076">
        <w:rPr>
          <w:rFonts w:ascii="Arial" w:hAnsi="Arial" w:cs="Arial"/>
          <w:b/>
          <w:bCs/>
        </w:rPr>
        <w:t>„</w:t>
      </w:r>
      <w:r w:rsidRPr="00E92076">
        <w:rPr>
          <w:rFonts w:ascii="Arial" w:hAnsi="Arial" w:cs="Arial"/>
          <w:bCs/>
        </w:rPr>
        <w:t>Čl. II</w:t>
      </w:r>
    </w:p>
    <w:p w:rsidR="00E92076" w:rsidRPr="007D5A81" w:rsidP="00E92076">
      <w:pPr>
        <w:pStyle w:val="BodyText"/>
        <w:ind w:left="360"/>
        <w:rPr>
          <w:rFonts w:ascii="Arial" w:hAnsi="Arial" w:cs="Arial"/>
        </w:rPr>
      </w:pPr>
      <w:r w:rsidRPr="007D5A81">
        <w:rPr>
          <w:rFonts w:ascii="Arial" w:hAnsi="Arial" w:cs="Arial"/>
          <w:bCs/>
        </w:rPr>
        <w:t>Tento zákon nadobúda účinnosť 1. februára 2011</w:t>
      </w:r>
      <w:r w:rsidRPr="007D5A81">
        <w:rPr>
          <w:rFonts w:ascii="Arial" w:hAnsi="Arial" w:cs="Arial"/>
        </w:rPr>
        <w:t>, okrem prvého, druhého, štvrtého a piateho bodu v čl. I, ktoré nadobúdajú účinnosť 1. apríla 2011.“</w:t>
      </w:r>
    </w:p>
    <w:p w:rsidR="007D5A81" w:rsidP="00E92076">
      <w:pPr>
        <w:ind w:left="2520"/>
        <w:jc w:val="both"/>
        <w:rPr>
          <w:rFonts w:ascii="Arial" w:hAnsi="Arial" w:cs="Arial"/>
          <w:lang w:eastAsia="cs-CZ"/>
        </w:rPr>
      </w:pPr>
    </w:p>
    <w:p w:rsidR="00E92076" w:rsidRPr="007D5A81" w:rsidP="007D5A81">
      <w:pPr>
        <w:ind w:left="2520"/>
        <w:jc w:val="both"/>
        <w:rPr>
          <w:rFonts w:ascii="Arial" w:hAnsi="Arial" w:cs="Arial"/>
          <w:lang w:eastAsia="cs-CZ"/>
        </w:rPr>
      </w:pPr>
      <w:r w:rsidRPr="007D5A81">
        <w:rPr>
          <w:rFonts w:ascii="Arial" w:hAnsi="Arial" w:cs="Arial"/>
          <w:lang w:eastAsia="cs-CZ"/>
        </w:rPr>
        <w:t>Legislatívno-technická úprava</w:t>
      </w:r>
      <w:r w:rsidRPr="007D5A81" w:rsidR="007D5A81">
        <w:rPr>
          <w:rFonts w:ascii="Arial" w:hAnsi="Arial" w:cs="Arial"/>
          <w:lang w:eastAsia="cs-CZ"/>
        </w:rPr>
        <w:t>.</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2904FE02"/>
    <w:lvl w:ilvl="0">
      <w:start w:val="1"/>
      <w:numFmt w:val="decimal"/>
      <w:lvlText w:val="%1."/>
      <w:lvlJc w:val="left"/>
      <w:pPr>
        <w:tabs>
          <w:tab w:val="num" w:pos="360"/>
        </w:tabs>
        <w:ind w:left="360" w:hanging="360"/>
      </w:pPr>
      <w:rPr>
        <w:b w:val="0"/>
        <w:rtl w:val="0"/>
      </w:rPr>
    </w:lvl>
    <w:lvl w:ilvl="1">
      <w:start w:val="1"/>
      <w:numFmt w:val="decimal"/>
      <w:lvlText w:val="%2."/>
      <w:lvlJc w:val="left"/>
      <w:pPr>
        <w:tabs>
          <w:tab w:val="num" w:pos="1440"/>
        </w:tabs>
        <w:ind w:left="1440" w:hanging="360"/>
      </w:pPr>
      <w:rPr>
        <w:b w:val="0"/>
        <w:rtl w:val="0"/>
      </w:r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rPr>
        <w:b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00724D"/>
    <w:multiLevelType w:val="hybridMultilevel"/>
    <w:tmpl w:val="CC9CFAE6"/>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B0A38"/>
    <w:multiLevelType w:val="hybridMultilevel"/>
    <w:tmpl w:val="EAC05BAE"/>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18494CB2"/>
    <w:multiLevelType w:val="hybridMultilevel"/>
    <w:tmpl w:val="01765F4C"/>
    <w:lvl w:ilvl="0">
      <w:start w:val="1"/>
      <w:numFmt w:val="decimal"/>
      <w:lvlText w:val="%1."/>
      <w:lvlJc w:val="left"/>
      <w:pPr>
        <w:tabs>
          <w:tab w:val="num" w:pos="672"/>
        </w:tabs>
        <w:ind w:left="672" w:hanging="360"/>
      </w:pPr>
    </w:lvl>
    <w:lvl w:ilvl="1">
      <w:start w:val="1"/>
      <w:numFmt w:val="lowerLetter"/>
      <w:lvlText w:val="%2."/>
      <w:lvlJc w:val="left"/>
      <w:pPr>
        <w:tabs>
          <w:tab w:val="num" w:pos="1392"/>
        </w:tabs>
        <w:ind w:left="1392" w:hanging="360"/>
      </w:pPr>
    </w:lvl>
    <w:lvl w:ilvl="2">
      <w:start w:val="1"/>
      <w:numFmt w:val="lowerRoman"/>
      <w:lvlText w:val="%3."/>
      <w:lvlJc w:val="right"/>
      <w:pPr>
        <w:tabs>
          <w:tab w:val="num" w:pos="2112"/>
        </w:tabs>
        <w:ind w:left="2112" w:hanging="180"/>
      </w:pPr>
    </w:lvl>
    <w:lvl w:ilvl="3">
      <w:start w:val="1"/>
      <w:numFmt w:val="decimal"/>
      <w:lvlText w:val="%4."/>
      <w:lvlJc w:val="left"/>
      <w:pPr>
        <w:tabs>
          <w:tab w:val="num" w:pos="2832"/>
        </w:tabs>
        <w:ind w:left="2832" w:hanging="360"/>
      </w:pPr>
    </w:lvl>
    <w:lvl w:ilvl="4">
      <w:start w:val="1"/>
      <w:numFmt w:val="lowerLetter"/>
      <w:lvlText w:val="%5."/>
      <w:lvlJc w:val="left"/>
      <w:pPr>
        <w:tabs>
          <w:tab w:val="num" w:pos="3552"/>
        </w:tabs>
        <w:ind w:left="3552" w:hanging="360"/>
      </w:pPr>
    </w:lvl>
    <w:lvl w:ilvl="5">
      <w:start w:val="1"/>
      <w:numFmt w:val="lowerRoman"/>
      <w:lvlText w:val="%6."/>
      <w:lvlJc w:val="right"/>
      <w:pPr>
        <w:tabs>
          <w:tab w:val="num" w:pos="4272"/>
        </w:tabs>
        <w:ind w:left="4272" w:hanging="180"/>
      </w:pPr>
    </w:lvl>
    <w:lvl w:ilvl="6">
      <w:start w:val="1"/>
      <w:numFmt w:val="decimal"/>
      <w:lvlText w:val="%7."/>
      <w:lvlJc w:val="left"/>
      <w:pPr>
        <w:tabs>
          <w:tab w:val="num" w:pos="4992"/>
        </w:tabs>
        <w:ind w:left="4992" w:hanging="360"/>
      </w:pPr>
    </w:lvl>
    <w:lvl w:ilvl="7">
      <w:start w:val="1"/>
      <w:numFmt w:val="lowerLetter"/>
      <w:lvlText w:val="%8."/>
      <w:lvlJc w:val="left"/>
      <w:pPr>
        <w:tabs>
          <w:tab w:val="num" w:pos="5712"/>
        </w:tabs>
        <w:ind w:left="5712" w:hanging="360"/>
      </w:pPr>
    </w:lvl>
    <w:lvl w:ilvl="8">
      <w:start w:val="1"/>
      <w:numFmt w:val="lowerRoman"/>
      <w:lvlText w:val="%9."/>
      <w:lvlJc w:val="right"/>
      <w:pPr>
        <w:tabs>
          <w:tab w:val="num" w:pos="6432"/>
        </w:tabs>
        <w:ind w:left="6432" w:hanging="180"/>
      </w:pPr>
    </w:lvl>
  </w:abstractNum>
  <w:abstractNum w:abstractNumId="6">
    <w:nsid w:val="1BB23881"/>
    <w:multiLevelType w:val="hybridMultilevel"/>
    <w:tmpl w:val="8678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6B6195"/>
    <w:multiLevelType w:val="hybridMultilevel"/>
    <w:tmpl w:val="EF288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EF1942"/>
    <w:multiLevelType w:val="hybridMultilevel"/>
    <w:tmpl w:val="5BDCA3E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295B8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D06A01"/>
    <w:multiLevelType w:val="hybridMultilevel"/>
    <w:tmpl w:val="F0F0BE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4797853"/>
    <w:multiLevelType w:val="hybridMultilevel"/>
    <w:tmpl w:val="765662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AA5690"/>
    <w:multiLevelType w:val="hybridMultilevel"/>
    <w:tmpl w:val="0C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DB7E74"/>
    <w:multiLevelType w:val="singleLevel"/>
    <w:tmpl w:val="39F038C2"/>
    <w:lvl w:ilvl="0">
      <w:start w:val="1"/>
      <w:numFmt w:val="upperLetter"/>
      <w:pStyle w:val="Heading3"/>
      <w:lvlText w:val="%1."/>
      <w:lvlJc w:val="left"/>
      <w:pPr>
        <w:tabs>
          <w:tab w:val="num" w:pos="420"/>
        </w:tabs>
        <w:ind w:left="420" w:hanging="420"/>
      </w:pPr>
    </w:lvl>
  </w:abstractNum>
  <w:abstractNum w:abstractNumId="14">
    <w:nsid w:val="2A23417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FE777C6"/>
    <w:multiLevelType w:val="hybridMultilevel"/>
    <w:tmpl w:val="AB463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980ADC"/>
    <w:multiLevelType w:val="hybridMultilevel"/>
    <w:tmpl w:val="2EF4D29E"/>
    <w:lvl w:ilvl="0">
      <w:start w:val="1"/>
      <w:numFmt w:val="decimal"/>
      <w:lvlText w:val="%1."/>
      <w:lvlJc w:val="left"/>
      <w:pPr>
        <w:tabs>
          <w:tab w:val="num" w:pos="1080"/>
        </w:tabs>
        <w:ind w:left="1080" w:hanging="36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5F6298"/>
    <w:multiLevelType w:val="hybridMultilevel"/>
    <w:tmpl w:val="8E224C9E"/>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AD72CB"/>
    <w:multiLevelType w:val="hybridMultilevel"/>
    <w:tmpl w:val="7AFED67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46E202EF"/>
    <w:multiLevelType w:val="hybridMultilevel"/>
    <w:tmpl w:val="60726E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21">
    <w:nsid w:val="49533F80"/>
    <w:multiLevelType w:val="hybridMultilevel"/>
    <w:tmpl w:val="9C46C6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5974247"/>
    <w:multiLevelType w:val="hybridMultilevel"/>
    <w:tmpl w:val="8A100D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C34264"/>
    <w:multiLevelType w:val="hybridMultilevel"/>
    <w:tmpl w:val="94C4B654"/>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1472388"/>
    <w:multiLevelType w:val="hybridMultilevel"/>
    <w:tmpl w:val="04908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6994E29"/>
    <w:multiLevelType w:val="hybridMultilevel"/>
    <w:tmpl w:val="312275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6D84C1A"/>
    <w:multiLevelType w:val="hybridMultilevel"/>
    <w:tmpl w:val="3FE80060"/>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9F5E34"/>
    <w:multiLevelType w:val="hybridMultilevel"/>
    <w:tmpl w:val="D0722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D2F5268"/>
    <w:multiLevelType w:val="hybridMultilevel"/>
    <w:tmpl w:val="7862D1E0"/>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F827311"/>
    <w:multiLevelType w:val="hybridMultilevel"/>
    <w:tmpl w:val="B524AA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0"/>
  </w:num>
  <w:num w:numId="3">
    <w:abstractNumId w:val="1"/>
  </w:num>
  <w:num w:numId="4">
    <w:abstractNumId w:val="22"/>
  </w:num>
  <w:num w:numId="5">
    <w:abstractNumId w:val="27"/>
  </w:num>
  <w:num w:numId="6">
    <w:abstractNumId w:val="0"/>
  </w:num>
  <w:num w:numId="7">
    <w:abstractNumId w:val="24"/>
  </w:num>
  <w:num w:numId="8">
    <w:abstractNumId w:val="26"/>
  </w:num>
  <w:num w:numId="9">
    <w:abstractNumId w:val="23"/>
  </w:num>
  <w:num w:numId="10">
    <w:abstractNumId w:va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1"/>
  </w:num>
  <w:num w:numId="18">
    <w:abstractNumId w:val="7"/>
  </w:num>
  <w:num w:numId="19">
    <w:abstractNumId w:val="28"/>
  </w:num>
  <w:num w:numId="20">
    <w:abstractNumId w:val="5"/>
  </w:num>
  <w:num w:numId="21">
    <w:abstractNumId w:val="29"/>
  </w:num>
  <w:num w:numId="22">
    <w:abstractNumId w:val="6"/>
  </w:num>
  <w:num w:numId="23">
    <w:abstractNumId w:val="16"/>
  </w:num>
  <w:num w:numId="24">
    <w:abstractNumId w:val="17"/>
  </w:num>
  <w:num w:numId="25">
    <w:abstractNumId w:val="3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21"/>
  </w:num>
  <w:num w:numId="32">
    <w:abstractNumId w:val="12"/>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7A5C"/>
    <w:rsid w:val="00154657"/>
    <w:rsid w:val="00195D1D"/>
    <w:rsid w:val="00256B8E"/>
    <w:rsid w:val="0028251E"/>
    <w:rsid w:val="003C4821"/>
    <w:rsid w:val="003E69BB"/>
    <w:rsid w:val="004046B5"/>
    <w:rsid w:val="004C47AB"/>
    <w:rsid w:val="00521DCA"/>
    <w:rsid w:val="005242C8"/>
    <w:rsid w:val="00577C1F"/>
    <w:rsid w:val="0066015C"/>
    <w:rsid w:val="007B4455"/>
    <w:rsid w:val="007D5A81"/>
    <w:rsid w:val="0085008B"/>
    <w:rsid w:val="008743DC"/>
    <w:rsid w:val="009F627A"/>
    <w:rsid w:val="00C62C12"/>
    <w:rsid w:val="00C95ADC"/>
    <w:rsid w:val="00D27CF5"/>
    <w:rsid w:val="00DC2F07"/>
    <w:rsid w:val="00DF57DD"/>
    <w:rsid w:val="00E92076"/>
    <w:rsid w:val="00EA0F1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tabs>
        <w:tab w:val="left"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jc w:val="left"/>
      <w:outlineLvl w:val="6"/>
    </w:pPr>
  </w:style>
  <w:style w:type="character" w:default="1" w:styleId="DefaultParagraphFont">
    <w:name w:val="Default Paragraph Fon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pPr>
      <w:jc w:val="left"/>
    </w:pPr>
    <w:rPr>
      <w:sz w:val="32"/>
    </w:rPr>
  </w:style>
  <w:style w:type="paragraph" w:styleId="PlainText">
    <w:name w:val="Plain Text"/>
    <w:basedOn w:val="Normal"/>
    <w:pPr>
      <w:jc w:val="left"/>
    </w:pPr>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widowControl w:val="0"/>
      <w:autoSpaceDE w:val="0"/>
      <w:autoSpaceDN w:val="0"/>
      <w:bidi w:val="0"/>
      <w:adjustRightInd w:val="0"/>
      <w:spacing w:line="260" w:lineRule="atLeast"/>
      <w:ind w:left="0" w:right="0"/>
      <w:jc w:val="left"/>
      <w:textAlignment w:val="auto"/>
    </w:pPr>
    <w:rPr>
      <w:sz w:val="22"/>
      <w:szCs w:val="20"/>
      <w:rtl w:val="0"/>
      <w:lang w:val="sk-SK" w:bidi="ar-SA"/>
    </w:rPr>
  </w:style>
  <w:style w:type="paragraph" w:customStyle="1" w:styleId="AODocTxt">
    <w:name w:val="AODocTxt"/>
    <w:basedOn w:val="Normal"/>
    <w:pPr>
      <w:numPr>
        <w:ilvl w:val="0"/>
        <w:numId w:val="2"/>
      </w:numPr>
      <w:spacing w:before="240" w:line="260" w:lineRule="atLeast"/>
      <w:ind w:left="720" w:firstLine="0"/>
      <w:jc w:val="both"/>
    </w:pPr>
    <w:rPr>
      <w:sz w:val="22"/>
      <w:szCs w:val="20"/>
    </w:rPr>
  </w:style>
  <w:style w:type="paragraph" w:customStyle="1" w:styleId="AODocTxtL1">
    <w:name w:val="AODocTxtL1"/>
    <w:basedOn w:val="AODocTxt"/>
    <w:pPr>
      <w:numPr>
        <w:ilvl w:val="1"/>
      </w:numPr>
      <w:tabs>
        <w:tab w:val="left" w:pos="1080"/>
      </w:tabs>
      <w:ind w:left="1080" w:hanging="360"/>
      <w:jc w:val="both"/>
    </w:pPr>
  </w:style>
  <w:style w:type="paragraph" w:customStyle="1" w:styleId="AODocTxtL2">
    <w:name w:val="AODocTxtL2"/>
    <w:basedOn w:val="AODocTxt"/>
    <w:pPr>
      <w:numPr>
        <w:ilvl w:val="2"/>
      </w:numPr>
      <w:tabs>
        <w:tab w:val="left" w:pos="1800"/>
      </w:tabs>
      <w:ind w:left="1800" w:hanging="180"/>
      <w:jc w:val="both"/>
    </w:pPr>
  </w:style>
  <w:style w:type="paragraph" w:customStyle="1" w:styleId="AODocTxtL3">
    <w:name w:val="AODocTxtL3"/>
    <w:basedOn w:val="AODocTxt"/>
    <w:pPr>
      <w:numPr>
        <w:ilvl w:val="3"/>
      </w:numPr>
      <w:tabs>
        <w:tab w:val="left" w:pos="2520"/>
      </w:tabs>
      <w:ind w:left="2520" w:hanging="360"/>
      <w:jc w:val="both"/>
    </w:pPr>
  </w:style>
  <w:style w:type="paragraph" w:customStyle="1" w:styleId="AODocTxtL4">
    <w:name w:val="AODocTxtL4"/>
    <w:basedOn w:val="AODocTxt"/>
    <w:pPr>
      <w:numPr>
        <w:ilvl w:val="4"/>
      </w:numPr>
      <w:tabs>
        <w:tab w:val="left" w:pos="3240"/>
      </w:tabs>
      <w:ind w:left="3240" w:hanging="360"/>
      <w:jc w:val="both"/>
    </w:pPr>
  </w:style>
  <w:style w:type="paragraph" w:customStyle="1" w:styleId="AODocTxtL5">
    <w:name w:val="AODocTxtL5"/>
    <w:basedOn w:val="AODocTxt"/>
    <w:pPr>
      <w:numPr>
        <w:ilvl w:val="5"/>
      </w:numPr>
      <w:tabs>
        <w:tab w:val="left" w:pos="3960"/>
      </w:tabs>
      <w:ind w:left="3960" w:hanging="180"/>
      <w:jc w:val="both"/>
    </w:pPr>
  </w:style>
  <w:style w:type="paragraph" w:customStyle="1" w:styleId="AODocTxtL6">
    <w:name w:val="AODocTxtL6"/>
    <w:basedOn w:val="AODocTxt"/>
    <w:pPr>
      <w:numPr>
        <w:ilvl w:val="6"/>
      </w:numPr>
      <w:tabs>
        <w:tab w:val="left" w:pos="4680"/>
      </w:tabs>
      <w:ind w:left="4680" w:hanging="360"/>
      <w:jc w:val="both"/>
    </w:pPr>
  </w:style>
  <w:style w:type="paragraph" w:customStyle="1" w:styleId="AODocTxtL7">
    <w:name w:val="AODocTxtL7"/>
    <w:basedOn w:val="AODocTxt"/>
    <w:pPr>
      <w:numPr>
        <w:ilvl w:val="7"/>
      </w:numPr>
      <w:tabs>
        <w:tab w:val="left" w:pos="5400"/>
      </w:tabs>
      <w:ind w:left="5400" w:hanging="360"/>
      <w:jc w:val="both"/>
    </w:pPr>
  </w:style>
  <w:style w:type="paragraph" w:customStyle="1" w:styleId="AODocTxtL8">
    <w:name w:val="AODocTxtL8"/>
    <w:basedOn w:val="AODocTxt"/>
    <w:pPr>
      <w:numPr>
        <w:ilvl w:val="8"/>
      </w:numPr>
      <w:tabs>
        <w:tab w:val="left" w:pos="6120"/>
      </w:tabs>
      <w:ind w:left="6120" w:hanging="180"/>
      <w:jc w:val="both"/>
    </w:pPr>
  </w:style>
  <w:style w:type="character" w:styleId="Strong">
    <w:name w:val="Strong"/>
    <w:basedOn w:val="DefaultParagraphFont"/>
    <w:qFormat/>
    <w:rPr>
      <w:b/>
      <w:bCs/>
      <w:rtl w:val="0"/>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487B16"/>
    <w:pPr>
      <w:tabs>
        <w:tab w:val="center" w:pos="4536"/>
        <w:tab w:val="right" w:pos="9072"/>
      </w:tabs>
      <w:jc w:val="left"/>
    </w:pPr>
  </w:style>
  <w:style w:type="character" w:customStyle="1" w:styleId="tw4winMark">
    <w:name w:val="tw4winMark"/>
    <w:rsid w:val="00487B16"/>
    <w:rPr>
      <w:rFonts w:ascii="Courier New" w:hAnsi="Courier New" w:cs="Courier New"/>
      <w:vanish/>
      <w:color w:val="800080"/>
      <w:sz w:val="24"/>
      <w:vertAlign w:val="subscript"/>
      <w:rtl w:val="0"/>
    </w:rPr>
  </w:style>
  <w:style w:type="character" w:styleId="LineNumber">
    <w:name w:val="line number"/>
    <w:basedOn w:val="DefaultParagraphFont"/>
    <w:rsid w:val="005D46AC"/>
  </w:style>
  <w:style w:type="paragraph" w:styleId="NormalWeb">
    <w:name w:val="Normal (Web)"/>
    <w:basedOn w:val="Normal"/>
    <w:rsid w:val="00106191"/>
    <w:pPr>
      <w:spacing w:before="100" w:beforeAutospacing="1" w:after="100" w:afterAutospacing="1"/>
      <w:jc w:val="left"/>
    </w:pPr>
  </w:style>
  <w:style w:type="paragraph" w:customStyle="1" w:styleId="Odsekzoznamu">
    <w:name w:val="Odsek zoznamu"/>
    <w:basedOn w:val="Normal"/>
    <w:qFormat/>
    <w:rsid w:val="00106191"/>
    <w:pPr>
      <w:ind w:left="720"/>
      <w:contextualSpacing/>
      <w:jc w:val="left"/>
    </w:pPr>
  </w:style>
  <w:style w:type="paragraph" w:styleId="BalloonText">
    <w:name w:val="Balloon Text"/>
    <w:basedOn w:val="Normal"/>
    <w:semiHidden/>
    <w:rsid w:val="000955AC"/>
    <w:pPr>
      <w:jc w:val="left"/>
    </w:pPr>
    <w:rPr>
      <w:rFonts w:ascii="Tahoma" w:hAnsi="Tahoma" w:cs="Tahoma"/>
      <w:sz w:val="16"/>
      <w:szCs w:val="16"/>
    </w:rPr>
  </w:style>
  <w:style w:type="character" w:styleId="PlaceholderText">
    <w:name w:val="Placeholder Text"/>
    <w:basedOn w:val="DefaultParagraphFont"/>
    <w:semiHidden/>
    <w:rsid w:val="00D113A5"/>
    <w:rPr>
      <w:rFonts w:ascii="Times New Roman" w:hAnsi="Times New Roman" w:cs="Times New Roman"/>
      <w:color w:val="808080"/>
      <w:rtl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styleId="ListParagraph">
    <w:name w:val="List Paragraph"/>
    <w:basedOn w:val="Normal"/>
    <w:rsid w:val="00E92076"/>
    <w:pPr>
      <w:ind w:left="708"/>
      <w:jc w:val="left"/>
    </w:pPr>
    <w:rPr>
      <w:noProo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1399</Words>
  <Characters>7979</Characters>
  <Application>Microsoft Office Word</Application>
  <DocSecurity>0</DocSecurity>
  <Lines>0</Lines>
  <Paragraphs>0</Paragraphs>
  <ScaleCrop>false</ScaleCrop>
  <Company>Kancelaria NR SR</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prokgabr</cp:lastModifiedBy>
  <cp:revision>2</cp:revision>
  <cp:lastPrinted>2010-11-24T09:55:00Z</cp:lastPrinted>
  <dcterms:created xsi:type="dcterms:W3CDTF">2010-11-26T11:26:00Z</dcterms:created>
  <dcterms:modified xsi:type="dcterms:W3CDTF">2010-11-26T11:26:00Z</dcterms:modified>
</cp:coreProperties>
</file>