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2536CA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5E178A">
        <w:rPr>
          <w:rFonts w:ascii="Times New Roman" w:hAnsi="Times New Roman" w:cs="Times New Roman"/>
        </w:rPr>
        <w:t>7</w:t>
      </w:r>
      <w:r w:rsidR="00D73562">
        <w:rPr>
          <w:rFonts w:ascii="Times New Roman" w:hAnsi="Times New Roman" w:cs="Times New Roman"/>
        </w:rPr>
        <w:t>3</w:t>
      </w:r>
      <w:r w:rsidR="00EB58FC">
        <w:rPr>
          <w:rFonts w:ascii="Times New Roman" w:hAnsi="Times New Roman" w:cs="Times New Roman"/>
        </w:rPr>
        <w:t>6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B85144">
        <w:rPr>
          <w:rFonts w:ascii="Times New Roman" w:hAnsi="Times New Roman" w:cs="Times New Roman"/>
          <w:sz w:val="32"/>
          <w:szCs w:val="32"/>
          <w:lang w:eastAsia="en-US"/>
        </w:rPr>
        <w:t>100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 xml:space="preserve">z </w:t>
      </w:r>
      <w:r w:rsidR="002536CA">
        <w:rPr>
          <w:rFonts w:ascii="Times New Roman" w:hAnsi="Times New Roman" w:cs="Times New Roman"/>
          <w:b/>
        </w:rPr>
        <w:t>24</w:t>
      </w:r>
      <w:r w:rsidR="009164B4">
        <w:rPr>
          <w:rFonts w:ascii="Times New Roman" w:hAnsi="Times New Roman" w:cs="Times New Roman"/>
          <w:b/>
        </w:rPr>
        <w:t xml:space="preserve">. </w:t>
      </w:r>
      <w:r w:rsidR="006A7AE6">
        <w:rPr>
          <w:rFonts w:ascii="Times New Roman" w:hAnsi="Times New Roman" w:cs="Times New Roman"/>
          <w:b/>
        </w:rPr>
        <w:t>novembra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0139F" w:rsidRPr="00351D03" w:rsidP="009D3D40">
      <w:pPr>
        <w:jc w:val="both"/>
        <w:rPr>
          <w:rFonts w:ascii="Times New Roman" w:hAnsi="Times New Roman" w:cs="Times New Roman"/>
        </w:rPr>
      </w:pPr>
    </w:p>
    <w:p w:rsidR="008B317B" w:rsidRPr="008B317B" w:rsidP="008B317B">
      <w:pPr>
        <w:jc w:val="both"/>
        <w:rPr>
          <w:rFonts w:ascii="Times New Roman" w:hAnsi="Times New Roman" w:cs="Times New Roman"/>
        </w:rPr>
      </w:pPr>
      <w:r w:rsidRPr="008B317B" w:rsidR="00CE3B73">
        <w:rPr>
          <w:rFonts w:ascii="Times New Roman" w:hAnsi="Times New Roman" w:cs="Times New Roman"/>
        </w:rPr>
        <w:t>k</w:t>
      </w:r>
      <w:r w:rsidRPr="008B317B" w:rsidR="007311DC">
        <w:rPr>
          <w:rFonts w:ascii="Times New Roman" w:hAnsi="Times New Roman" w:cs="Times New Roman"/>
        </w:rPr>
        <w:t xml:space="preserve"> </w:t>
      </w:r>
      <w:r w:rsidRPr="008B317B" w:rsidR="00351D03">
        <w:rPr>
          <w:rFonts w:ascii="Times New Roman" w:hAnsi="Times New Roman" w:cs="Times New Roman"/>
        </w:rPr>
        <w:t xml:space="preserve">návrhu </w:t>
      </w:r>
      <w:r w:rsidRPr="008B317B">
        <w:rPr>
          <w:rFonts w:ascii="Times New Roman" w:hAnsi="Times New Roman" w:cs="Times New Roman"/>
        </w:rPr>
        <w:t xml:space="preserve">poslanca Národnej rady Slovenskej republiky Ľudovíta Jurčíka na vydanie zákona, ktorým sa mení a dopĺňa zákon č. 309/2009 Z. z. o podpore obnoviteľných zdrojov energie a vysoko účinnej kombinovanej výroby a o zmene a doplnení niektorých zákonov (tlač 145) </w:t>
      </w:r>
    </w:p>
    <w:p w:rsidR="008B317B" w:rsidRPr="008B317B" w:rsidP="008B317B">
      <w:pPr>
        <w:ind w:left="340"/>
        <w:rPr>
          <w:rFonts w:ascii="Times New Roman" w:hAnsi="Times New Roman" w:cs="Times New Roman"/>
          <w:i/>
          <w:iCs/>
        </w:rPr>
      </w:pPr>
    </w:p>
    <w:p w:rsidR="001B2A1E" w:rsidRPr="00341BDF" w:rsidP="009D3D40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</w:t>
      </w:r>
      <w:r w:rsidRPr="009027A0">
        <w:rPr>
          <w:rFonts w:ascii="Times New Roman" w:hAnsi="Times New Roman" w:cs="Times New Roman"/>
          <w:b/>
        </w:rPr>
        <w:t>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8B317B" w:rsidRPr="008B317B" w:rsidP="008B317B">
      <w:pPr>
        <w:jc w:val="both"/>
        <w:rPr>
          <w:rFonts w:ascii="Times New Roman" w:hAnsi="Times New Roman" w:cs="Times New Roman"/>
        </w:rPr>
      </w:pPr>
      <w:r w:rsidRPr="002E7CD4" w:rsidR="007311DC">
        <w:rPr>
          <w:rFonts w:ascii="Times New Roman" w:hAnsi="Times New Roman" w:cs="Times New Roman"/>
        </w:rPr>
        <w:tab/>
      </w:r>
      <w:r w:rsidRPr="002E7CD4" w:rsidR="006A7AE6">
        <w:rPr>
          <w:rFonts w:ascii="Times New Roman" w:hAnsi="Times New Roman" w:cs="Times New Roman"/>
        </w:rPr>
        <w:tab/>
      </w:r>
      <w:r w:rsidRPr="002E7CD4" w:rsidR="0008184E">
        <w:rPr>
          <w:rFonts w:ascii="Times New Roman" w:hAnsi="Times New Roman" w:cs="Times New Roman"/>
        </w:rPr>
        <w:t xml:space="preserve">s </w:t>
      </w:r>
      <w:r w:rsidRPr="002E7CD4" w:rsidR="006A7AE6">
        <w:rPr>
          <w:rFonts w:ascii="Times New Roman" w:hAnsi="Times New Roman" w:cs="Times New Roman"/>
        </w:rPr>
        <w:t xml:space="preserve">návrhom </w:t>
      </w:r>
      <w:r w:rsidRPr="008B317B">
        <w:rPr>
          <w:rFonts w:ascii="Times New Roman" w:hAnsi="Times New Roman" w:cs="Times New Roman"/>
        </w:rPr>
        <w:t>poslanca Národnej rady Slovenskej republiky Ľudovíta Jurčíka na vydanie zákona, ktorým sa mení a dopĺňa zákon č. 309/2009 Z. z. o podpore obnoviteľných zdrojov energie a vysoko účinnej kombinovanej výroby a o zmene a doplnení niektorých zákonov (tlač 145)</w:t>
      </w:r>
      <w:r>
        <w:rPr>
          <w:rFonts w:ascii="Times New Roman" w:hAnsi="Times New Roman" w:cs="Times New Roman"/>
        </w:rPr>
        <w:t>;</w:t>
      </w:r>
      <w:r w:rsidRPr="008B317B">
        <w:rPr>
          <w:rFonts w:ascii="Times New Roman" w:hAnsi="Times New Roman" w:cs="Times New Roman"/>
        </w:rPr>
        <w:t xml:space="preserve"> </w:t>
      </w:r>
    </w:p>
    <w:p w:rsidR="008B317B" w:rsidRPr="008B317B" w:rsidP="008B317B">
      <w:pPr>
        <w:ind w:left="340"/>
        <w:rPr>
          <w:rFonts w:ascii="Times New Roman" w:hAnsi="Times New Roman" w:cs="Times New Roman"/>
          <w:i/>
          <w:iCs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351D03" w:rsidP="002E7CD4">
      <w:pPr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AB0700">
        <w:rPr>
          <w:rFonts w:ascii="Times New Roman" w:hAnsi="Times New Roman" w:cs="Times New Roman"/>
        </w:rPr>
        <w:t xml:space="preserve">návrh </w:t>
      </w:r>
      <w:r w:rsidRPr="008B317B" w:rsidR="008B317B">
        <w:rPr>
          <w:rFonts w:ascii="Times New Roman" w:hAnsi="Times New Roman" w:cs="Times New Roman"/>
        </w:rPr>
        <w:t xml:space="preserve">poslanca Národnej rady Slovenskej republiky Ľudovíta Jurčíka na vydanie zákona, ktorým sa mení a dopĺňa zákon č. 309/2009 Z. z. o podpore obnoviteľných zdrojov energie a vysoko účinnej kombinovanej výroby a o zmene a doplnení niektorých zákonov (tlač 145)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</w:t>
      </w:r>
      <w:r w:rsidRPr="00F23F88">
        <w:rPr>
          <w:rFonts w:ascii="Times New Roman" w:hAnsi="Times New Roman" w:cs="Times New Roman"/>
        </w:rPr>
        <w:t>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8B317B">
        <w:rPr>
          <w:rFonts w:ascii="Times New Roman" w:hAnsi="Times New Roman" w:cs="Times New Roman"/>
        </w:rPr>
        <w:t xml:space="preserve">hospodárstvo, výstavbu a dopravu. </w:t>
      </w: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B85144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 w:rsidR="00AC663C">
        <w:rPr>
          <w:rFonts w:ascii="Times New Roman" w:hAnsi="Times New Roman" w:cs="Times New Roman"/>
          <w:b/>
        </w:rPr>
        <w:t xml:space="preserve">výboru Národnej rady SR č. </w:t>
      </w:r>
      <w:r>
        <w:rPr>
          <w:rFonts w:ascii="Times New Roman" w:hAnsi="Times New Roman" w:cs="Times New Roman"/>
          <w:b/>
        </w:rPr>
        <w:t>100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9B5C3F">
        <w:rPr>
          <w:rFonts w:ascii="Times New Roman" w:hAnsi="Times New Roman" w:cs="Times New Roman"/>
          <w:b/>
        </w:rPr>
        <w:t> </w:t>
      </w:r>
      <w:r w:rsidR="002536CA">
        <w:rPr>
          <w:rFonts w:ascii="Times New Roman" w:hAnsi="Times New Roman" w:cs="Times New Roman"/>
          <w:b/>
        </w:rPr>
        <w:t>24</w:t>
      </w:r>
      <w:r w:rsidR="009B5C3F">
        <w:rPr>
          <w:rFonts w:ascii="Times New Roman" w:hAnsi="Times New Roman" w:cs="Times New Roman"/>
          <w:b/>
        </w:rPr>
        <w:t>. novemb</w:t>
      </w:r>
      <w:r w:rsidR="005819AD">
        <w:rPr>
          <w:rFonts w:ascii="Times New Roman" w:hAnsi="Times New Roman" w:cs="Times New Roman"/>
          <w:b/>
        </w:rPr>
        <w:t>ra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RPr="00577FDA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AC663C" w:rsidRPr="0046263C" w:rsidP="00AC663C">
      <w:pPr>
        <w:pStyle w:val="Heading2"/>
        <w:ind w:left="4956" w:firstLine="0"/>
        <w:rPr>
          <w:rFonts w:ascii="Times New Roman" w:hAnsi="Times New Roman" w:cs="Times New Roman"/>
        </w:rPr>
      </w:pPr>
    </w:p>
    <w:p w:rsidR="008B317B" w:rsidRPr="008B317B" w:rsidP="008B317B">
      <w:pPr>
        <w:jc w:val="both"/>
        <w:rPr>
          <w:rFonts w:ascii="Times New Roman" w:hAnsi="Times New Roman" w:cs="Times New Roman"/>
          <w:b/>
        </w:rPr>
      </w:pPr>
      <w:r w:rsidRPr="008B317B" w:rsidR="00C5518C">
        <w:rPr>
          <w:rFonts w:ascii="Times New Roman" w:hAnsi="Times New Roman" w:cs="Times New Roman"/>
          <w:b/>
        </w:rPr>
        <w:t xml:space="preserve">k </w:t>
      </w:r>
      <w:r w:rsidRPr="008B317B" w:rsidR="002536CA">
        <w:rPr>
          <w:rFonts w:ascii="Times New Roman" w:hAnsi="Times New Roman" w:cs="Times New Roman"/>
          <w:b/>
        </w:rPr>
        <w:t xml:space="preserve">návrhu </w:t>
      </w:r>
      <w:r w:rsidRPr="008B317B" w:rsidR="00AB0700">
        <w:rPr>
          <w:rFonts w:ascii="Times New Roman" w:hAnsi="Times New Roman" w:cs="Times New Roman"/>
          <w:b/>
        </w:rPr>
        <w:t xml:space="preserve"> </w:t>
      </w:r>
      <w:r w:rsidRPr="008B317B">
        <w:rPr>
          <w:rFonts w:ascii="Times New Roman" w:hAnsi="Times New Roman" w:cs="Times New Roman"/>
          <w:b/>
        </w:rPr>
        <w:t xml:space="preserve">poslanca Národnej rady Slovenskej republiky Ľudovíta Jurčíka na vydanie zákona, ktorým sa mení a dopĺňa zákon č. 309/2009 Z. z. o podpore obnoviteľných zdrojov energie a vysoko účinnej kombinovanej výroby a o zmene a doplnení niektorých zákonov (tlač 145) </w:t>
      </w:r>
    </w:p>
    <w:p w:rsidR="00AC663C" w:rsidRPr="002E7CD4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2E7CD4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347250" w:rsidP="00AC663C">
      <w:pPr>
        <w:jc w:val="both"/>
        <w:rPr>
          <w:rFonts w:ascii="Times New Roman" w:hAnsi="Times New Roman" w:cs="Times New Roman"/>
          <w:b/>
        </w:rPr>
      </w:pPr>
    </w:p>
    <w:p w:rsidR="00347250" w:rsidP="00AC663C">
      <w:pPr>
        <w:jc w:val="both"/>
        <w:rPr>
          <w:rFonts w:ascii="Times New Roman" w:hAnsi="Times New Roman" w:cs="Times New Roman"/>
          <w:b/>
        </w:rPr>
      </w:pPr>
    </w:p>
    <w:p w:rsidR="00347250" w:rsidP="00347250">
      <w:pPr>
        <w:rPr>
          <w:rFonts w:ascii="Times New Roman" w:hAnsi="Times New Roman" w:cs="Times New Roman"/>
        </w:rPr>
      </w:pPr>
    </w:p>
    <w:p w:rsidR="00347250" w:rsidP="00347250">
      <w:pPr>
        <w:ind w:left="284" w:hanging="284"/>
        <w:rPr>
          <w:rFonts w:ascii="Times New Roman" w:hAnsi="Times New Roman" w:cs="Times New Roman"/>
        </w:rPr>
      </w:pPr>
      <w:r w:rsidRPr="00685AE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V názve návrhu zákona sa na konci pripájajú tieto slová: „a ktorým sa dopĺňa zákon č. 276/2001 Z. z. o regulácii v sieťových odvetviach a o zmene a doplnení niektorých zákonov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predpisov“.</w:t>
      </w:r>
    </w:p>
    <w:p w:rsidR="00347250" w:rsidP="00347250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80"/>
          <w:sz w:val="20"/>
          <w:szCs w:val="20"/>
        </w:rPr>
        <w:t> </w:t>
      </w:r>
    </w:p>
    <w:p w:rsidR="00347250" w:rsidRPr="00E935CA" w:rsidP="00347250">
      <w:pPr>
        <w:ind w:left="252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Legislatívno-technická</w:t>
      </w:r>
      <w:r w:rsidR="00B03887">
        <w:rPr>
          <w:rFonts w:ascii="Times New Roman" w:hAnsi="Times New Roman" w:cs="Times New Roman"/>
          <w:lang w:eastAsia="cs-CZ"/>
        </w:rPr>
        <w:t xml:space="preserve"> úprava. </w:t>
      </w:r>
    </w:p>
    <w:p w:rsidR="00347250" w:rsidP="00347250">
      <w:pPr>
        <w:rPr>
          <w:rFonts w:ascii="Times New Roman" w:hAnsi="Times New Roman" w:cs="Times New Roman"/>
        </w:rPr>
      </w:pPr>
    </w:p>
    <w:p w:rsidR="00347250" w:rsidP="00347250">
      <w:pPr>
        <w:rPr>
          <w:rFonts w:ascii="Times New Roman" w:hAnsi="Times New Roman" w:cs="Times New Roman"/>
        </w:rPr>
      </w:pPr>
    </w:p>
    <w:p w:rsidR="00347250" w:rsidRPr="00685AEC" w:rsidP="00347250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85AEC">
        <w:rPr>
          <w:rFonts w:ascii="Times New Roman" w:hAnsi="Times New Roman" w:cs="Times New Roman"/>
        </w:rPr>
        <w:t>V článku I</w:t>
      </w:r>
      <w:r w:rsidR="00B03887">
        <w:rPr>
          <w:rFonts w:ascii="Times New Roman" w:hAnsi="Times New Roman" w:cs="Times New Roman"/>
        </w:rPr>
        <w:t>  2.</w:t>
      </w:r>
      <w:r w:rsidRPr="00685AEC">
        <w:rPr>
          <w:rFonts w:ascii="Times New Roman" w:hAnsi="Times New Roman" w:cs="Times New Roman"/>
        </w:rPr>
        <w:t xml:space="preserve"> bod</w:t>
      </w:r>
      <w:r w:rsidR="00B0388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sa slovo „využívajúce“ nahrádza slovami „využívajúce ako zdroj“. </w:t>
      </w:r>
    </w:p>
    <w:p w:rsidR="00347250" w:rsidP="00347250">
      <w:pPr>
        <w:ind w:left="2520"/>
        <w:rPr>
          <w:rFonts w:ascii="Times New Roman" w:hAnsi="Times New Roman" w:cs="Times New Roman"/>
          <w:lang w:eastAsia="cs-CZ"/>
        </w:rPr>
      </w:pPr>
    </w:p>
    <w:p w:rsidR="00347250" w:rsidRPr="00E935CA" w:rsidP="00347250">
      <w:pPr>
        <w:ind w:left="2520"/>
        <w:rPr>
          <w:rFonts w:ascii="Times New Roman" w:hAnsi="Times New Roman" w:cs="Times New Roman"/>
          <w:lang w:eastAsia="cs-CZ"/>
        </w:rPr>
      </w:pPr>
      <w:r w:rsidRPr="00E935CA">
        <w:rPr>
          <w:rFonts w:ascii="Times New Roman" w:hAnsi="Times New Roman" w:cs="Times New Roman"/>
          <w:lang w:eastAsia="cs-CZ"/>
        </w:rPr>
        <w:t>Legislatívno-technická úprava</w:t>
      </w:r>
      <w:r w:rsidR="00B03887">
        <w:rPr>
          <w:rFonts w:ascii="Times New Roman" w:hAnsi="Times New Roman" w:cs="Times New Roman"/>
          <w:lang w:eastAsia="cs-CZ"/>
        </w:rPr>
        <w:t xml:space="preserve">. </w:t>
      </w:r>
    </w:p>
    <w:p w:rsidR="00347250" w:rsidP="00347250">
      <w:pPr>
        <w:rPr>
          <w:rFonts w:ascii="Times New Roman" w:hAnsi="Times New Roman" w:cs="Times New Roman"/>
        </w:rPr>
      </w:pPr>
    </w:p>
    <w:p w:rsidR="00347250" w:rsidP="00347250">
      <w:pPr>
        <w:rPr>
          <w:rFonts w:ascii="Times New Roman" w:hAnsi="Times New Roman" w:cs="Times New Roman"/>
        </w:rPr>
      </w:pPr>
    </w:p>
    <w:p w:rsidR="00347250" w:rsidP="00347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 článku I</w:t>
      </w:r>
      <w:r w:rsidR="00B03887">
        <w:rPr>
          <w:rFonts w:ascii="Times New Roman" w:hAnsi="Times New Roman" w:cs="Times New Roman"/>
        </w:rPr>
        <w:t>  3.</w:t>
      </w:r>
      <w:r>
        <w:rPr>
          <w:rFonts w:ascii="Times New Roman" w:hAnsi="Times New Roman" w:cs="Times New Roman"/>
        </w:rPr>
        <w:t xml:space="preserve"> bod znie:</w:t>
      </w:r>
    </w:p>
    <w:p w:rsidR="00347250" w:rsidP="0034725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„3. V § 3 ods. 6 sa za prvú vetu vkladá nová druhá veta, ktorá znie: „Náklady na </w:t>
      </w:r>
      <w:r w:rsidRPr="00071C53">
        <w:rPr>
          <w:rFonts w:ascii="Times New Roman" w:hAnsi="Times New Roman" w:cs="Times New Roman"/>
        </w:rPr>
        <w:t>rekonštrukci</w:t>
      </w:r>
      <w:r>
        <w:rPr>
          <w:rFonts w:ascii="Times New Roman" w:hAnsi="Times New Roman" w:cs="Times New Roman"/>
        </w:rPr>
        <w:t>u</w:t>
      </w:r>
      <w:r w:rsidRPr="00071C53">
        <w:rPr>
          <w:rFonts w:ascii="Times New Roman" w:hAnsi="Times New Roman" w:cs="Times New Roman"/>
        </w:rPr>
        <w:t xml:space="preserve"> alebo modernizáci</w:t>
      </w:r>
      <w:r>
        <w:rPr>
          <w:rFonts w:ascii="Times New Roman" w:hAnsi="Times New Roman" w:cs="Times New Roman"/>
        </w:rPr>
        <w:t>u</w:t>
      </w:r>
      <w:r w:rsidRPr="00071C53">
        <w:rPr>
          <w:rFonts w:ascii="Times New Roman" w:hAnsi="Times New Roman" w:cs="Times New Roman"/>
        </w:rPr>
        <w:t xml:space="preserve"> technologickej časti</w:t>
      </w:r>
      <w:r>
        <w:rPr>
          <w:rFonts w:ascii="Times New Roman" w:hAnsi="Times New Roman" w:cs="Times New Roman"/>
        </w:rPr>
        <w:t xml:space="preserve"> zariadenia výrobcu elektriny musia byť vyššie ako 50 % investičných nákladov na obstaranie novej porovnateľnej</w:t>
      </w:r>
      <w:r w:rsidRPr="00164AFD">
        <w:rPr>
          <w:rFonts w:ascii="Times New Roman" w:hAnsi="Times New Roman" w:cs="Times New Roman"/>
        </w:rPr>
        <w:t xml:space="preserve"> </w:t>
      </w:r>
      <w:r w:rsidRPr="00071C53">
        <w:rPr>
          <w:rFonts w:ascii="Times New Roman" w:hAnsi="Times New Roman" w:cs="Times New Roman"/>
        </w:rPr>
        <w:t>technologickej časti</w:t>
      </w:r>
      <w:r>
        <w:rPr>
          <w:rFonts w:ascii="Times New Roman" w:hAnsi="Times New Roman" w:cs="Times New Roman"/>
        </w:rPr>
        <w:t xml:space="preserve"> zariadenia výrobcu elektriny, okrem zariadenia výrobcu elektriny využívajúce ako zdroj vodnú energiu s inštalovaným výkonom do 2 MW.“. </w:t>
      </w:r>
    </w:p>
    <w:p w:rsidR="00347250" w:rsidP="0034725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</w:r>
    </w:p>
    <w:p w:rsidR="00347250" w:rsidP="00347250">
      <w:pPr>
        <w:ind w:left="25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</w:t>
      </w:r>
      <w:r>
        <w:rPr>
          <w:rFonts w:ascii="Times New Roman" w:hAnsi="Times New Roman" w:cs="Times New Roman"/>
        </w:rPr>
        <w:t xml:space="preserve"> aby pri </w:t>
      </w:r>
      <w:r w:rsidRPr="00164AFD">
        <w:rPr>
          <w:rFonts w:ascii="Times New Roman" w:hAnsi="Times New Roman" w:cs="Times New Roman"/>
        </w:rPr>
        <w:t>posudzovan</w:t>
      </w:r>
      <w:r>
        <w:rPr>
          <w:rFonts w:ascii="Times New Roman" w:hAnsi="Times New Roman" w:cs="Times New Roman"/>
        </w:rPr>
        <w:t>í</w:t>
      </w:r>
      <w:r w:rsidRPr="00164A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rekonštrukcii alebo modernizácii technologickej časti výrobcu elektriny sa nevyžadovalo </w:t>
      </w:r>
      <w:r w:rsidRPr="00164AFD">
        <w:rPr>
          <w:rFonts w:ascii="Times New Roman" w:hAnsi="Times New Roman" w:cs="Times New Roman"/>
        </w:rPr>
        <w:t xml:space="preserve">prekročenie 50% investičných nákladov na novú porovnateľnú </w:t>
      </w:r>
      <w:r>
        <w:rPr>
          <w:rFonts w:ascii="Times New Roman" w:hAnsi="Times New Roman" w:cs="Times New Roman"/>
        </w:rPr>
        <w:t xml:space="preserve">technologickú časť pre zariadenia výrobcu elektriny využívajúce ako zdroj vodnú energiu </w:t>
      </w:r>
      <w:r>
        <w:rPr>
          <w:rFonts w:ascii="Times New Roman" w:hAnsi="Times New Roman" w:cs="Times New Roman"/>
        </w:rPr>
        <w:t>s inštalovaným výkonom do 2 MW.</w:t>
      </w:r>
    </w:p>
    <w:p w:rsidR="00347250" w:rsidP="00347250">
      <w:pPr>
        <w:rPr>
          <w:rFonts w:ascii="Times New Roman" w:hAnsi="Times New Roman" w:cs="Times New Roman"/>
        </w:rPr>
      </w:pPr>
    </w:p>
    <w:p w:rsidR="00347250" w:rsidP="00347250">
      <w:pPr>
        <w:rPr>
          <w:rFonts w:ascii="Times New Roman" w:hAnsi="Times New Roman" w:cs="Times New Roman"/>
        </w:rPr>
      </w:pPr>
    </w:p>
    <w:p w:rsidR="00347250" w:rsidP="00347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441832">
        <w:rPr>
          <w:rFonts w:ascii="Times New Roman" w:hAnsi="Times New Roman" w:cs="Times New Roman"/>
        </w:rPr>
        <w:t xml:space="preserve">V článku </w:t>
      </w:r>
      <w:r>
        <w:rPr>
          <w:rFonts w:ascii="Times New Roman" w:hAnsi="Times New Roman" w:cs="Times New Roman"/>
        </w:rPr>
        <w:t>I</w:t>
      </w:r>
      <w:r w:rsidR="00B03887">
        <w:rPr>
          <w:rFonts w:ascii="Times New Roman" w:hAnsi="Times New Roman" w:cs="Times New Roman"/>
        </w:rPr>
        <w:t xml:space="preserve">  4. </w:t>
      </w:r>
      <w:r>
        <w:rPr>
          <w:rFonts w:ascii="Times New Roman" w:hAnsi="Times New Roman" w:cs="Times New Roman"/>
        </w:rPr>
        <w:t>bod znie:</w:t>
      </w:r>
    </w:p>
    <w:p w:rsidR="00347250" w:rsidP="00347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47250" w:rsidP="0034725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„4. § 3 sa dopĺňa odsekom 8, ktorý znie:</w:t>
      </w:r>
    </w:p>
    <w:p w:rsidR="00347250" w:rsidP="0034725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„(8) Pri zariadení výrobcu elektriny využívajúce ako zdroj slnečnú energiu sa podpora podľa odseku 1 písm. c) vzťahuje len na zariadenie s inštalovaným výkonom do 30 kW, ktoré je umiestnené na strešnej konštrukcii alebo obvodovom plášti jednej budovy spojenej so zemou pevným základom evidovanej v katastri nehnuteľnosti.</w:t>
      </w:r>
      <w:r>
        <w:rPr>
          <w:rFonts w:ascii="Times New Roman" w:hAnsi="Times New Roman" w:cs="Times New Roman"/>
          <w:vertAlign w:val="superscript"/>
        </w:rPr>
        <w:t>9a)</w:t>
      </w:r>
      <w:r>
        <w:rPr>
          <w:rFonts w:ascii="Times New Roman" w:hAnsi="Times New Roman" w:cs="Times New Roman"/>
        </w:rPr>
        <w:t>“.</w:t>
      </w:r>
    </w:p>
    <w:p w:rsidR="00347250" w:rsidP="00347250">
      <w:pPr>
        <w:jc w:val="both"/>
        <w:rPr>
          <w:rFonts w:ascii="Times New Roman" w:hAnsi="Times New Roman" w:cs="Times New Roman"/>
        </w:rPr>
      </w:pPr>
    </w:p>
    <w:p w:rsidR="00347250" w:rsidP="00347250">
      <w:pPr>
        <w:ind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Poznámka pod čiarou k odkazu 9a </w:t>
      </w:r>
      <w:r w:rsidRPr="00D268F7">
        <w:rPr>
          <w:rFonts w:ascii="Times New Roman" w:hAnsi="Times New Roman" w:cs="Times New Roman"/>
          <w:szCs w:val="22"/>
        </w:rPr>
        <w:t xml:space="preserve">znie: </w:t>
      </w:r>
    </w:p>
    <w:p w:rsidR="00347250" w:rsidP="0034725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„9</w:t>
      </w:r>
      <w:r>
        <w:rPr>
          <w:rFonts w:ascii="Times New Roman" w:hAnsi="Times New Roman" w:cs="Times New Roman"/>
          <w:iCs/>
          <w:szCs w:val="22"/>
        </w:rPr>
        <w:t>a</w:t>
      </w:r>
      <w:r w:rsidRPr="00D268F7">
        <w:rPr>
          <w:rFonts w:ascii="Times New Roman" w:hAnsi="Times New Roman" w:cs="Times New Roman"/>
          <w:iCs/>
          <w:szCs w:val="22"/>
        </w:rPr>
        <w:t>)</w:t>
      </w:r>
      <w:r w:rsidRPr="00D268F7">
        <w:rPr>
          <w:rFonts w:ascii="Times New Roman" w:hAnsi="Times New Roman" w:cs="Times New Roman"/>
          <w:szCs w:val="22"/>
        </w:rPr>
        <w:t xml:space="preserve"> §</w:t>
      </w:r>
      <w:r>
        <w:rPr>
          <w:rFonts w:ascii="Times New Roman" w:hAnsi="Times New Roman" w:cs="Times New Roman"/>
          <w:szCs w:val="22"/>
        </w:rPr>
        <w:t xml:space="preserve"> 1 z</w:t>
      </w:r>
      <w:r>
        <w:rPr>
          <w:rFonts w:ascii="Times New Roman" w:hAnsi="Times New Roman" w:cs="Times New Roman"/>
        </w:rPr>
        <w:t>ákona č. 162/1995 Z. z</w:t>
      </w:r>
      <w:r w:rsidRPr="00EB5571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o katastri nehnuteľ</w:t>
      </w:r>
      <w:r w:rsidRPr="00EB5571">
        <w:rPr>
          <w:rFonts w:ascii="Times New Roman" w:hAnsi="Times New Roman" w:cs="Times New Roman"/>
          <w:szCs w:val="22"/>
        </w:rPr>
        <w:t>ností a o zápise vlas</w:t>
      </w:r>
      <w:r>
        <w:rPr>
          <w:rFonts w:ascii="Times New Roman" w:hAnsi="Times New Roman" w:cs="Times New Roman"/>
          <w:szCs w:val="22"/>
        </w:rPr>
        <w:t>tníckych a iných práv k nehnuteľ</w:t>
      </w:r>
      <w:r w:rsidRPr="00EB5571">
        <w:rPr>
          <w:rFonts w:ascii="Times New Roman" w:hAnsi="Times New Roman" w:cs="Times New Roman"/>
          <w:szCs w:val="22"/>
        </w:rPr>
        <w:t>nostiam</w:t>
      </w:r>
      <w:r>
        <w:rPr>
          <w:rFonts w:ascii="Times New Roman" w:hAnsi="Times New Roman" w:cs="Times New Roman"/>
          <w:szCs w:val="22"/>
        </w:rPr>
        <w:t>.“.“.</w:t>
      </w:r>
    </w:p>
    <w:p w:rsidR="00347250" w:rsidP="00347250">
      <w:pPr>
        <w:jc w:val="both"/>
        <w:rPr>
          <w:rFonts w:ascii="Times New Roman" w:hAnsi="Times New Roman" w:cs="Times New Roman"/>
        </w:rPr>
      </w:pPr>
    </w:p>
    <w:p w:rsidR="00347250" w:rsidP="00347250">
      <w:pPr>
        <w:ind w:left="25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základe stanovi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a Legislatívnej rady vlády SR na rokovaní dňa 9.11.2010 sa slová „obvodovej stene“ nahrádzajú slovami „obvodovom plášti“ podľa aplikovaného pojmu vyhlášky </w:t>
      </w:r>
      <w:r w:rsidRPr="00A33F73">
        <w:rPr>
          <w:rFonts w:ascii="Times New Roman" w:hAnsi="Times New Roman" w:cs="Times New Roman"/>
        </w:rPr>
        <w:t xml:space="preserve">č. 625/2006 Z .z, </w:t>
      </w:r>
      <w:r>
        <w:rPr>
          <w:rFonts w:ascii="Times New Roman" w:hAnsi="Times New Roman" w:cs="Times New Roman"/>
        </w:rPr>
        <w:t xml:space="preserve"> </w:t>
      </w:r>
      <w:r w:rsidRPr="00A33F73">
        <w:rPr>
          <w:rFonts w:ascii="Times New Roman" w:hAnsi="Times New Roman" w:cs="Times New Roman"/>
        </w:rPr>
        <w:t>ktorou sa vykonáva zákon č. 555/2005</w:t>
      </w:r>
      <w:r>
        <w:rPr>
          <w:rFonts w:ascii="Times New Roman" w:hAnsi="Times New Roman" w:cs="Times New Roman"/>
        </w:rPr>
        <w:t xml:space="preserve">   Z.z.  o                                       </w:t>
      </w:r>
      <w:r w:rsidRPr="00A33F73">
        <w:rPr>
          <w:rFonts w:ascii="Times New Roman" w:hAnsi="Times New Roman" w:cs="Times New Roman"/>
        </w:rPr>
        <w:t xml:space="preserve"> energetickej hospodárnosti budov a o zmene a</w:t>
      </w:r>
      <w:r>
        <w:rPr>
          <w:rFonts w:ascii="Times New Roman" w:hAnsi="Times New Roman" w:cs="Times New Roman"/>
        </w:rPr>
        <w:t> </w:t>
      </w:r>
      <w:r w:rsidRPr="00A33F73">
        <w:rPr>
          <w:rFonts w:ascii="Times New Roman" w:hAnsi="Times New Roman" w:cs="Times New Roman"/>
        </w:rPr>
        <w:t>doplnení</w:t>
      </w:r>
      <w:r>
        <w:rPr>
          <w:rFonts w:ascii="Times New Roman" w:hAnsi="Times New Roman" w:cs="Times New Roman"/>
        </w:rPr>
        <w:t xml:space="preserve"> niektorých </w:t>
      </w:r>
      <w:r w:rsidRPr="00A33F73">
        <w:rPr>
          <w:rFonts w:ascii="Times New Roman" w:hAnsi="Times New Roman" w:cs="Times New Roman"/>
        </w:rPr>
        <w:t>zákonov</w:t>
      </w:r>
      <w:r>
        <w:rPr>
          <w:rFonts w:ascii="Times New Roman" w:hAnsi="Times New Roman" w:cs="Times New Roman"/>
        </w:rPr>
        <w:t xml:space="preserve"> a upresňuje sa definícia budovy. Zároveň sa navrhuje ú</w:t>
      </w:r>
      <w:r>
        <w:rPr>
          <w:rFonts w:ascii="Times New Roman" w:hAnsi="Times New Roman" w:cs="Times New Roman"/>
          <w:bCs/>
        </w:rPr>
        <w:t>prava podpory pre elektrinu zo slnečnej energie s tým, že nárok na podporu doplatkom sa obmedzuje len na zariadenie umiestnené na strešnej konštrukcii alebo obvodovom plášti do inštalovaného výkonu 30 kW.</w:t>
      </w:r>
    </w:p>
    <w:p w:rsidR="00347250" w:rsidP="00347250">
      <w:pPr>
        <w:jc w:val="both"/>
        <w:rPr>
          <w:rFonts w:ascii="Times New Roman" w:hAnsi="Times New Roman" w:cs="Times New Roman"/>
        </w:rPr>
      </w:pPr>
    </w:p>
    <w:p w:rsidR="00347250" w:rsidP="00347250">
      <w:pPr>
        <w:jc w:val="both"/>
        <w:rPr>
          <w:rFonts w:ascii="Times New Roman" w:hAnsi="Times New Roman" w:cs="Times New Roman"/>
        </w:rPr>
      </w:pPr>
    </w:p>
    <w:p w:rsidR="00347250" w:rsidP="00347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D765AB">
        <w:rPr>
          <w:rFonts w:ascii="Times New Roman" w:hAnsi="Times New Roman" w:cs="Times New Roman"/>
        </w:rPr>
        <w:t xml:space="preserve"> </w:t>
      </w:r>
      <w:r w:rsidRPr="00441832">
        <w:rPr>
          <w:rFonts w:ascii="Times New Roman" w:hAnsi="Times New Roman" w:cs="Times New Roman"/>
        </w:rPr>
        <w:t xml:space="preserve">V článku </w:t>
      </w:r>
      <w:r>
        <w:rPr>
          <w:rFonts w:ascii="Times New Roman" w:hAnsi="Times New Roman" w:cs="Times New Roman"/>
        </w:rPr>
        <w:t>I</w:t>
      </w:r>
      <w:r w:rsidR="00B03887">
        <w:rPr>
          <w:rFonts w:ascii="Times New Roman" w:hAnsi="Times New Roman" w:cs="Times New Roman"/>
        </w:rPr>
        <w:t> 6.</w:t>
      </w:r>
      <w:r>
        <w:rPr>
          <w:rFonts w:ascii="Times New Roman" w:hAnsi="Times New Roman" w:cs="Times New Roman"/>
        </w:rPr>
        <w:t xml:space="preserve"> bod znie:</w:t>
      </w:r>
    </w:p>
    <w:p w:rsidR="00347250" w:rsidP="00347250">
      <w:pPr>
        <w:rPr>
          <w:rFonts w:ascii="Times New Roman" w:hAnsi="Times New Roman" w:cs="Times New Roman"/>
        </w:rPr>
      </w:pPr>
    </w:p>
    <w:p w:rsidR="00347250" w:rsidP="0034725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„6. V § 6 ods. 1 sa za písmeno c) vkladá nov</w:t>
      </w:r>
      <w:r>
        <w:rPr>
          <w:rFonts w:ascii="Times New Roman" w:hAnsi="Times New Roman" w:cs="Times New Roman"/>
        </w:rPr>
        <w:t>é písmeno d), ktoré znie:</w:t>
      </w:r>
    </w:p>
    <w:p w:rsidR="00347250" w:rsidRPr="006B7421" w:rsidP="00347250">
      <w:pPr>
        <w:ind w:left="851" w:hanging="491"/>
        <w:rPr>
          <w:rFonts w:ascii="Times New Roman" w:hAnsi="Times New Roman" w:cs="Times New Roman"/>
          <w:color w:val="0000FF"/>
          <w:lang w:eastAsia="cs-CZ"/>
        </w:rPr>
      </w:pPr>
      <w:r>
        <w:rPr>
          <w:rFonts w:ascii="Times New Roman" w:hAnsi="Times New Roman" w:cs="Times New Roman"/>
        </w:rPr>
        <w:t xml:space="preserve">   „d) jednoduchou dobou návratnosti </w:t>
      </w:r>
      <w:r w:rsidRPr="006B7421">
        <w:rPr>
          <w:rFonts w:ascii="Times New Roman" w:hAnsi="Times New Roman" w:cs="Times New Roman"/>
        </w:rPr>
        <w:t xml:space="preserve"> </w:t>
      </w:r>
      <w:r w:rsidRPr="006B7421">
        <w:rPr>
          <w:rFonts w:ascii="Times New Roman" w:hAnsi="Times New Roman" w:cs="PLODNB+TimesNewRoman"/>
          <w:color w:val="000000"/>
        </w:rPr>
        <w:t>dob</w:t>
      </w:r>
      <w:r>
        <w:rPr>
          <w:rFonts w:ascii="Times New Roman" w:hAnsi="Times New Roman" w:cs="PLODNB+TimesNewRoman"/>
          <w:color w:val="000000"/>
        </w:rPr>
        <w:t>a</w:t>
      </w:r>
      <w:r w:rsidRPr="006B7421">
        <w:rPr>
          <w:rFonts w:ascii="Times New Roman" w:hAnsi="Times New Roman" w:cs="PLODNB+TimesNewRoman"/>
          <w:color w:val="000000"/>
        </w:rPr>
        <w:t xml:space="preserve"> trvania projektu od jeho za</w:t>
      </w:r>
      <w:r w:rsidRPr="006B7421">
        <w:rPr>
          <w:rFonts w:ascii="Times New Roman" w:hAnsi="Times New Roman" w:cs="Times New Roman"/>
          <w:color w:val="000000"/>
        </w:rPr>
        <w:t>č</w:t>
      </w:r>
      <w:r w:rsidRPr="006B7421">
        <w:rPr>
          <w:rFonts w:ascii="Times New Roman" w:hAnsi="Times New Roman" w:cs="PLODNB+TimesNewRoman"/>
          <w:color w:val="000000"/>
        </w:rPr>
        <w:t xml:space="preserve">iatku do obdobia, kým sa </w:t>
      </w:r>
      <w:r>
        <w:rPr>
          <w:rFonts w:ascii="Times New Roman" w:hAnsi="Times New Roman" w:cs="PLODNB+TimesNewRoman"/>
          <w:color w:val="000000"/>
        </w:rPr>
        <w:t>úhrnný</w:t>
      </w:r>
      <w:r w:rsidRPr="006B7421">
        <w:rPr>
          <w:rFonts w:ascii="Times New Roman" w:hAnsi="Times New Roman" w:cs="PLODNB+TimesNewRoman"/>
          <w:color w:val="000000"/>
        </w:rPr>
        <w:t xml:space="preserve"> </w:t>
      </w:r>
      <w:r>
        <w:rPr>
          <w:rFonts w:ascii="Times New Roman" w:hAnsi="Times New Roman" w:cs="PLODNB+TimesNewRoman"/>
          <w:color w:val="000000"/>
        </w:rPr>
        <w:t>peňažný tok</w:t>
      </w:r>
      <w:r w:rsidRPr="00497FC1">
        <w:rPr>
          <w:rFonts w:ascii="Times New Roman" w:hAnsi="Times New Roman" w:cs="Times New Roman"/>
          <w:color w:val="000000"/>
        </w:rPr>
        <w:t xml:space="preserve"> nestane </w:t>
      </w:r>
      <w:r>
        <w:rPr>
          <w:rFonts w:ascii="Times New Roman" w:hAnsi="Times New Roman" w:cs="Times New Roman"/>
          <w:color w:val="000000"/>
        </w:rPr>
        <w:t>kladným</w:t>
      </w:r>
      <w:r w:rsidRPr="006B7421">
        <w:rPr>
          <w:rFonts w:ascii="Times New Roman" w:hAnsi="Times New Roman" w:cs="PLODNB+TimesNewRoman"/>
          <w:color w:val="000000"/>
        </w:rPr>
        <w:t>.</w:t>
      </w:r>
      <w:r>
        <w:rPr>
          <w:rFonts w:ascii="Times New Roman" w:hAnsi="Times New Roman" w:cs="PLODNB+TimesNewRoman"/>
          <w:color w:val="000000"/>
        </w:rPr>
        <w:t>“.“.</w:t>
      </w:r>
    </w:p>
    <w:p w:rsidR="00347250" w:rsidP="00347250">
      <w:pPr>
        <w:jc w:val="both"/>
        <w:rPr>
          <w:rFonts w:ascii="Times New Roman" w:hAnsi="Times New Roman" w:cs="Times New Roman"/>
        </w:rPr>
      </w:pPr>
    </w:p>
    <w:p w:rsidR="00347250" w:rsidP="00347250">
      <w:pPr>
        <w:ind w:left="25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Ustanovenie týkajúce sa neuplatňovania podpory podľa odseku 3 ods. 1 písm. c) v prípade ak pri výstavbe zariadenia na výrobu elektriny bola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ytnutá akákoľvek investičná pomoc z prostriedkov štátneho rozpočtu sa nahrádza ustanovením, ktorým sa upresňuje pojem jednoduchej doby návratnosti.  </w:t>
      </w:r>
    </w:p>
    <w:p w:rsidR="00347250" w:rsidP="00347250">
      <w:pPr>
        <w:jc w:val="both"/>
        <w:rPr>
          <w:rFonts w:ascii="Times New Roman" w:hAnsi="Times New Roman" w:cs="Times New Roman"/>
        </w:rPr>
      </w:pPr>
    </w:p>
    <w:p w:rsidR="00347250" w:rsidP="00347250">
      <w:pPr>
        <w:rPr>
          <w:rFonts w:ascii="Times New Roman" w:hAnsi="Times New Roman" w:cs="Times New Roman"/>
        </w:rPr>
      </w:pPr>
    </w:p>
    <w:p w:rsidR="00347250" w:rsidP="00347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441832">
        <w:rPr>
          <w:rFonts w:ascii="Times New Roman" w:hAnsi="Times New Roman" w:cs="Times New Roman"/>
        </w:rPr>
        <w:t xml:space="preserve">V článku </w:t>
      </w:r>
      <w:r>
        <w:rPr>
          <w:rFonts w:ascii="Times New Roman" w:hAnsi="Times New Roman" w:cs="Times New Roman"/>
        </w:rPr>
        <w:t>I</w:t>
      </w:r>
      <w:r w:rsidR="00B03887">
        <w:rPr>
          <w:rFonts w:ascii="Times New Roman" w:hAnsi="Times New Roman" w:cs="Times New Roman"/>
        </w:rPr>
        <w:t xml:space="preserve">  8. </w:t>
      </w:r>
      <w:r>
        <w:rPr>
          <w:rFonts w:ascii="Times New Roman" w:hAnsi="Times New Roman" w:cs="Times New Roman"/>
        </w:rPr>
        <w:t>bod  znie:</w:t>
      </w:r>
    </w:p>
    <w:p w:rsidR="00347250" w:rsidP="00347250">
      <w:pPr>
        <w:ind w:firstLine="360"/>
        <w:rPr>
          <w:rFonts w:ascii="Times New Roman" w:hAnsi="Times New Roman" w:cs="Times New Roman"/>
        </w:rPr>
      </w:pPr>
    </w:p>
    <w:p w:rsidR="00347250" w:rsidP="0034725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„8. Za § 18 sa vkladá § 18a, ktorý vrátane nadpisu znie:</w:t>
      </w:r>
    </w:p>
    <w:p w:rsidR="00347250" w:rsidP="0034725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47250" w:rsidP="00347250">
      <w:pPr>
        <w:pStyle w:val="ListParagraph"/>
        <w:tabs>
          <w:tab w:val="left" w:pos="426"/>
        </w:tabs>
        <w:ind w:left="0"/>
        <w:jc w:val="center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>„§ 18a</w:t>
      </w:r>
      <w:r w:rsidRPr="004E7FC3">
        <w:rPr>
          <w:rFonts w:ascii="Times New Roman" w:hAnsi="Times New Roman" w:cs="Times New Roman"/>
        </w:rPr>
        <w:br/>
      </w:r>
      <w:r w:rsidRPr="00EA2634">
        <w:rPr>
          <w:rFonts w:ascii="Times New Roman" w:hAnsi="Times New Roman" w:cs="Times New Roman"/>
        </w:rPr>
        <w:t xml:space="preserve">Prechodné ustanovenie k úpravám účinným od 1. </w:t>
      </w:r>
      <w:r>
        <w:rPr>
          <w:rFonts w:ascii="Times New Roman" w:hAnsi="Times New Roman" w:cs="Times New Roman"/>
        </w:rPr>
        <w:t>februára</w:t>
      </w:r>
      <w:r w:rsidRPr="00EA2634">
        <w:rPr>
          <w:rFonts w:ascii="Times New Roman" w:hAnsi="Times New Roman" w:cs="Times New Roman"/>
        </w:rPr>
        <w:t xml:space="preserve"> 2011</w:t>
      </w:r>
    </w:p>
    <w:p w:rsidR="00347250" w:rsidP="00347250">
      <w:pPr>
        <w:jc w:val="center"/>
        <w:rPr>
          <w:rFonts w:ascii="Times New Roman" w:hAnsi="Times New Roman" w:cs="Times New Roman"/>
        </w:rPr>
      </w:pPr>
    </w:p>
    <w:p w:rsidR="00347250" w:rsidRPr="00A4709E" w:rsidP="00347250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Podmienky podpory výroby elektriny z obnoviteľných zdrojov energie a podpory výroby elektriny vysoko účinnou kombinovanou výrobou pri zariadení výrobcu elektriny, ktoré bolo uvedené do prevádzky pred 1. februárom 2011, zostávajú zachované podľa  dotera</w:t>
      </w:r>
      <w:r w:rsidRPr="00A4709E">
        <w:rPr>
          <w:rFonts w:ascii="Times New Roman" w:hAnsi="Times New Roman" w:cs="Times New Roman"/>
        </w:rPr>
        <w:t>jších predpisov.</w:t>
      </w:r>
    </w:p>
    <w:p w:rsidR="00347250" w:rsidRPr="00A4709E" w:rsidP="00347250">
      <w:pPr>
        <w:ind w:left="360" w:firstLine="348"/>
        <w:jc w:val="both"/>
        <w:rPr>
          <w:rFonts w:ascii="Times New Roman" w:hAnsi="Times New Roman" w:cs="Times New Roman"/>
        </w:rPr>
      </w:pPr>
    </w:p>
    <w:p w:rsidR="00347250" w:rsidRPr="00A4709E" w:rsidP="00347250">
      <w:pPr>
        <w:ind w:left="360" w:firstLine="348"/>
        <w:jc w:val="both"/>
        <w:rPr>
          <w:rFonts w:ascii="Times New Roman" w:hAnsi="Times New Roman" w:cs="Times New Roman"/>
        </w:rPr>
      </w:pPr>
      <w:r w:rsidRPr="00A4709E">
        <w:rPr>
          <w:rFonts w:ascii="Times New Roman" w:hAnsi="Times New Roman" w:cs="Times New Roman"/>
        </w:rPr>
        <w:t xml:space="preserve">(2) Na zariadenie, na ktorého výstavbu vydané stavebné povolenie nadobudlo právoplatnosť pred 1. </w:t>
      </w:r>
      <w:r>
        <w:rPr>
          <w:rFonts w:ascii="Times New Roman" w:hAnsi="Times New Roman" w:cs="Times New Roman"/>
        </w:rPr>
        <w:t>februárom</w:t>
      </w:r>
      <w:r w:rsidRPr="00A4709E">
        <w:rPr>
          <w:rFonts w:ascii="Times New Roman" w:hAnsi="Times New Roman" w:cs="Times New Roman"/>
        </w:rPr>
        <w:t xml:space="preserve"> 2011 a ktoré je uvedené do prevádzky pred 1. </w:t>
      </w:r>
      <w:r>
        <w:rPr>
          <w:rFonts w:ascii="Times New Roman" w:hAnsi="Times New Roman" w:cs="Times New Roman"/>
        </w:rPr>
        <w:t>júlom</w:t>
      </w:r>
      <w:r w:rsidRPr="00A4709E">
        <w:rPr>
          <w:rFonts w:ascii="Times New Roman" w:hAnsi="Times New Roman" w:cs="Times New Roman"/>
        </w:rPr>
        <w:t xml:space="preserve"> 2011, sa podpora podľa </w:t>
      </w:r>
      <w:r>
        <w:rPr>
          <w:rFonts w:ascii="Times New Roman" w:hAnsi="Times New Roman" w:cs="Times New Roman"/>
        </w:rPr>
        <w:t xml:space="preserve">§ 3 </w:t>
      </w:r>
      <w:r w:rsidRPr="00A4709E">
        <w:rPr>
          <w:rFonts w:ascii="Times New Roman" w:hAnsi="Times New Roman" w:cs="Times New Roman"/>
        </w:rPr>
        <w:t>ods</w:t>
      </w:r>
      <w:r>
        <w:rPr>
          <w:rFonts w:ascii="Times New Roman" w:hAnsi="Times New Roman" w:cs="Times New Roman"/>
        </w:rPr>
        <w:t>.</w:t>
      </w:r>
      <w:r w:rsidRPr="00A4709E">
        <w:rPr>
          <w:rFonts w:ascii="Times New Roman" w:hAnsi="Times New Roman" w:cs="Times New Roman"/>
        </w:rPr>
        <w:t xml:space="preserve"> 1 písm. d) vzťahuje na zariadenia výrobcu elektriny s celkovým inštalovaným výkonom  menej ako 4 MW a ustanovenie § 3 ods. 8 sa  </w:t>
      </w:r>
      <w:r>
        <w:rPr>
          <w:rFonts w:ascii="Times New Roman" w:hAnsi="Times New Roman" w:cs="Times New Roman"/>
        </w:rPr>
        <w:t xml:space="preserve">naň </w:t>
      </w:r>
      <w:r w:rsidRPr="00A4709E">
        <w:rPr>
          <w:rFonts w:ascii="Times New Roman" w:hAnsi="Times New Roman" w:cs="Times New Roman"/>
        </w:rPr>
        <w:t>nevzťahuje.“.</w:t>
      </w:r>
      <w:r>
        <w:rPr>
          <w:rFonts w:ascii="Times New Roman" w:hAnsi="Times New Roman" w:cs="Times New Roman"/>
        </w:rPr>
        <w:t>“.</w:t>
      </w:r>
    </w:p>
    <w:p w:rsidR="00347250" w:rsidP="00347250">
      <w:pPr>
        <w:ind w:left="25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Navrhujú sa prechodné ustanovenia k úpravám účinným od 1. februára 2011. Navrhuje sa, aby podmienky podpory výroby elektriny z obnoviteľných zdrojov energie a podpory výroby elektriny vysoko účinnou kombinovanou výrobou pri zariadení výrobcu elektriny, ktoré bolo uvedené do prevádzky pred 1. februárom 2011, zostali zachované podľa  dotera</w:t>
      </w:r>
      <w:r w:rsidRPr="00A4709E">
        <w:rPr>
          <w:rFonts w:ascii="Times New Roman" w:hAnsi="Times New Roman" w:cs="Times New Roman"/>
        </w:rPr>
        <w:t>jších predpisov.</w:t>
      </w:r>
      <w:r>
        <w:rPr>
          <w:rFonts w:ascii="Times New Roman" w:hAnsi="Times New Roman" w:cs="Times New Roman"/>
        </w:rPr>
        <w:t xml:space="preserve"> Zároveň sa navrhuje, aby n</w:t>
      </w:r>
      <w:r w:rsidRPr="00A4709E">
        <w:rPr>
          <w:rFonts w:ascii="Times New Roman" w:hAnsi="Times New Roman" w:cs="Times New Roman"/>
        </w:rPr>
        <w:t>a zariadenie, na ktorého výstavbu vydané stavebné povolenie nadobud</w:t>
      </w:r>
      <w:r>
        <w:rPr>
          <w:rFonts w:ascii="Times New Roman" w:hAnsi="Times New Roman" w:cs="Times New Roman"/>
        </w:rPr>
        <w:t>ne</w:t>
      </w:r>
      <w:r w:rsidRPr="00A4709E">
        <w:rPr>
          <w:rFonts w:ascii="Times New Roman" w:hAnsi="Times New Roman" w:cs="Times New Roman"/>
        </w:rPr>
        <w:t xml:space="preserve"> právoplatnosť pred 1. </w:t>
      </w:r>
      <w:r>
        <w:rPr>
          <w:rFonts w:ascii="Times New Roman" w:hAnsi="Times New Roman" w:cs="Times New Roman"/>
        </w:rPr>
        <w:t>februárom</w:t>
      </w:r>
      <w:r w:rsidRPr="00A4709E">
        <w:rPr>
          <w:rFonts w:ascii="Times New Roman" w:hAnsi="Times New Roman" w:cs="Times New Roman"/>
        </w:rPr>
        <w:t xml:space="preserve"> 2011 a ktoré </w:t>
      </w:r>
      <w:r>
        <w:rPr>
          <w:rFonts w:ascii="Times New Roman" w:hAnsi="Times New Roman" w:cs="Times New Roman"/>
        </w:rPr>
        <w:t>bude</w:t>
      </w:r>
      <w:r w:rsidRPr="00A4709E">
        <w:rPr>
          <w:rFonts w:ascii="Times New Roman" w:hAnsi="Times New Roman" w:cs="Times New Roman"/>
        </w:rPr>
        <w:t xml:space="preserve"> uvedené do prevádzky pred 1. </w:t>
      </w:r>
      <w:r>
        <w:rPr>
          <w:rFonts w:ascii="Times New Roman" w:hAnsi="Times New Roman" w:cs="Times New Roman"/>
        </w:rPr>
        <w:t>júlom</w:t>
      </w:r>
      <w:r w:rsidRPr="00A4709E">
        <w:rPr>
          <w:rFonts w:ascii="Times New Roman" w:hAnsi="Times New Roman" w:cs="Times New Roman"/>
        </w:rPr>
        <w:t xml:space="preserve"> 2011, sa podpora podľa </w:t>
      </w:r>
      <w:r>
        <w:rPr>
          <w:rFonts w:ascii="Times New Roman" w:hAnsi="Times New Roman" w:cs="Times New Roman"/>
        </w:rPr>
        <w:t xml:space="preserve">§ 3 </w:t>
      </w:r>
      <w:r w:rsidRPr="00A4709E">
        <w:rPr>
          <w:rFonts w:ascii="Times New Roman" w:hAnsi="Times New Roman" w:cs="Times New Roman"/>
        </w:rPr>
        <w:t>ods</w:t>
      </w:r>
      <w:r>
        <w:rPr>
          <w:rFonts w:ascii="Times New Roman" w:hAnsi="Times New Roman" w:cs="Times New Roman"/>
        </w:rPr>
        <w:t>.</w:t>
      </w:r>
      <w:r w:rsidRPr="00A4709E">
        <w:rPr>
          <w:rFonts w:ascii="Times New Roman" w:hAnsi="Times New Roman" w:cs="Times New Roman"/>
        </w:rPr>
        <w:t xml:space="preserve"> 1 písm. d) vzťah</w:t>
      </w:r>
      <w:r w:rsidR="00B03887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>ala</w:t>
      </w:r>
      <w:r w:rsidR="00B03887">
        <w:rPr>
          <w:rFonts w:ascii="Times New Roman" w:hAnsi="Times New Roman" w:cs="Times New Roman"/>
        </w:rPr>
        <w:t xml:space="preserve"> na </w:t>
      </w:r>
      <w:r w:rsidRPr="00A4709E">
        <w:rPr>
          <w:rFonts w:ascii="Times New Roman" w:hAnsi="Times New Roman" w:cs="Times New Roman"/>
        </w:rPr>
        <w:t xml:space="preserve">zariadenia výrobcu elektriny s celkovým inštalovaným výkonom  menej ako 4 MW a ustanovenie § 3 ods. 8 sa  </w:t>
      </w:r>
      <w:r>
        <w:rPr>
          <w:rFonts w:ascii="Times New Roman" w:hAnsi="Times New Roman" w:cs="Times New Roman"/>
        </w:rPr>
        <w:t xml:space="preserve">naň </w:t>
      </w:r>
      <w:r w:rsidRPr="00A4709E">
        <w:rPr>
          <w:rFonts w:ascii="Times New Roman" w:hAnsi="Times New Roman" w:cs="Times New Roman"/>
        </w:rPr>
        <w:t>nevzťah</w:t>
      </w:r>
      <w:r>
        <w:rPr>
          <w:rFonts w:ascii="Times New Roman" w:hAnsi="Times New Roman" w:cs="Times New Roman"/>
        </w:rPr>
        <w:t>ovali</w:t>
      </w:r>
      <w:r w:rsidRPr="00A4709E">
        <w:rPr>
          <w:rFonts w:ascii="Times New Roman" w:hAnsi="Times New Roman" w:cs="Times New Roman"/>
        </w:rPr>
        <w:t>.</w:t>
      </w:r>
    </w:p>
    <w:p w:rsidR="00347250" w:rsidP="00347250">
      <w:pPr>
        <w:ind w:left="360" w:firstLine="348"/>
        <w:jc w:val="both"/>
        <w:rPr>
          <w:rFonts w:ascii="Times New Roman" w:hAnsi="Times New Roman" w:cs="Times New Roman"/>
        </w:rPr>
      </w:pPr>
    </w:p>
    <w:p w:rsidR="00347250" w:rsidP="00347250">
      <w:pPr>
        <w:ind w:left="360" w:firstLine="348"/>
        <w:jc w:val="both"/>
        <w:rPr>
          <w:rFonts w:ascii="Times New Roman" w:hAnsi="Times New Roman" w:cs="Times New Roman"/>
        </w:rPr>
      </w:pPr>
    </w:p>
    <w:p w:rsidR="00347250" w:rsidP="003472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V</w:t>
      </w:r>
      <w:r w:rsidR="00944360">
        <w:rPr>
          <w:rFonts w:ascii="Times New Roman" w:hAnsi="Times New Roman" w:cs="Times New Roman"/>
        </w:rPr>
        <w:t> čl. I sa za 8. bod dopĺňa</w:t>
      </w:r>
      <w:r w:rsidR="00B03887">
        <w:rPr>
          <w:rFonts w:ascii="Times New Roman" w:hAnsi="Times New Roman" w:cs="Times New Roman"/>
        </w:rPr>
        <w:t>  9.</w:t>
      </w:r>
      <w:r>
        <w:rPr>
          <w:rFonts w:ascii="Times New Roman" w:hAnsi="Times New Roman" w:cs="Times New Roman"/>
        </w:rPr>
        <w:t xml:space="preserve"> bod</w:t>
      </w:r>
      <w:r w:rsidR="00944360">
        <w:rPr>
          <w:rFonts w:ascii="Times New Roman" w:hAnsi="Times New Roman" w:cs="Times New Roman"/>
        </w:rPr>
        <w:t>, ktorý</w:t>
      </w:r>
      <w:r>
        <w:rPr>
          <w:rFonts w:ascii="Times New Roman" w:hAnsi="Times New Roman" w:cs="Times New Roman"/>
        </w:rPr>
        <w:t xml:space="preserve"> znie:</w:t>
      </w:r>
    </w:p>
    <w:p w:rsidR="00347250" w:rsidP="00347250">
      <w:pPr>
        <w:ind w:left="360"/>
        <w:jc w:val="both"/>
        <w:rPr>
          <w:rFonts w:ascii="Times New Roman" w:hAnsi="Times New Roman" w:cs="Times New Roman"/>
        </w:rPr>
      </w:pPr>
      <w:r w:rsidR="00944360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9. V § 9 ods. 5 sa na konci pripája táto veta: „Úrad uverejní každo</w:t>
      </w:r>
      <w:r w:rsidR="00944360">
        <w:rPr>
          <w:rFonts w:ascii="Times New Roman" w:hAnsi="Times New Roman" w:cs="Times New Roman"/>
        </w:rPr>
        <w:t>ročne do 30. júna na </w:t>
      </w:r>
      <w:r w:rsidRPr="006E1921">
        <w:rPr>
          <w:rFonts w:ascii="Times New Roman" w:hAnsi="Times New Roman" w:cs="Times New Roman"/>
        </w:rPr>
        <w:t xml:space="preserve">svojom webovom sídle </w:t>
      </w:r>
      <w:r>
        <w:rPr>
          <w:rFonts w:ascii="Times New Roman" w:hAnsi="Times New Roman" w:cs="Times New Roman"/>
        </w:rPr>
        <w:t xml:space="preserve">zoznam výrobcov elektriny s právom na podporu,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utočné  množstvo vyrobenej elektriny, na ktoré sa vzťahuje doplatok a výšku celkového doplatku za predchádzajúci kalendárny rok za každého výrobcu elektriny a predpoklad na aktuálny kalendárny rok.“.  </w:t>
      </w:r>
    </w:p>
    <w:p w:rsidR="00347250" w:rsidP="00700C44">
      <w:pPr>
        <w:ind w:left="25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dôvodu transparentnosti údajov o výrobcoch elektriny sa navrhuje, aby úrad uverejnil každoročne do 30. júna na svojej internetovej stránke zoznam výrobcov elektriny s právom na podporu,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utočné  množstvo vyrobenej elektriny, na ktoré sa vzťahuje doplatok a výšku celkového doplatku za predchádzajúci kalendárny rok za každého výrobcu elektriny a predpoklad na aktuálny kalendárny rok.</w:t>
      </w:r>
    </w:p>
    <w:p w:rsidR="00347250" w:rsidP="00347250">
      <w:pPr>
        <w:ind w:left="2832"/>
        <w:jc w:val="both"/>
        <w:rPr>
          <w:rFonts w:ascii="Times New Roman" w:hAnsi="Times New Roman" w:cs="Times New Roman"/>
        </w:rPr>
      </w:pPr>
    </w:p>
    <w:p w:rsidR="00347250" w:rsidP="00347250">
      <w:pPr>
        <w:ind w:left="2832"/>
        <w:jc w:val="both"/>
        <w:rPr>
          <w:rFonts w:ascii="Times New Roman" w:hAnsi="Times New Roman" w:cs="Times New Roman"/>
        </w:rPr>
      </w:pPr>
    </w:p>
    <w:p w:rsidR="00347250" w:rsidP="003472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944360">
        <w:rPr>
          <w:rFonts w:ascii="Times New Roman" w:hAnsi="Times New Roman" w:cs="Times New Roman"/>
        </w:rPr>
        <w:t xml:space="preserve"> Za čl. I sa vkladá nový čl. II, ktorý znie:</w:t>
      </w:r>
    </w:p>
    <w:p w:rsidR="00347250" w:rsidP="00347250">
      <w:pPr>
        <w:autoSpaceDE/>
        <w:autoSpaceDN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„</w:t>
      </w:r>
      <w:r w:rsidRPr="00C90E18">
        <w:rPr>
          <w:rFonts w:ascii="Times New Roman" w:hAnsi="Times New Roman" w:cs="Times New Roman"/>
          <w:b/>
          <w:bCs/>
        </w:rPr>
        <w:t>Čl. II</w:t>
      </w:r>
    </w:p>
    <w:p w:rsidR="00347250" w:rsidRPr="00C90E18" w:rsidP="00347250">
      <w:pPr>
        <w:autoSpaceDE/>
        <w:autoSpaceDN/>
        <w:jc w:val="center"/>
        <w:rPr>
          <w:rFonts w:ascii="Times New Roman" w:hAnsi="Times New Roman" w:cs="Times New Roman"/>
        </w:rPr>
      </w:pPr>
    </w:p>
    <w:p w:rsidR="00347250" w:rsidP="00347250">
      <w:pPr>
        <w:autoSpaceDE/>
        <w:autoSpaceDN/>
        <w:ind w:left="36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Zákon </w:t>
      </w:r>
      <w:r>
        <w:rPr>
          <w:rFonts w:ascii="Times New Roman" w:hAnsi="Times New Roman" w:cs="Times New Roman"/>
          <w:lang w:eastAsia="cs-CZ"/>
        </w:rPr>
        <w:t xml:space="preserve">č. 276/2001 Z. z. o regulácii v sieťových odvetviach a o zmene a doplnení niektorých zákonov v znení zákona  č. 397/2002 Z. z., zákona č. 442/2002 Z. z., zákona č. 658/2004 Z. z., zákona č. 107/2007 Z. z., zákona č. 112/2008 Z. z., zákona č. 283/2008 Z. z., zákona č. 73/2009 Z. z., zákona č. 309/2009 Z. z. a zákona č. 142/2010 Z. z. sa dopĺňa takto: </w:t>
      </w:r>
    </w:p>
    <w:p w:rsidR="00347250" w:rsidP="00347250">
      <w:pPr>
        <w:ind w:left="360"/>
        <w:jc w:val="both"/>
        <w:rPr>
          <w:rFonts w:ascii="Times New Roman" w:hAnsi="Times New Roman" w:cs="Times New Roman"/>
        </w:rPr>
      </w:pPr>
    </w:p>
    <w:p w:rsidR="00347250" w:rsidP="0034725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§ 12 sa dopĺňa odsekom 13, ktorý znie:</w:t>
      </w:r>
    </w:p>
    <w:p w:rsidR="00347250" w:rsidP="00347250">
      <w:pPr>
        <w:ind w:left="360" w:firstLine="348"/>
        <w:jc w:val="both"/>
        <w:rPr>
          <w:rFonts w:ascii="Times New Roman" w:hAnsi="Times New Roman" w:cs="Times New Roman"/>
          <w:lang w:eastAsia="cs-CZ"/>
        </w:rPr>
      </w:pPr>
      <w:bookmarkStart w:id="0" w:name="000"/>
      <w:bookmarkEnd w:id="0"/>
      <w:r w:rsidR="009B45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„(13) Úrad s účinnosťou od</w:t>
      </w:r>
      <w:r w:rsidRPr="00067C32">
        <w:rPr>
          <w:rFonts w:ascii="Times New Roman" w:hAnsi="Times New Roman" w:cs="Times New Roman"/>
        </w:rPr>
        <w:t xml:space="preserve"> 1. </w:t>
      </w:r>
      <w:r>
        <w:rPr>
          <w:rFonts w:ascii="Times New Roman" w:hAnsi="Times New Roman" w:cs="Times New Roman"/>
        </w:rPr>
        <w:t>júla</w:t>
      </w:r>
      <w:r w:rsidRPr="00067C32">
        <w:rPr>
          <w:rFonts w:ascii="Times New Roman" w:hAnsi="Times New Roman" w:cs="Times New Roman"/>
        </w:rPr>
        <w:t xml:space="preserve"> 2011 s</w:t>
      </w:r>
      <w:r>
        <w:rPr>
          <w:rFonts w:ascii="Times New Roman" w:hAnsi="Times New Roman" w:cs="Times New Roman"/>
        </w:rPr>
        <w:t xml:space="preserve">tanoví všeobecne záväzným právnym predpisom ceny elektriny pre jednotlivé druhy obnoviteľných zdrojov energie tak, aby bola naplnená </w:t>
      </w:r>
      <w:r>
        <w:rPr>
          <w:rFonts w:ascii="Times New Roman" w:hAnsi="Times New Roman" w:cs="Times New Roman"/>
          <w:lang w:eastAsia="cs-CZ"/>
        </w:rPr>
        <w:t>požiadavka jednoduchej doby návratnosti investícií podľa osobitného predpisu</w:t>
      </w:r>
      <w:r w:rsidRPr="003A5CB7">
        <w:rPr>
          <w:rFonts w:ascii="Times New Roman" w:hAnsi="Times New Roman" w:cs="Times New Roman"/>
          <w:vertAlign w:val="superscript"/>
          <w:lang w:eastAsia="cs-CZ"/>
        </w:rPr>
        <w:t>6ea)</w:t>
      </w:r>
      <w:r>
        <w:rPr>
          <w:rFonts w:ascii="Times New Roman" w:hAnsi="Times New Roman" w:cs="Times New Roman"/>
          <w:lang w:eastAsia="cs-CZ"/>
        </w:rPr>
        <w:t>.“</w:t>
      </w:r>
    </w:p>
    <w:p w:rsidR="00347250" w:rsidP="00347250">
      <w:pPr>
        <w:rPr>
          <w:rFonts w:ascii="Times New Roman" w:hAnsi="Times New Roman" w:cs="Times New Roman"/>
          <w:lang w:eastAsia="cs-CZ"/>
        </w:rPr>
      </w:pPr>
    </w:p>
    <w:p w:rsidR="00347250" w:rsidP="00347250">
      <w:pPr>
        <w:ind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Poznámka pod čiarou k odkazu 6ea) </w:t>
      </w:r>
      <w:r w:rsidRPr="00D268F7">
        <w:rPr>
          <w:rFonts w:ascii="Times New Roman" w:hAnsi="Times New Roman" w:cs="Times New Roman"/>
          <w:szCs w:val="22"/>
        </w:rPr>
        <w:t xml:space="preserve">znie: </w:t>
      </w:r>
    </w:p>
    <w:p w:rsidR="00347250" w:rsidP="0034725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„6ea)</w:t>
      </w:r>
      <w:r w:rsidRPr="00D268F7">
        <w:rPr>
          <w:rFonts w:ascii="Times New Roman" w:hAnsi="Times New Roman" w:cs="Times New Roman"/>
          <w:szCs w:val="22"/>
        </w:rPr>
        <w:t xml:space="preserve"> §</w:t>
      </w:r>
      <w:r>
        <w:rPr>
          <w:rFonts w:ascii="Times New Roman" w:hAnsi="Times New Roman" w:cs="Times New Roman"/>
          <w:szCs w:val="22"/>
        </w:rPr>
        <w:t xml:space="preserve"> 6 ods. 6  z</w:t>
      </w:r>
      <w:r>
        <w:rPr>
          <w:rFonts w:ascii="Times New Roman" w:hAnsi="Times New Roman" w:cs="Times New Roman"/>
        </w:rPr>
        <w:t>ákona č. 309/2009 Z. z.“.“.</w:t>
      </w:r>
    </w:p>
    <w:p w:rsidR="00347250" w:rsidP="00347250">
      <w:pPr>
        <w:rPr>
          <w:rFonts w:ascii="Times New Roman" w:hAnsi="Times New Roman" w:cs="Times New Roman"/>
        </w:rPr>
      </w:pPr>
    </w:p>
    <w:p w:rsidR="005735E2" w:rsidP="00347250">
      <w:pPr>
        <w:rPr>
          <w:rFonts w:ascii="Times New Roman" w:hAnsi="Times New Roman" w:cs="Times New Roman"/>
        </w:rPr>
      </w:pPr>
    </w:p>
    <w:p w:rsidR="005735E2" w:rsidRPr="00C90E18" w:rsidP="005735E2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Doterajší čl. II sa označuje ako čl. III. </w:t>
        <w:tab/>
      </w:r>
    </w:p>
    <w:p w:rsidR="005735E2" w:rsidP="00347250">
      <w:pPr>
        <w:ind w:left="2520"/>
        <w:rPr>
          <w:rFonts w:ascii="Times New Roman" w:hAnsi="Times New Roman" w:cs="Times New Roman"/>
          <w:lang w:eastAsia="cs-CZ"/>
        </w:rPr>
      </w:pPr>
    </w:p>
    <w:p w:rsidR="00347250" w:rsidRPr="00E935CA" w:rsidP="00347250">
      <w:pPr>
        <w:ind w:left="2520"/>
        <w:rPr>
          <w:rFonts w:ascii="Times New Roman" w:hAnsi="Times New Roman" w:cs="Times New Roman"/>
          <w:lang w:eastAsia="cs-CZ"/>
        </w:rPr>
      </w:pPr>
      <w:r w:rsidRPr="00E935CA">
        <w:rPr>
          <w:rFonts w:ascii="Times New Roman" w:hAnsi="Times New Roman" w:cs="Times New Roman"/>
          <w:lang w:eastAsia="cs-CZ"/>
        </w:rPr>
        <w:t>Legislatívno-technická úprava</w:t>
      </w:r>
      <w:r w:rsidR="009B4523">
        <w:rPr>
          <w:rFonts w:ascii="Times New Roman" w:hAnsi="Times New Roman" w:cs="Times New Roman"/>
          <w:lang w:eastAsia="cs-CZ"/>
        </w:rPr>
        <w:t>.</w:t>
      </w:r>
    </w:p>
    <w:p w:rsidR="00347250" w:rsidP="00347250">
      <w:pPr>
        <w:jc w:val="both"/>
        <w:rPr>
          <w:rFonts w:ascii="Times New Roman" w:hAnsi="Times New Roman" w:cs="Times New Roman"/>
          <w:lang w:eastAsia="cs-CZ"/>
        </w:rPr>
      </w:pPr>
    </w:p>
    <w:p w:rsidR="00347250" w:rsidP="00347250">
      <w:pPr>
        <w:jc w:val="both"/>
        <w:rPr>
          <w:rFonts w:ascii="Times New Roman" w:hAnsi="Times New Roman" w:cs="Times New Roman"/>
          <w:lang w:eastAsia="cs-CZ"/>
        </w:rPr>
      </w:pPr>
    </w:p>
    <w:p w:rsidR="00347250" w:rsidP="00347250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9. </w:t>
      </w:r>
      <w:r w:rsidR="00B03887">
        <w:rPr>
          <w:rFonts w:ascii="Times New Roman" w:hAnsi="Times New Roman" w:cs="Times New Roman"/>
          <w:lang w:eastAsia="cs-CZ"/>
        </w:rPr>
        <w:t>Č</w:t>
      </w:r>
      <w:r>
        <w:rPr>
          <w:rFonts w:ascii="Times New Roman" w:hAnsi="Times New Roman" w:cs="Times New Roman"/>
        </w:rPr>
        <w:t xml:space="preserve">lánok </w:t>
      </w:r>
      <w:r w:rsidR="005735E2">
        <w:rPr>
          <w:rFonts w:ascii="Times New Roman" w:hAnsi="Times New Roman" w:cs="Times New Roman"/>
        </w:rPr>
        <w:t xml:space="preserve">II (nový čl. </w:t>
      </w:r>
      <w:r>
        <w:rPr>
          <w:rFonts w:ascii="Times New Roman" w:hAnsi="Times New Roman" w:cs="Times New Roman"/>
        </w:rPr>
        <w:t>III</w:t>
      </w:r>
      <w:r w:rsidR="00573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znie: </w:t>
      </w:r>
    </w:p>
    <w:p w:rsidR="00347250" w:rsidP="00347250">
      <w:pPr>
        <w:jc w:val="both"/>
        <w:rPr>
          <w:rFonts w:ascii="Times New Roman" w:hAnsi="Times New Roman" w:cs="Times New Roman"/>
          <w:lang w:eastAsia="cs-CZ"/>
        </w:rPr>
      </w:pPr>
    </w:p>
    <w:p w:rsidR="00347250" w:rsidP="008C3EAF">
      <w:pPr>
        <w:pStyle w:val="BodyText"/>
        <w:jc w:val="center"/>
        <w:rPr>
          <w:rFonts w:ascii="Times New Roman" w:hAnsi="Times New Roman" w:cs="Times New Roman"/>
          <w:bCs/>
        </w:rPr>
      </w:pPr>
      <w:r w:rsidRPr="00C90E18">
        <w:rPr>
          <w:rFonts w:ascii="Times New Roman" w:hAnsi="Times New Roman" w:cs="Times New Roman"/>
          <w:b/>
          <w:bCs/>
        </w:rPr>
        <w:t>„</w:t>
      </w:r>
      <w:r w:rsidRPr="00180D7A">
        <w:rPr>
          <w:rFonts w:ascii="Times New Roman" w:hAnsi="Times New Roman" w:cs="Times New Roman"/>
          <w:bCs/>
        </w:rPr>
        <w:t>Čl. II</w:t>
      </w:r>
    </w:p>
    <w:p w:rsidR="00347250" w:rsidRPr="008C3EAF" w:rsidP="00347250">
      <w:pPr>
        <w:pStyle w:val="BodyText"/>
        <w:jc w:val="left"/>
        <w:rPr>
          <w:rFonts w:ascii="Times New Roman" w:hAnsi="Times New Roman" w:cs="Times New Roman"/>
          <w:bCs/>
        </w:rPr>
      </w:pPr>
    </w:p>
    <w:p w:rsidR="00347250" w:rsidRPr="008C3EAF" w:rsidP="008C3EAF">
      <w:pPr>
        <w:pStyle w:val="BodyText"/>
        <w:ind w:left="360" w:firstLine="348"/>
        <w:rPr>
          <w:rFonts w:ascii="Times New Roman" w:hAnsi="Times New Roman" w:cs="Times New Roman"/>
        </w:rPr>
      </w:pPr>
      <w:r w:rsidRPr="008C3EAF">
        <w:rPr>
          <w:rFonts w:ascii="Times New Roman" w:hAnsi="Times New Roman" w:cs="Times New Roman"/>
          <w:bCs/>
        </w:rPr>
        <w:t>Tento zákon nadobúda účinnosť 1. februára 2011</w:t>
      </w:r>
      <w:r w:rsidRPr="008C3EAF">
        <w:rPr>
          <w:rFonts w:ascii="Times New Roman" w:hAnsi="Times New Roman" w:cs="Times New Roman"/>
        </w:rPr>
        <w:t>, okrem prvého, druhého, štvrtého</w:t>
      </w:r>
      <w:r w:rsidR="008C3EAF">
        <w:rPr>
          <w:rFonts w:ascii="Times New Roman" w:hAnsi="Times New Roman" w:cs="Times New Roman"/>
        </w:rPr>
        <w:t xml:space="preserve"> a </w:t>
      </w:r>
      <w:r w:rsidRPr="008C3EAF">
        <w:rPr>
          <w:rFonts w:ascii="Times New Roman" w:hAnsi="Times New Roman" w:cs="Times New Roman"/>
        </w:rPr>
        <w:t>piateho bodu v čl. I, ktoré nadobúdajú účinnosť 1. apríla 2011.“</w:t>
      </w:r>
      <w:r w:rsidR="008C3EAF">
        <w:rPr>
          <w:rFonts w:ascii="Times New Roman" w:hAnsi="Times New Roman" w:cs="Times New Roman"/>
        </w:rPr>
        <w:t>.</w:t>
      </w:r>
    </w:p>
    <w:p w:rsidR="00347250" w:rsidP="00347250">
      <w:pPr>
        <w:jc w:val="both"/>
        <w:rPr>
          <w:rFonts w:ascii="Times New Roman" w:hAnsi="Times New Roman" w:cs="Times New Roman"/>
          <w:lang w:eastAsia="cs-CZ"/>
        </w:rPr>
      </w:pPr>
    </w:p>
    <w:p w:rsidR="00347250" w:rsidRPr="00E935CA" w:rsidP="00347250">
      <w:pPr>
        <w:ind w:left="2520"/>
        <w:rPr>
          <w:rFonts w:ascii="Times New Roman" w:hAnsi="Times New Roman" w:cs="Times New Roman"/>
          <w:lang w:eastAsia="cs-CZ"/>
        </w:rPr>
      </w:pPr>
      <w:r w:rsidRPr="00E935CA">
        <w:rPr>
          <w:rFonts w:ascii="Times New Roman" w:hAnsi="Times New Roman" w:cs="Times New Roman"/>
          <w:lang w:eastAsia="cs-CZ"/>
        </w:rPr>
        <w:t>Legislatívno-technická úprava</w:t>
      </w:r>
      <w:r w:rsidR="009B4523">
        <w:rPr>
          <w:rFonts w:ascii="Times New Roman" w:hAnsi="Times New Roman" w:cs="Times New Roman"/>
          <w:lang w:eastAsia="cs-CZ"/>
        </w:rPr>
        <w:t>.</w:t>
      </w:r>
    </w:p>
    <w:p w:rsidR="00347250" w:rsidP="00AC663C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PLODNB+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E2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735E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E2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735E2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E2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735E2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E2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5735E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67C32"/>
    <w:rsid w:val="00071C53"/>
    <w:rsid w:val="0008184E"/>
    <w:rsid w:val="00164AFD"/>
    <w:rsid w:val="00180D7A"/>
    <w:rsid w:val="001B2A1E"/>
    <w:rsid w:val="00224704"/>
    <w:rsid w:val="002536CA"/>
    <w:rsid w:val="002E7CD4"/>
    <w:rsid w:val="003111C8"/>
    <w:rsid w:val="00341BDF"/>
    <w:rsid w:val="0034450B"/>
    <w:rsid w:val="00347250"/>
    <w:rsid w:val="00351D03"/>
    <w:rsid w:val="003A5CB7"/>
    <w:rsid w:val="00426893"/>
    <w:rsid w:val="00441832"/>
    <w:rsid w:val="0046263C"/>
    <w:rsid w:val="0047287F"/>
    <w:rsid w:val="00497FC1"/>
    <w:rsid w:val="004E7FC3"/>
    <w:rsid w:val="005735E2"/>
    <w:rsid w:val="00577FDA"/>
    <w:rsid w:val="005819AD"/>
    <w:rsid w:val="005E178A"/>
    <w:rsid w:val="0060139F"/>
    <w:rsid w:val="00620E53"/>
    <w:rsid w:val="00636B21"/>
    <w:rsid w:val="00685AEC"/>
    <w:rsid w:val="006A7AE6"/>
    <w:rsid w:val="006B7421"/>
    <w:rsid w:val="006C098B"/>
    <w:rsid w:val="006C7E01"/>
    <w:rsid w:val="006D330D"/>
    <w:rsid w:val="006E1921"/>
    <w:rsid w:val="00700C44"/>
    <w:rsid w:val="007311DC"/>
    <w:rsid w:val="00781357"/>
    <w:rsid w:val="00795881"/>
    <w:rsid w:val="00822B6D"/>
    <w:rsid w:val="008B317B"/>
    <w:rsid w:val="008C3EAF"/>
    <w:rsid w:val="00902673"/>
    <w:rsid w:val="009027A0"/>
    <w:rsid w:val="009164B4"/>
    <w:rsid w:val="00944360"/>
    <w:rsid w:val="009B4523"/>
    <w:rsid w:val="009B5C3F"/>
    <w:rsid w:val="009D3D40"/>
    <w:rsid w:val="00A33F73"/>
    <w:rsid w:val="00A443F7"/>
    <w:rsid w:val="00A4709E"/>
    <w:rsid w:val="00A52DB5"/>
    <w:rsid w:val="00AB0700"/>
    <w:rsid w:val="00AC663C"/>
    <w:rsid w:val="00B03887"/>
    <w:rsid w:val="00B03C99"/>
    <w:rsid w:val="00B643E6"/>
    <w:rsid w:val="00B85144"/>
    <w:rsid w:val="00BD117C"/>
    <w:rsid w:val="00C5518C"/>
    <w:rsid w:val="00C90E18"/>
    <w:rsid w:val="00CE3B73"/>
    <w:rsid w:val="00D268F7"/>
    <w:rsid w:val="00D73562"/>
    <w:rsid w:val="00D758FB"/>
    <w:rsid w:val="00D765AB"/>
    <w:rsid w:val="00DD237D"/>
    <w:rsid w:val="00E935CA"/>
    <w:rsid w:val="00EA2634"/>
    <w:rsid w:val="00EB5571"/>
    <w:rsid w:val="00EB58FC"/>
    <w:rsid w:val="00EB740B"/>
    <w:rsid w:val="00F23F88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styleId="ListParagraph">
    <w:name w:val="List Paragraph"/>
    <w:basedOn w:val="Normal"/>
    <w:rsid w:val="00347250"/>
    <w:pPr>
      <w:ind w:left="708"/>
      <w:jc w:val="left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1977</TotalTime>
  <Pages>1</Pages>
  <Words>1231</Words>
  <Characters>7021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podpore obnoviteľných zdrojov energie</dc:title>
  <dc:subject>sch.17, 24.11.2010</dc:subject>
  <dc:creator>Viera Ebringerová</dc:creator>
  <cp:keywords>UPV 100 tlač 145</cp:keywords>
  <dc:description>návrh poslanca NR SR Ľ. Jurčíka</dc:description>
  <cp:lastModifiedBy>EbriVier</cp:lastModifiedBy>
  <cp:revision>1999</cp:revision>
  <cp:lastPrinted>2010-11-24T12:46:00Z</cp:lastPrinted>
  <dcterms:created xsi:type="dcterms:W3CDTF">2002-05-15T11:56:00Z</dcterms:created>
  <dcterms:modified xsi:type="dcterms:W3CDTF">2010-11-24T12:46:00Z</dcterms:modified>
  <cp:category>Uznesenie</cp:category>
</cp:coreProperties>
</file>