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6846" w:rsidRPr="00CF354A" w:rsidP="00FA2DDC">
      <w:pPr>
        <w:bidi w:val="0"/>
        <w:jc w:val="right"/>
        <w:rPr>
          <w:rFonts w:ascii="Times New Roman" w:hAnsi="Times New Roman"/>
          <w:b/>
          <w:bCs/>
        </w:rPr>
      </w:pPr>
    </w:p>
    <w:p w:rsidR="00CA5A82" w:rsidRPr="00FA2DDC" w:rsidP="00FA2DDC">
      <w:pPr>
        <w:bidi w:val="0"/>
        <w:jc w:val="center"/>
        <w:rPr>
          <w:rFonts w:ascii="Times New Roman" w:hAnsi="Times New Roman"/>
          <w:b/>
          <w:bCs/>
        </w:rPr>
      </w:pPr>
      <w:r w:rsidRPr="00FA2DDC">
        <w:rPr>
          <w:rFonts w:ascii="Times New Roman" w:hAnsi="Times New Roman"/>
          <w:b/>
          <w:bCs/>
        </w:rPr>
        <w:t>Dôvodová správa</w:t>
      </w:r>
    </w:p>
    <w:p w:rsidR="00CA5A82" w:rsidRPr="00FA2DDC" w:rsidP="00FA2DDC">
      <w:pPr>
        <w:bidi w:val="0"/>
        <w:rPr>
          <w:rFonts w:ascii="Times New Roman" w:hAnsi="Times New Roman"/>
          <w:b/>
          <w:bCs/>
        </w:rPr>
      </w:pPr>
    </w:p>
    <w:p w:rsidR="00CA5A82" w:rsidRPr="00FA2DDC" w:rsidP="00FA2DDC">
      <w:pPr>
        <w:bidi w:val="0"/>
        <w:rPr>
          <w:rFonts w:ascii="Times New Roman" w:hAnsi="Times New Roman"/>
          <w:b/>
          <w:bCs/>
        </w:rPr>
      </w:pPr>
      <w:r w:rsidRPr="00FA2DDC">
        <w:rPr>
          <w:rFonts w:ascii="Times New Roman" w:hAnsi="Times New Roman"/>
          <w:b/>
          <w:bCs/>
        </w:rPr>
        <w:t>Všeobecná časť</w:t>
      </w:r>
    </w:p>
    <w:p w:rsidR="00CA5A82" w:rsidRPr="00FA2DDC" w:rsidP="00FA2DDC">
      <w:pPr>
        <w:bidi w:val="0"/>
        <w:jc w:val="both"/>
        <w:rPr>
          <w:rFonts w:ascii="Times New Roman" w:hAnsi="Times New Roman"/>
        </w:rPr>
      </w:pPr>
    </w:p>
    <w:p w:rsidR="006F07B6" w:rsidRPr="00FA2DDC" w:rsidP="00FA2DDC">
      <w:pPr>
        <w:pStyle w:val="Default"/>
        <w:bidi w:val="0"/>
        <w:jc w:val="both"/>
        <w:rPr>
          <w:rFonts w:ascii="Times New Roman" w:hAnsi="Times New Roman" w:cs="Times New Roman"/>
        </w:rPr>
      </w:pPr>
      <w:r w:rsidRPr="00FA2DDC" w:rsidR="004565CC">
        <w:rPr>
          <w:rFonts w:ascii="Times New Roman" w:hAnsi="Times New Roman" w:cs="Times New Roman"/>
        </w:rPr>
        <w:tab/>
        <w:t xml:space="preserve">Návrhom zákona, </w:t>
      </w:r>
      <w:r w:rsidRPr="00480C97" w:rsidR="00480C97">
        <w:rPr>
          <w:rFonts w:ascii="Times New Roman" w:hAnsi="Times New Roman" w:cs="Times New Roman"/>
        </w:rPr>
        <w:t>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w:t>
      </w:r>
      <w:r w:rsidRPr="00FA2DDC" w:rsidR="004565CC">
        <w:rPr>
          <w:rFonts w:ascii="Times New Roman" w:hAnsi="Times New Roman" w:cs="Times New Roman"/>
        </w:rPr>
        <w:t xml:space="preserve"> (ďalej len „návrh zákona“) sa navrhujú zmeny a doplnenia na základe</w:t>
      </w:r>
    </w:p>
    <w:p w:rsidR="000D2901" w:rsidRPr="00FA2DDC" w:rsidP="00FA2DDC">
      <w:pPr>
        <w:pStyle w:val="Default"/>
        <w:bidi w:val="0"/>
        <w:jc w:val="both"/>
        <w:rPr>
          <w:rFonts w:ascii="Times New Roman" w:hAnsi="Times New Roman" w:cs="Times New Roman"/>
        </w:rPr>
      </w:pPr>
    </w:p>
    <w:p w:rsidR="004565CC" w:rsidRPr="00FA2DDC" w:rsidP="00FA2DDC">
      <w:pPr>
        <w:pStyle w:val="Default"/>
        <w:bidi w:val="0"/>
        <w:jc w:val="both"/>
        <w:rPr>
          <w:rFonts w:ascii="Times New Roman" w:hAnsi="Times New Roman" w:cs="Times New Roman"/>
        </w:rPr>
      </w:pPr>
      <w:r w:rsidRPr="00FA2DDC" w:rsidR="006F07B6">
        <w:rPr>
          <w:rFonts w:ascii="Times New Roman" w:hAnsi="Times New Roman" w:cs="Times New Roman"/>
        </w:rPr>
        <w:tab/>
        <w:t>a) SMERNIC</w:t>
      </w:r>
      <w:r w:rsidRPr="00FA2DDC" w:rsidR="002A1664">
        <w:rPr>
          <w:rFonts w:ascii="Times New Roman" w:hAnsi="Times New Roman" w:cs="Times New Roman"/>
        </w:rPr>
        <w:t>E</w:t>
      </w:r>
      <w:r w:rsidRPr="00FA2DDC" w:rsidR="006F07B6">
        <w:rPr>
          <w:rFonts w:ascii="Times New Roman" w:hAnsi="Times New Roman" w:cs="Times New Roman"/>
        </w:rPr>
        <w:t xml:space="preserve"> EURÓPSKEHO PARLAMENTU A RADY 2009/111/ES</w:t>
      </w:r>
      <w:r w:rsidRPr="00FA2DDC" w:rsidR="00FA2DDC">
        <w:rPr>
          <w:rFonts w:ascii="Times New Roman" w:hAnsi="Times New Roman" w:cs="Times New Roman"/>
        </w:rPr>
        <w:t xml:space="preserve"> </w:t>
      </w:r>
      <w:r w:rsidRPr="00FA2DDC" w:rsidR="006F07B6">
        <w:rPr>
          <w:rFonts w:ascii="Times New Roman" w:hAnsi="Times New Roman" w:cs="Times New Roman"/>
        </w:rPr>
        <w:t>zo 16. septembra 2009,</w:t>
      </w:r>
      <w:r w:rsidRPr="00FA2DDC" w:rsidR="00FA2DDC">
        <w:rPr>
          <w:rFonts w:ascii="Times New Roman" w:hAnsi="Times New Roman" w:cs="Times New Roman"/>
        </w:rPr>
        <w:t xml:space="preserve"> </w:t>
      </w:r>
      <w:r w:rsidRPr="00FA2DDC" w:rsidR="006F07B6">
        <w:rPr>
          <w:rFonts w:ascii="Times New Roman" w:hAnsi="Times New Roman" w:cs="Times New Roman"/>
        </w:rPr>
        <w:t>ktorou sa menia a dopĺňajú smernice 2006/48/ES, 2006/49/ES a 2007/64/ES, pokiaľ ide o banky pridružené k ústredným inštitúciám, niektoré položky vlastných zdrojov, veľkú majetkovú angažovanosť, mechanizmy dohľadu a krízové riadenie</w:t>
      </w:r>
      <w:r w:rsidRPr="00FA2DDC" w:rsidR="00FA2DDC">
        <w:rPr>
          <w:rFonts w:ascii="Times New Roman" w:hAnsi="Times New Roman" w:cs="Times New Roman"/>
        </w:rPr>
        <w:t>,</w:t>
      </w:r>
    </w:p>
    <w:p w:rsidR="004565CC" w:rsidRPr="00FA2DDC" w:rsidP="00FA2DDC">
      <w:pPr>
        <w:bidi w:val="0"/>
        <w:jc w:val="both"/>
        <w:rPr>
          <w:rFonts w:ascii="Times New Roman" w:hAnsi="Times New Roman"/>
        </w:rPr>
      </w:pPr>
      <w:r w:rsidRPr="00FA2DDC">
        <w:rPr>
          <w:rFonts w:ascii="Times New Roman" w:hAnsi="Times New Roman"/>
        </w:rPr>
        <w:tab/>
      </w:r>
      <w:r w:rsidR="006F23FA">
        <w:rPr>
          <w:rFonts w:ascii="Times New Roman" w:hAnsi="Times New Roman"/>
        </w:rPr>
        <w:t>b</w:t>
      </w:r>
      <w:r w:rsidRPr="00FA2DDC">
        <w:rPr>
          <w:rFonts w:ascii="Times New Roman" w:hAnsi="Times New Roman"/>
        </w:rPr>
        <w:t>) vlastnej iniciatívy v súvislosti s vykonávaním dohľadu nad bankami a overovaním funkcie modelov merania rizík v bankách.</w:t>
      </w:r>
    </w:p>
    <w:p w:rsidR="004565CC" w:rsidRPr="00FA2DDC" w:rsidP="00FA2DDC">
      <w:pPr>
        <w:bidi w:val="0"/>
        <w:jc w:val="both"/>
        <w:rPr>
          <w:rFonts w:ascii="Times New Roman" w:hAnsi="Times New Roman"/>
        </w:rPr>
      </w:pPr>
    </w:p>
    <w:p w:rsidR="00AA68E2" w:rsidRPr="00FA2DDC" w:rsidP="00FA2DDC">
      <w:pPr>
        <w:bidi w:val="0"/>
        <w:jc w:val="both"/>
        <w:rPr>
          <w:rFonts w:ascii="Times New Roman" w:hAnsi="Times New Roman"/>
        </w:rPr>
      </w:pPr>
      <w:r w:rsidRPr="00FA2DDC" w:rsidR="004565CC">
        <w:rPr>
          <w:rFonts w:ascii="Times New Roman" w:hAnsi="Times New Roman"/>
        </w:rPr>
        <w:tab/>
      </w:r>
      <w:r w:rsidRPr="00FA2DDC">
        <w:rPr>
          <w:rFonts w:ascii="Times New Roman" w:hAnsi="Times New Roman"/>
        </w:rPr>
        <w:t>Návrhom zákona sa má zabezpečiť prebratie uveden</w:t>
      </w:r>
      <w:r w:rsidR="006F23FA">
        <w:rPr>
          <w:rFonts w:ascii="Times New Roman" w:hAnsi="Times New Roman"/>
        </w:rPr>
        <w:t>ej</w:t>
      </w:r>
      <w:r w:rsidRPr="00FA2DDC">
        <w:rPr>
          <w:rFonts w:ascii="Times New Roman" w:hAnsi="Times New Roman"/>
        </w:rPr>
        <w:t xml:space="preserve"> smern</w:t>
      </w:r>
      <w:r w:rsidR="00372FAD">
        <w:rPr>
          <w:rFonts w:ascii="Times New Roman" w:hAnsi="Times New Roman"/>
        </w:rPr>
        <w:t>ice</w:t>
      </w:r>
      <w:r w:rsidRPr="00FA2DDC">
        <w:rPr>
          <w:rFonts w:ascii="Times New Roman" w:hAnsi="Times New Roman"/>
        </w:rPr>
        <w:t xml:space="preserve"> do právneho poriadku Slovenskej republiky (vrátane </w:t>
      </w:r>
      <w:r w:rsidRPr="00FA2DDC" w:rsidR="00FA2DDC">
        <w:rPr>
          <w:rFonts w:ascii="Times New Roman" w:hAnsi="Times New Roman"/>
        </w:rPr>
        <w:t>vykonávacích</w:t>
      </w:r>
      <w:r w:rsidRPr="00FA2DDC">
        <w:rPr>
          <w:rFonts w:ascii="Times New Roman" w:hAnsi="Times New Roman"/>
        </w:rPr>
        <w:t xml:space="preserve"> predpisov) v lehote najneskôr do konca </w:t>
      </w:r>
      <w:r w:rsidRPr="00FA2DDC" w:rsidR="00FA2DDC">
        <w:rPr>
          <w:rFonts w:ascii="Times New Roman" w:hAnsi="Times New Roman"/>
        </w:rPr>
        <w:t>októbra 2010 a s účinnosťou zákona a ostatných s tým súvisiacich prijatých právnych predpisov od 31. decembra 2010</w:t>
      </w:r>
      <w:r w:rsidRPr="00FA2DDC">
        <w:rPr>
          <w:rFonts w:ascii="Times New Roman" w:hAnsi="Times New Roman"/>
        </w:rPr>
        <w:t>. T</w:t>
      </w:r>
      <w:r w:rsidR="006F23FA">
        <w:rPr>
          <w:rFonts w:ascii="Times New Roman" w:hAnsi="Times New Roman"/>
        </w:rPr>
        <w:t xml:space="preserve">áto </w:t>
      </w:r>
      <w:r w:rsidRPr="00FA2DDC">
        <w:rPr>
          <w:rFonts w:ascii="Times New Roman" w:hAnsi="Times New Roman"/>
        </w:rPr>
        <w:t>novel</w:t>
      </w:r>
      <w:r w:rsidR="006F23FA">
        <w:rPr>
          <w:rFonts w:ascii="Times New Roman" w:hAnsi="Times New Roman"/>
        </w:rPr>
        <w:t>a</w:t>
      </w:r>
      <w:r w:rsidRPr="00FA2DDC">
        <w:rPr>
          <w:rFonts w:ascii="Times New Roman" w:hAnsi="Times New Roman"/>
        </w:rPr>
        <w:t xml:space="preserve"> </w:t>
      </w:r>
      <w:r w:rsidRPr="00CA0F0A" w:rsidR="00FA2DDC">
        <w:rPr>
          <w:rFonts w:ascii="Times New Roman" w:hAnsi="Times New Roman"/>
        </w:rPr>
        <w:t>smern</w:t>
      </w:r>
      <w:r w:rsidRPr="00CA0F0A" w:rsidR="004F1991">
        <w:rPr>
          <w:rFonts w:ascii="Times New Roman" w:hAnsi="Times New Roman"/>
        </w:rPr>
        <w:t>íc</w:t>
      </w:r>
      <w:r w:rsidRPr="00CA0F0A" w:rsidR="00FA2DDC">
        <w:rPr>
          <w:rFonts w:ascii="Times New Roman" w:hAnsi="Times New Roman"/>
        </w:rPr>
        <w:t xml:space="preserve"> </w:t>
      </w:r>
      <w:r w:rsidRPr="00CA0F0A" w:rsidR="006F23FA">
        <w:rPr>
          <w:rFonts w:ascii="Times New Roman" w:hAnsi="Times New Roman"/>
        </w:rPr>
        <w:t xml:space="preserve">spolu so smernicami Komisie 2009/27/ES a 2009/83/ES </w:t>
      </w:r>
      <w:r w:rsidRPr="00CA0F0A">
        <w:rPr>
          <w:rFonts w:ascii="Times New Roman" w:hAnsi="Times New Roman"/>
        </w:rPr>
        <w:t>predstavujú</w:t>
      </w:r>
      <w:r w:rsidRPr="00FA2DDC">
        <w:rPr>
          <w:rFonts w:ascii="Times New Roman" w:hAnsi="Times New Roman"/>
        </w:rPr>
        <w:t xml:space="preserve"> ucelenú zmenu v pravidlách regulácie dohliadaných subjektov</w:t>
      </w:r>
      <w:r w:rsidRPr="00FA2DDC" w:rsidR="00FA2DDC">
        <w:rPr>
          <w:rFonts w:ascii="Times New Roman" w:hAnsi="Times New Roman"/>
        </w:rPr>
        <w:t xml:space="preserve"> (bánk a obchodníkov s cennými papiermi)</w:t>
      </w:r>
      <w:r w:rsidRPr="00FA2DDC">
        <w:rPr>
          <w:rFonts w:ascii="Times New Roman" w:hAnsi="Times New Roman"/>
        </w:rPr>
        <w:t xml:space="preserve">, sú výsledkom viacročnej prípravy na medzinárodnej úrovni a riešia </w:t>
      </w:r>
      <w:r w:rsidRPr="00FA2DDC" w:rsidR="00FA2DDC">
        <w:rPr>
          <w:rFonts w:ascii="Times New Roman" w:hAnsi="Times New Roman"/>
        </w:rPr>
        <w:t xml:space="preserve">aj niektoré </w:t>
      </w:r>
      <w:r w:rsidRPr="00FA2DDC">
        <w:rPr>
          <w:rFonts w:ascii="Times New Roman" w:hAnsi="Times New Roman"/>
        </w:rPr>
        <w:t>nedostatky, ktoré nastali z dôvodu finančnej krízy.</w:t>
      </w:r>
    </w:p>
    <w:p w:rsidR="00E43167" w:rsidRPr="00FA2DDC" w:rsidP="00FA2DDC">
      <w:pPr>
        <w:bidi w:val="0"/>
        <w:jc w:val="both"/>
        <w:rPr>
          <w:rFonts w:ascii="Times New Roman" w:hAnsi="Times New Roman"/>
          <w:strike/>
        </w:rPr>
      </w:pPr>
    </w:p>
    <w:p w:rsidR="00CA5A82" w:rsidRPr="00FA2DDC" w:rsidP="00FA2DDC">
      <w:pPr>
        <w:bidi w:val="0"/>
        <w:jc w:val="both"/>
        <w:rPr>
          <w:rFonts w:ascii="Times New Roman" w:hAnsi="Times New Roman"/>
        </w:rPr>
      </w:pPr>
      <w:r w:rsidRPr="00FA2DDC">
        <w:rPr>
          <w:rFonts w:ascii="Times New Roman" w:hAnsi="Times New Roman"/>
        </w:rPr>
        <w:tab/>
        <w:t>Predložený návrh zákona je v súlade s Ústavou Slovenskej republiky a zákonmi Slovenskej republiky, ako aj s medzinárodnými zmluvami a inými medzinárodnými dokumentmi, ktorými je Slovenská republika viazaná.</w:t>
      </w:r>
    </w:p>
    <w:p w:rsidR="00CA5A82" w:rsidRPr="00FA2DDC" w:rsidP="00FA2DDC">
      <w:pPr>
        <w:bidi w:val="0"/>
        <w:jc w:val="both"/>
        <w:rPr>
          <w:rFonts w:ascii="Times New Roman" w:hAnsi="Times New Roman"/>
        </w:rPr>
      </w:pPr>
    </w:p>
    <w:p w:rsidR="00CA5A82" w:rsidRPr="00FA2DDC" w:rsidP="00FA2DDC">
      <w:pPr>
        <w:bidi w:val="0"/>
        <w:jc w:val="both"/>
        <w:rPr>
          <w:rFonts w:ascii="Times New Roman" w:hAnsi="Times New Roman"/>
        </w:rPr>
      </w:pPr>
    </w:p>
    <w:p w:rsidR="00CA5A82" w:rsidRPr="00FA2DDC" w:rsidP="00FA2DDC">
      <w:pPr>
        <w:bidi w:val="0"/>
        <w:jc w:val="both"/>
        <w:rPr>
          <w:rFonts w:ascii="Times New Roman" w:hAnsi="Times New Roman"/>
        </w:rPr>
      </w:pPr>
    </w:p>
    <w:p w:rsidR="00CA5A82" w:rsidRPr="00FA2DDC" w:rsidP="00FA2DDC">
      <w:pPr>
        <w:bidi w:val="0"/>
        <w:jc w:val="both"/>
        <w:rPr>
          <w:rFonts w:ascii="Times New Roman" w:hAnsi="Times New Roman"/>
        </w:rPr>
      </w:pPr>
    </w:p>
    <w:p w:rsidR="00E43167" w:rsidRPr="00FA2DDC" w:rsidP="00FA2DDC">
      <w:pPr>
        <w:bidi w:val="0"/>
        <w:jc w:val="both"/>
        <w:rPr>
          <w:rFonts w:ascii="Times New Roman" w:hAnsi="Times New Roman"/>
        </w:rPr>
      </w:pPr>
    </w:p>
    <w:p w:rsidR="00E43167" w:rsidRPr="00FA2DDC" w:rsidP="00FA2DDC">
      <w:pPr>
        <w:bidi w:val="0"/>
        <w:jc w:val="both"/>
        <w:rPr>
          <w:rFonts w:ascii="Times New Roman" w:hAnsi="Times New Roman"/>
        </w:rPr>
      </w:pPr>
    </w:p>
    <w:p w:rsidR="00E43167" w:rsidRPr="00FA2DDC" w:rsidP="00FA2DDC">
      <w:pPr>
        <w:bidi w:val="0"/>
        <w:jc w:val="both"/>
        <w:rPr>
          <w:rFonts w:ascii="Times New Roman" w:hAnsi="Times New Roman"/>
        </w:rPr>
      </w:pPr>
    </w:p>
    <w:p w:rsidR="00E43167" w:rsidRPr="00FA2DDC" w:rsidP="00FA2DDC">
      <w:pPr>
        <w:bidi w:val="0"/>
        <w:jc w:val="both"/>
        <w:rPr>
          <w:rFonts w:ascii="Times New Roman" w:hAnsi="Times New Roman"/>
        </w:rPr>
      </w:pPr>
    </w:p>
    <w:p w:rsidR="002E2177" w:rsidRPr="00FA2DDC" w:rsidP="00FA2DDC">
      <w:pPr>
        <w:bidi w:val="0"/>
        <w:jc w:val="both"/>
        <w:rPr>
          <w:rFonts w:ascii="Times New Roman" w:hAnsi="Times New Roman"/>
        </w:rPr>
        <w:sectPr w:rsidSect="00FA2DDC">
          <w:footerReference w:type="default" r:id="rId5"/>
          <w:pgSz w:w="11906" w:h="16838"/>
          <w:pgMar w:top="1134" w:right="1134" w:bottom="1134" w:left="1134" w:header="709" w:footer="709" w:gutter="0"/>
          <w:lnNumType w:distance="0"/>
          <w:cols w:space="708"/>
          <w:noEndnote w:val="0"/>
          <w:bidi w:val="0"/>
          <w:docGrid w:linePitch="360"/>
        </w:sectPr>
      </w:pPr>
    </w:p>
    <w:p w:rsidR="007B1461" w:rsidRPr="007B1461" w:rsidP="007B1461">
      <w:pPr>
        <w:pStyle w:val="Title"/>
        <w:bidi w:val="0"/>
        <w:rPr>
          <w:rFonts w:ascii="Times New Roman" w:hAnsi="Times New Roman"/>
          <w:sz w:val="24"/>
          <w:szCs w:val="24"/>
        </w:rPr>
      </w:pPr>
      <w:r w:rsidRPr="007B1461">
        <w:rPr>
          <w:rFonts w:ascii="Times New Roman" w:hAnsi="Times New Roman"/>
          <w:sz w:val="24"/>
          <w:szCs w:val="24"/>
        </w:rPr>
        <w:t>DOLOŽKA ZLUČITEĽNOSTI</w:t>
      </w:r>
    </w:p>
    <w:p w:rsidR="007B1461" w:rsidRPr="007B1461" w:rsidP="00822636">
      <w:pPr>
        <w:pBdr>
          <w:bottom w:val="single" w:sz="4" w:space="1" w:color="auto"/>
        </w:pBdr>
        <w:bidi w:val="0"/>
        <w:jc w:val="center"/>
        <w:rPr>
          <w:rFonts w:ascii="Times New Roman" w:hAnsi="Times New Roman"/>
          <w:bCs/>
        </w:rPr>
      </w:pPr>
      <w:r w:rsidRPr="007B1461">
        <w:rPr>
          <w:rFonts w:ascii="Times New Roman" w:hAnsi="Times New Roman"/>
        </w:rPr>
        <w:t xml:space="preserve">návrhu zákona, </w:t>
      </w:r>
      <w:r w:rsidRPr="00480C97" w:rsidR="00822636">
        <w:rPr>
          <w:rFonts w:ascii="Times New Roman" w:hAnsi="Times New Roman"/>
          <w:bCs/>
        </w:rPr>
        <w:t>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w:t>
      </w:r>
      <w:r w:rsidR="00822636">
        <w:rPr>
          <w:rFonts w:ascii="Times New Roman" w:hAnsi="Times New Roman"/>
          <w:bCs/>
        </w:rPr>
        <w:t xml:space="preserve"> </w:t>
      </w:r>
      <w:r w:rsidRPr="007B1461">
        <w:rPr>
          <w:rFonts w:ascii="Times New Roman" w:hAnsi="Times New Roman"/>
          <w:bCs/>
        </w:rPr>
        <w:t>s právom Európskej únie</w:t>
      </w:r>
    </w:p>
    <w:p w:rsidR="007B1461" w:rsidRPr="007B1461" w:rsidP="007B1461">
      <w:pPr>
        <w:bidi w:val="0"/>
        <w:jc w:val="center"/>
        <w:rPr>
          <w:rFonts w:ascii="Times New Roman" w:hAnsi="Times New Roman"/>
          <w:b/>
          <w:bCs/>
        </w:rPr>
      </w:pPr>
    </w:p>
    <w:p w:rsidR="007B1461" w:rsidRPr="007B1461" w:rsidP="007B1461">
      <w:pPr>
        <w:numPr>
          <w:numId w:val="12"/>
        </w:numPr>
        <w:bidi w:val="0"/>
        <w:spacing w:after="120"/>
        <w:jc w:val="both"/>
        <w:rPr>
          <w:rFonts w:ascii="Times New Roman" w:hAnsi="Times New Roman"/>
        </w:rPr>
      </w:pPr>
      <w:r w:rsidRPr="007B1461">
        <w:rPr>
          <w:rFonts w:ascii="Times New Roman" w:hAnsi="Times New Roman"/>
          <w:b/>
          <w:bCs/>
        </w:rPr>
        <w:t>Predkladateľ zákona:</w:t>
      </w:r>
    </w:p>
    <w:p w:rsidR="007B1461" w:rsidRPr="007B1461" w:rsidP="007B1461">
      <w:pPr>
        <w:bidi w:val="0"/>
        <w:ind w:firstLine="425"/>
        <w:jc w:val="both"/>
        <w:rPr>
          <w:rFonts w:ascii="Times New Roman" w:hAnsi="Times New Roman"/>
        </w:rPr>
      </w:pPr>
      <w:r w:rsidRPr="007B1461">
        <w:rPr>
          <w:rFonts w:ascii="Times New Roman" w:hAnsi="Times New Roman"/>
        </w:rPr>
        <w:t>Vláda Slovenskej republiky.</w:t>
      </w:r>
    </w:p>
    <w:p w:rsidR="007B1461" w:rsidRPr="007B1461" w:rsidP="007B1461">
      <w:pPr>
        <w:bidi w:val="0"/>
        <w:jc w:val="both"/>
        <w:rPr>
          <w:rFonts w:ascii="Times New Roman" w:hAnsi="Times New Roman"/>
          <w:bCs/>
        </w:rPr>
      </w:pPr>
    </w:p>
    <w:p w:rsidR="007B1461" w:rsidRPr="007B1461" w:rsidP="007B1461">
      <w:pPr>
        <w:numPr>
          <w:numId w:val="12"/>
        </w:numPr>
        <w:bidi w:val="0"/>
        <w:spacing w:after="120"/>
        <w:jc w:val="both"/>
        <w:rPr>
          <w:rFonts w:ascii="Times New Roman" w:hAnsi="Times New Roman"/>
          <w:b/>
          <w:bCs/>
        </w:rPr>
      </w:pPr>
      <w:r w:rsidRPr="007B1461">
        <w:rPr>
          <w:rFonts w:ascii="Times New Roman" w:hAnsi="Times New Roman"/>
          <w:b/>
          <w:bCs/>
        </w:rPr>
        <w:t>Názov návrhu zákona:</w:t>
      </w:r>
    </w:p>
    <w:p w:rsidR="007B1461" w:rsidP="007B1461">
      <w:pPr>
        <w:bidi w:val="0"/>
        <w:ind w:left="425"/>
        <w:jc w:val="both"/>
        <w:rPr>
          <w:rFonts w:ascii="Times New Roman" w:hAnsi="Times New Roman"/>
          <w:bCs/>
        </w:rPr>
      </w:pPr>
      <w:r w:rsidRPr="007B1461">
        <w:rPr>
          <w:rFonts w:ascii="Times New Roman" w:hAnsi="Times New Roman"/>
        </w:rPr>
        <w:t xml:space="preserve">Návrh zákona, </w:t>
      </w:r>
      <w:r w:rsidRPr="00480C97">
        <w:rPr>
          <w:rFonts w:ascii="Times New Roman" w:hAnsi="Times New Roman"/>
          <w:bCs/>
        </w:rPr>
        <w:t>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w:t>
      </w:r>
      <w:r>
        <w:rPr>
          <w:rFonts w:ascii="Times New Roman" w:hAnsi="Times New Roman"/>
          <w:bCs/>
        </w:rPr>
        <w:t>.</w:t>
      </w:r>
    </w:p>
    <w:p w:rsidR="007B1461" w:rsidRPr="007B1461" w:rsidP="007B1461">
      <w:pPr>
        <w:bidi w:val="0"/>
        <w:ind w:left="425"/>
        <w:jc w:val="both"/>
        <w:rPr>
          <w:rFonts w:ascii="Times New Roman" w:hAnsi="Times New Roman"/>
        </w:rPr>
      </w:pPr>
    </w:p>
    <w:p w:rsidR="007B1461" w:rsidRPr="007B1461" w:rsidP="007B1461">
      <w:pPr>
        <w:numPr>
          <w:numId w:val="12"/>
        </w:numPr>
        <w:bidi w:val="0"/>
        <w:spacing w:after="120"/>
        <w:jc w:val="both"/>
        <w:rPr>
          <w:rFonts w:ascii="Times New Roman" w:hAnsi="Times New Roman"/>
          <w:b/>
          <w:bCs/>
        </w:rPr>
      </w:pPr>
      <w:r w:rsidRPr="007B1461">
        <w:rPr>
          <w:rFonts w:ascii="Times New Roman" w:hAnsi="Times New Roman"/>
          <w:b/>
          <w:bCs/>
        </w:rPr>
        <w:t xml:space="preserve">Problematika návrhu zákona: </w:t>
      </w:r>
    </w:p>
    <w:p w:rsidR="007B1461" w:rsidRPr="007B1461" w:rsidP="007B1461">
      <w:pPr>
        <w:pStyle w:val="BodyText"/>
        <w:numPr>
          <w:ilvl w:val="1"/>
          <w:numId w:val="12"/>
        </w:numPr>
        <w:bidi w:val="0"/>
        <w:spacing w:after="120"/>
        <w:jc w:val="left"/>
        <w:rPr>
          <w:rFonts w:ascii="Times New Roman" w:hAnsi="Times New Roman"/>
        </w:rPr>
      </w:pPr>
      <w:r w:rsidRPr="007B1461">
        <w:rPr>
          <w:rFonts w:ascii="Times New Roman" w:hAnsi="Times New Roman"/>
        </w:rPr>
        <w:t>je upravená v práve Európskej únie:</w:t>
      </w:r>
    </w:p>
    <w:p w:rsidR="007B1461" w:rsidRPr="007B1461" w:rsidP="007B1461">
      <w:pPr>
        <w:pStyle w:val="BodyTextIndent"/>
        <w:bidi w:val="0"/>
        <w:ind w:firstLine="539"/>
        <w:rPr>
          <w:rFonts w:ascii="Times New Roman" w:hAnsi="Times New Roman"/>
          <w:b/>
          <w:bCs/>
          <w:i/>
          <w:iCs/>
        </w:rPr>
      </w:pPr>
      <w:r w:rsidRPr="007B1461">
        <w:rPr>
          <w:rFonts w:ascii="Times New Roman" w:hAnsi="Times New Roman"/>
          <w:b/>
          <w:bCs/>
          <w:i/>
          <w:iCs/>
        </w:rPr>
        <w:t>v primárnom práve:</w:t>
      </w:r>
    </w:p>
    <w:p w:rsidR="007B1461" w:rsidRPr="007B1461" w:rsidP="007B1461">
      <w:pPr>
        <w:pStyle w:val="BodyTextIndent"/>
        <w:numPr>
          <w:numId w:val="8"/>
        </w:numPr>
        <w:autoSpaceDE w:val="0"/>
        <w:autoSpaceDN w:val="0"/>
        <w:bidi w:val="0"/>
        <w:adjustRightInd w:val="0"/>
        <w:ind w:left="896" w:hanging="357"/>
        <w:jc w:val="both"/>
        <w:rPr>
          <w:rFonts w:ascii="Times New Roman" w:hAnsi="Times New Roman"/>
          <w:i/>
        </w:rPr>
      </w:pPr>
      <w:r w:rsidRPr="007B1461">
        <w:rPr>
          <w:rFonts w:ascii="Times New Roman" w:hAnsi="Times New Roman"/>
        </w:rPr>
        <w:t>čl. 3 ods. 1 písm. b), čl. 4, čl. 26 ods. 2, čl. 56 až 66 Zmluvy o fungovaní Európskej únie (Ú.v. EÚ C 115/47, 9.5.2008</w:t>
      </w:r>
      <w:r w:rsidRPr="007B1461">
        <w:rPr>
          <w:rFonts w:ascii="Times New Roman" w:hAnsi="Times New Roman"/>
          <w:bCs/>
        </w:rPr>
        <w:t>).</w:t>
      </w:r>
    </w:p>
    <w:p w:rsidR="007B1461" w:rsidRPr="00B3390C" w:rsidP="00B3390C">
      <w:pPr>
        <w:autoSpaceDE w:val="0"/>
        <w:autoSpaceDN w:val="0"/>
        <w:bidi w:val="0"/>
        <w:adjustRightInd w:val="0"/>
        <w:ind w:left="851"/>
        <w:jc w:val="both"/>
        <w:rPr>
          <w:rFonts w:ascii="Times New Roman" w:hAnsi="Times New Roman"/>
          <w:b/>
          <w:bCs/>
          <w:i/>
          <w:iCs/>
        </w:rPr>
      </w:pPr>
      <w:r w:rsidRPr="007B1461">
        <w:rPr>
          <w:rFonts w:ascii="Times New Roman" w:hAnsi="Times New Roman"/>
          <w:b/>
          <w:bCs/>
          <w:i/>
          <w:iCs/>
        </w:rPr>
        <w:t xml:space="preserve">v sekundárnom </w:t>
      </w:r>
      <w:r w:rsidRPr="00B3390C">
        <w:rPr>
          <w:rFonts w:ascii="Times New Roman" w:hAnsi="Times New Roman"/>
          <w:b/>
          <w:bCs/>
          <w:i/>
          <w:iCs/>
        </w:rPr>
        <w:t>práve</w:t>
      </w:r>
      <w:r w:rsidRPr="00B3390C" w:rsidR="00B3390C">
        <w:rPr>
          <w:rFonts w:ascii="Times New Roman" w:hAnsi="Times New Roman"/>
          <w:b/>
          <w:bCs/>
          <w:i/>
          <w:iCs/>
        </w:rPr>
        <w:t xml:space="preserve"> </w:t>
      </w:r>
      <w:r w:rsidRPr="00B3390C" w:rsidR="00B3390C">
        <w:rPr>
          <w:rFonts w:ascii="Times New Roman" w:hAnsi="Times New Roman"/>
          <w:lang w:eastAsia="sk-SK"/>
        </w:rPr>
        <w:t>(prijatom p</w:t>
      </w:r>
      <w:r w:rsidR="00B3390C">
        <w:rPr>
          <w:rFonts w:ascii="Times New Roman" w:hAnsi="Times New Roman"/>
          <w:lang w:eastAsia="sk-SK"/>
        </w:rPr>
        <w:t>red</w:t>
      </w:r>
      <w:r w:rsidRPr="00B3390C" w:rsidR="00B3390C">
        <w:rPr>
          <w:rFonts w:ascii="Times New Roman" w:hAnsi="Times New Roman"/>
          <w:lang w:eastAsia="sk-SK"/>
        </w:rPr>
        <w:t xml:space="preserve"> nadobudnutí platnosti Lisabonskej zmluvy,</w:t>
      </w:r>
      <w:r w:rsidR="00B3390C">
        <w:rPr>
          <w:rFonts w:ascii="Times New Roman" w:hAnsi="Times New Roman"/>
          <w:lang w:eastAsia="sk-SK"/>
        </w:rPr>
        <w:t xml:space="preserve"> </w:t>
      </w:r>
      <w:r w:rsidRPr="00B3390C" w:rsidR="00B3390C">
        <w:rPr>
          <w:rFonts w:ascii="Times New Roman" w:hAnsi="Times New Roman"/>
          <w:lang w:eastAsia="sk-SK"/>
        </w:rPr>
        <w:t xml:space="preserve">ktorou sa </w:t>
      </w:r>
      <w:r w:rsidR="00B3390C">
        <w:rPr>
          <w:rFonts w:ascii="Times New Roman" w:hAnsi="Times New Roman"/>
          <w:lang w:eastAsia="sk-SK"/>
        </w:rPr>
        <w:t xml:space="preserve">    </w:t>
      </w:r>
      <w:r w:rsidRPr="00B3390C" w:rsidR="00B3390C">
        <w:rPr>
          <w:rFonts w:ascii="Times New Roman" w:hAnsi="Times New Roman"/>
          <w:lang w:eastAsia="sk-SK"/>
        </w:rPr>
        <w:t>mení a dopĺňa Zmluva o Európskom spoločenstve a</w:t>
      </w:r>
      <w:r w:rsidR="00B3390C">
        <w:rPr>
          <w:rFonts w:ascii="Times New Roman" w:hAnsi="Times New Roman"/>
          <w:lang w:eastAsia="sk-SK"/>
        </w:rPr>
        <w:t> </w:t>
      </w:r>
      <w:r w:rsidRPr="00B3390C" w:rsidR="00B3390C">
        <w:rPr>
          <w:rFonts w:ascii="Times New Roman" w:hAnsi="Times New Roman"/>
          <w:lang w:eastAsia="sk-SK"/>
        </w:rPr>
        <w:t>Zmluva</w:t>
      </w:r>
      <w:r w:rsidR="00B3390C">
        <w:rPr>
          <w:rFonts w:ascii="Times New Roman" w:hAnsi="Times New Roman"/>
          <w:lang w:eastAsia="sk-SK"/>
        </w:rPr>
        <w:t xml:space="preserve"> </w:t>
      </w:r>
      <w:r w:rsidRPr="00B3390C" w:rsidR="00B3390C">
        <w:rPr>
          <w:rFonts w:ascii="Times New Roman" w:hAnsi="Times New Roman"/>
          <w:lang w:eastAsia="sk-SK"/>
        </w:rPr>
        <w:t>o Európskej únii - po 30. novembri 2009)</w:t>
      </w:r>
      <w:r w:rsidRPr="00B3390C">
        <w:rPr>
          <w:rFonts w:ascii="Times New Roman" w:hAnsi="Times New Roman"/>
          <w:b/>
          <w:bCs/>
          <w:i/>
          <w:iCs/>
        </w:rPr>
        <w:t xml:space="preserve">: </w:t>
      </w:r>
    </w:p>
    <w:p w:rsidR="007B1461" w:rsidRPr="007B1461" w:rsidP="007B1461">
      <w:pPr>
        <w:pStyle w:val="BodyTextIndent"/>
        <w:numPr>
          <w:numId w:val="8"/>
        </w:numPr>
        <w:autoSpaceDE w:val="0"/>
        <w:autoSpaceDN w:val="0"/>
        <w:bidi w:val="0"/>
        <w:adjustRightInd w:val="0"/>
        <w:ind w:left="896" w:hanging="357"/>
        <w:jc w:val="both"/>
        <w:rPr>
          <w:rFonts w:ascii="Times New Roman" w:hAnsi="Times New Roman"/>
          <w:i/>
        </w:rPr>
      </w:pPr>
      <w:r w:rsidRPr="007B1461">
        <w:rPr>
          <w:rFonts w:ascii="Times New Roman" w:hAnsi="Times New Roman"/>
          <w:bCs/>
        </w:rPr>
        <w:t>smernica Európskeho parlamentu a Rady 2000/46/ES z 18. septembra 2000 o začatí a vykonávaní činností a dohľade nad obozretným podnikaním inštitúcií elektronického peňažníctva v platnom znení (Mimoriadne vydanie Ú. v. EÚ kap. 6/zv. 3),</w:t>
      </w:r>
    </w:p>
    <w:p w:rsidR="007B1461" w:rsidRPr="007B1461" w:rsidP="007B1461">
      <w:pPr>
        <w:pStyle w:val="BodyTextIndent"/>
        <w:numPr>
          <w:numId w:val="8"/>
        </w:numPr>
        <w:autoSpaceDE w:val="0"/>
        <w:autoSpaceDN w:val="0"/>
        <w:bidi w:val="0"/>
        <w:adjustRightInd w:val="0"/>
        <w:ind w:left="896" w:hanging="357"/>
        <w:jc w:val="both"/>
        <w:rPr>
          <w:rFonts w:ascii="Times New Roman" w:hAnsi="Times New Roman"/>
          <w:i/>
        </w:rPr>
      </w:pPr>
      <w:r w:rsidRPr="007B1461">
        <w:rPr>
          <w:rFonts w:ascii="Times New Roman" w:hAnsi="Times New Roman"/>
          <w:bCs/>
        </w:rPr>
        <w:t>smernica 2001/24/ES Európskeho parlamentu a Rady zo 4. apríla 2001 o reorganizácii a likvidácii úverových inštitúcií (Mimoriadne vydanie Ú. v. EÚ kap. 6/zv. 4),</w:t>
      </w:r>
    </w:p>
    <w:p w:rsidR="007B1461" w:rsidRPr="007B1461" w:rsidP="007B1461">
      <w:pPr>
        <w:pStyle w:val="BodyTextIndent"/>
        <w:numPr>
          <w:numId w:val="8"/>
        </w:numPr>
        <w:autoSpaceDE w:val="0"/>
        <w:autoSpaceDN w:val="0"/>
        <w:bidi w:val="0"/>
        <w:adjustRightInd w:val="0"/>
        <w:ind w:left="896" w:hanging="357"/>
        <w:jc w:val="both"/>
        <w:rPr>
          <w:rFonts w:ascii="Times New Roman" w:hAnsi="Times New Roman"/>
          <w:i/>
        </w:rPr>
      </w:pPr>
      <w:r w:rsidRPr="007B1461">
        <w:rPr>
          <w:rFonts w:ascii="Times New Roman" w:hAnsi="Times New Roman"/>
          <w:bCs/>
        </w:rPr>
        <w:t>smernica Európskeho parlamentu a Rady 2002/87/ES zo 16. decembra 2002 o doplnkovom dohľade nad úverovými inštitúciami, poisťovňami a investičnými spoločnosťami vo finančnom konglomeráte, ktorou sa menia a dopĺňajú smernice Rady 73/239/EHS, 79/267/EHS, 92/49/EHS, 92/96/EHS, 93/6/EHS a 93/22/EHS a smernice Európskeho parlamentu a Rady 98/78/ES a 2000/12/ES  v platnom znení (Mimoriadne vydanie Ú. v. EÚ kap. 6/zv. 4),</w:t>
      </w:r>
    </w:p>
    <w:p w:rsidR="007B1461" w:rsidRPr="007B1461" w:rsidP="007B1461">
      <w:pPr>
        <w:pStyle w:val="BodyTextIndent"/>
        <w:numPr>
          <w:numId w:val="8"/>
        </w:numPr>
        <w:autoSpaceDE w:val="0"/>
        <w:autoSpaceDN w:val="0"/>
        <w:bidi w:val="0"/>
        <w:adjustRightInd w:val="0"/>
        <w:ind w:left="896" w:hanging="357"/>
        <w:jc w:val="both"/>
        <w:rPr>
          <w:rFonts w:ascii="Times New Roman" w:hAnsi="Times New Roman"/>
          <w:i/>
        </w:rPr>
      </w:pPr>
      <w:r w:rsidRPr="007B1461">
        <w:rPr>
          <w:rFonts w:ascii="Times New Roman" w:hAnsi="Times New Roman"/>
          <w:bCs/>
        </w:rPr>
        <w:t>smernica Európskeho parlamentu a Rady 2004/39/ES z 21. apríla 2004 o trhoch s finančnými nástrojmi, o zmene a doplnení smerníc Rady 85/611/EHS a 93/6/EHS a smernice Európskeho parlamentu a Rady 2000/12/ES a o zrušení smernice Rady 93/22/EHS v platnom znení (Mimoriadne vydanie Ú. v. EÚ kap. 6/zv. 7),</w:t>
      </w:r>
    </w:p>
    <w:p w:rsidR="007B1461" w:rsidRPr="007B1461" w:rsidP="007B1461">
      <w:pPr>
        <w:pStyle w:val="BodyTextIndent"/>
        <w:numPr>
          <w:numId w:val="8"/>
        </w:numPr>
        <w:autoSpaceDE w:val="0"/>
        <w:autoSpaceDN w:val="0"/>
        <w:bidi w:val="0"/>
        <w:adjustRightInd w:val="0"/>
        <w:ind w:left="896" w:hanging="357"/>
        <w:jc w:val="both"/>
        <w:rPr>
          <w:rFonts w:ascii="Times New Roman" w:hAnsi="Times New Roman"/>
          <w:i/>
        </w:rPr>
      </w:pPr>
      <w:r w:rsidRPr="007B1461">
        <w:rPr>
          <w:rFonts w:ascii="Times New Roman" w:hAnsi="Times New Roman"/>
          <w:bCs/>
        </w:rPr>
        <w:t>smernica Európskeho parlamentu a Rady 2005/1/ES z 9. marca 2005, ktorou sa menia a dopĺňajú smernice Rady 73/239/EHS, 85/611/EHS, 91/675/EHS, 92/49/EHS a 93/6/EHS a smernice Európskeho parlamentu a Rady 94/19/ES, 98/78/ES, 2000/12/ES, 2001/34/ES, 2002/83/ES a 2002/87/ES s cieľom vytvoriť novú organizačnú štruktúru výborov pre finančné služby (Ú. v. EÚ L 79, 24.3.2005),</w:t>
      </w:r>
    </w:p>
    <w:p w:rsidR="007B1461" w:rsidRPr="007B1461" w:rsidP="007B1461">
      <w:pPr>
        <w:pStyle w:val="BodyTextIndent"/>
        <w:numPr>
          <w:numId w:val="8"/>
        </w:numPr>
        <w:autoSpaceDE w:val="0"/>
        <w:autoSpaceDN w:val="0"/>
        <w:bidi w:val="0"/>
        <w:adjustRightInd w:val="0"/>
        <w:ind w:left="896" w:hanging="357"/>
        <w:jc w:val="both"/>
        <w:rPr>
          <w:rFonts w:ascii="Times New Roman" w:hAnsi="Times New Roman"/>
          <w:i/>
        </w:rPr>
      </w:pPr>
      <w:r w:rsidRPr="007B1461">
        <w:rPr>
          <w:rFonts w:ascii="Times New Roman" w:hAnsi="Times New Roman"/>
          <w:bCs/>
        </w:rPr>
        <w:t>smernica Európskeho parlamentu a Rady 2006/31/ES z 5. apríla 2006 , ktorou sa mení a dopĺňa smernica 2004/39/ES o trhoch s finančnými nástrojmi s ohľadom na určité termíny (Ú. v. EÚ 114, 27.4.2006),</w:t>
      </w:r>
    </w:p>
    <w:p w:rsidR="007B1461" w:rsidRPr="007B1461" w:rsidP="007B1461">
      <w:pPr>
        <w:pStyle w:val="BodyTextIndent"/>
        <w:numPr>
          <w:numId w:val="8"/>
        </w:numPr>
        <w:autoSpaceDE w:val="0"/>
        <w:autoSpaceDN w:val="0"/>
        <w:bidi w:val="0"/>
        <w:adjustRightInd w:val="0"/>
        <w:ind w:left="896" w:hanging="357"/>
        <w:jc w:val="both"/>
        <w:rPr>
          <w:rStyle w:val="Emphasis"/>
          <w:rFonts w:ascii="Times New Roman" w:hAnsi="Times New Roman" w:eastAsiaTheme="minorEastAsia"/>
          <w:iCs w:val="0"/>
        </w:rPr>
      </w:pPr>
      <w:r w:rsidRPr="007B1461">
        <w:rPr>
          <w:rFonts w:ascii="Times New Roman" w:hAnsi="Times New Roman"/>
          <w:bCs/>
        </w:rPr>
        <w:t>smernica Európskeho parlamentu a Rady 2006/48/ES zo 14. júna 2006 o začatí a vykonávaní činností úverových inštitúcií  v platnom znení (</w:t>
      </w:r>
      <w:r w:rsidRPr="007B1461">
        <w:rPr>
          <w:rStyle w:val="Emphasis"/>
          <w:rFonts w:ascii="Times New Roman" w:hAnsi="Times New Roman" w:eastAsiaTheme="minorEastAsia" w:hint="default"/>
          <w:i w:val="0"/>
        </w:rPr>
        <w:t>Ú</w:t>
      </w:r>
      <w:r w:rsidRPr="007B1461">
        <w:rPr>
          <w:rStyle w:val="Emphasis"/>
          <w:rFonts w:ascii="Times New Roman" w:hAnsi="Times New Roman" w:eastAsiaTheme="minorEastAsia" w:hint="default"/>
          <w:i w:val="0"/>
        </w:rPr>
        <w:t>. v. EÚ</w:t>
      </w:r>
      <w:r w:rsidRPr="007B1461">
        <w:rPr>
          <w:rStyle w:val="Emphasis"/>
          <w:rFonts w:ascii="Times New Roman" w:hAnsi="Times New Roman" w:eastAsiaTheme="minorEastAsia" w:hint="default"/>
          <w:i w:val="0"/>
        </w:rPr>
        <w:t xml:space="preserve"> L 177, 30.6.2006),</w:t>
      </w:r>
    </w:p>
    <w:p w:rsidR="007B1461" w:rsidRPr="007B1461" w:rsidP="007B1461">
      <w:pPr>
        <w:pStyle w:val="BodyTextIndent"/>
        <w:numPr>
          <w:numId w:val="8"/>
        </w:numPr>
        <w:autoSpaceDE w:val="0"/>
        <w:autoSpaceDN w:val="0"/>
        <w:bidi w:val="0"/>
        <w:adjustRightInd w:val="0"/>
        <w:ind w:left="896" w:hanging="357"/>
        <w:jc w:val="both"/>
        <w:rPr>
          <w:rStyle w:val="Emphasis"/>
          <w:rFonts w:ascii="Times New Roman" w:hAnsi="Times New Roman" w:eastAsiaTheme="minorEastAsia"/>
          <w:iCs w:val="0"/>
        </w:rPr>
      </w:pPr>
      <w:r w:rsidRPr="007B1461">
        <w:rPr>
          <w:rFonts w:ascii="Times New Roman" w:hAnsi="Times New Roman"/>
          <w:bCs/>
        </w:rPr>
        <w:t>smernica Európskeho parlamentu a Rady 2006/49/ES zo 14. júna 2006 o kapitálovej primeranosti investičných spoločností a úverových inštitúcií v platnom znení (</w:t>
      </w:r>
      <w:r w:rsidRPr="007B1461">
        <w:rPr>
          <w:rStyle w:val="Emphasis"/>
          <w:rFonts w:ascii="Times New Roman" w:hAnsi="Times New Roman" w:eastAsiaTheme="minorEastAsia" w:hint="default"/>
          <w:i w:val="0"/>
        </w:rPr>
        <w:t>Ú</w:t>
      </w:r>
      <w:r w:rsidRPr="007B1461">
        <w:rPr>
          <w:rStyle w:val="Emphasis"/>
          <w:rFonts w:ascii="Times New Roman" w:hAnsi="Times New Roman" w:eastAsiaTheme="minorEastAsia" w:hint="default"/>
          <w:i w:val="0"/>
        </w:rPr>
        <w:t>. v. EÚ</w:t>
      </w:r>
      <w:r w:rsidRPr="007B1461">
        <w:rPr>
          <w:rStyle w:val="Emphasis"/>
          <w:rFonts w:ascii="Times New Roman" w:hAnsi="Times New Roman" w:eastAsiaTheme="minorEastAsia" w:hint="default"/>
          <w:i w:val="0"/>
        </w:rPr>
        <w:t xml:space="preserve"> L 177, 30.6.2006),</w:t>
      </w:r>
    </w:p>
    <w:p w:rsidR="00F427ED" w:rsidRPr="00F427ED" w:rsidP="007B1461">
      <w:pPr>
        <w:pStyle w:val="BodyTextIndent"/>
        <w:numPr>
          <w:numId w:val="8"/>
        </w:numPr>
        <w:autoSpaceDE w:val="0"/>
        <w:autoSpaceDN w:val="0"/>
        <w:bidi w:val="0"/>
        <w:adjustRightInd w:val="0"/>
        <w:ind w:left="896" w:hanging="357"/>
        <w:jc w:val="both"/>
        <w:rPr>
          <w:rStyle w:val="Emphasis"/>
          <w:rFonts w:ascii="Times New Roman" w:hAnsi="Times New Roman"/>
          <w:iCs w:val="0"/>
        </w:rPr>
      </w:pPr>
      <w:r w:rsidRPr="007B1461" w:rsidR="007B1461">
        <w:rPr>
          <w:rStyle w:val="Emphasis"/>
          <w:rFonts w:ascii="Times New Roman" w:hAnsi="Times New Roman" w:eastAsiaTheme="minorEastAsia" w:hint="default"/>
          <w:i w:val="0"/>
        </w:rPr>
        <w:t>nariadenie Euró</w:t>
      </w:r>
      <w:r w:rsidRPr="007B1461" w:rsidR="007B1461">
        <w:rPr>
          <w:rStyle w:val="Emphasis"/>
          <w:rFonts w:ascii="Times New Roman" w:hAnsi="Times New Roman" w:eastAsiaTheme="minorEastAsia" w:hint="default"/>
          <w:i w:val="0"/>
        </w:rPr>
        <w:t>pskeho parlamentu a </w:t>
      </w:r>
      <w:r w:rsidRPr="007B1461" w:rsidR="007B1461">
        <w:rPr>
          <w:rStyle w:val="Emphasis"/>
          <w:rFonts w:ascii="Times New Roman" w:hAnsi="Times New Roman" w:eastAsiaTheme="minorEastAsia" w:hint="default"/>
          <w:i w:val="0"/>
        </w:rPr>
        <w:t>Rady č</w:t>
      </w:r>
      <w:r w:rsidRPr="007B1461" w:rsidR="007B1461">
        <w:rPr>
          <w:rStyle w:val="Emphasis"/>
          <w:rFonts w:ascii="Times New Roman" w:hAnsi="Times New Roman" w:eastAsiaTheme="minorEastAsia" w:hint="default"/>
          <w:i w:val="0"/>
        </w:rPr>
        <w:t>. 1060/2009 zo 16. septembra 2009 o </w:t>
      </w:r>
      <w:r w:rsidRPr="007B1461" w:rsidR="007B1461">
        <w:rPr>
          <w:rStyle w:val="Emphasis"/>
          <w:rFonts w:ascii="Times New Roman" w:hAnsi="Times New Roman" w:eastAsiaTheme="minorEastAsia" w:hint="default"/>
          <w:i w:val="0"/>
        </w:rPr>
        <w:t>ratingový</w:t>
      </w:r>
      <w:r w:rsidRPr="007B1461" w:rsidR="007B1461">
        <w:rPr>
          <w:rStyle w:val="Emphasis"/>
          <w:rFonts w:ascii="Times New Roman" w:hAnsi="Times New Roman" w:eastAsiaTheme="minorEastAsia" w:hint="default"/>
          <w:i w:val="0"/>
        </w:rPr>
        <w:t>ch agentú</w:t>
      </w:r>
      <w:r w:rsidRPr="007B1461" w:rsidR="007B1461">
        <w:rPr>
          <w:rStyle w:val="Emphasis"/>
          <w:rFonts w:ascii="Times New Roman" w:hAnsi="Times New Roman" w:eastAsiaTheme="minorEastAsia" w:hint="default"/>
          <w:i w:val="0"/>
        </w:rPr>
        <w:t>rach (Ú</w:t>
      </w:r>
      <w:r w:rsidRPr="007B1461" w:rsidR="007B1461">
        <w:rPr>
          <w:rStyle w:val="Emphasis"/>
          <w:rFonts w:ascii="Times New Roman" w:hAnsi="Times New Roman" w:eastAsiaTheme="minorEastAsia" w:hint="default"/>
          <w:i w:val="0"/>
        </w:rPr>
        <w:t>. v. EÚ</w:t>
      </w:r>
      <w:r w:rsidRPr="007B1461" w:rsidR="007B1461">
        <w:rPr>
          <w:rStyle w:val="Emphasis"/>
          <w:rFonts w:ascii="Times New Roman" w:hAnsi="Times New Roman" w:eastAsiaTheme="minorEastAsia" w:hint="default"/>
          <w:i w:val="0"/>
        </w:rPr>
        <w:t xml:space="preserve"> L 302, 17.11.2009)</w:t>
      </w:r>
      <w:r>
        <w:rPr>
          <w:rStyle w:val="Emphasis"/>
          <w:rFonts w:ascii="Times New Roman" w:hAnsi="Times New Roman" w:eastAsiaTheme="minorEastAsia"/>
          <w:i w:val="0"/>
        </w:rPr>
        <w:t>,</w:t>
      </w:r>
    </w:p>
    <w:p w:rsidR="007B1461" w:rsidRPr="007B1461" w:rsidP="007B1461">
      <w:pPr>
        <w:pStyle w:val="BodyTextIndent"/>
        <w:numPr>
          <w:numId w:val="8"/>
        </w:numPr>
        <w:autoSpaceDE w:val="0"/>
        <w:autoSpaceDN w:val="0"/>
        <w:bidi w:val="0"/>
        <w:adjustRightInd w:val="0"/>
        <w:ind w:left="896" w:hanging="357"/>
        <w:jc w:val="both"/>
        <w:rPr>
          <w:rFonts w:ascii="Times New Roman" w:hAnsi="Times New Roman"/>
          <w:i/>
        </w:rPr>
      </w:pPr>
      <w:r w:rsidR="00F427ED">
        <w:rPr>
          <w:rFonts w:ascii="Times New Roman" w:hAnsi="Times New Roman"/>
        </w:rPr>
        <w:t>s</w:t>
      </w:r>
      <w:r w:rsidRPr="0047463A" w:rsidR="00F427ED">
        <w:rPr>
          <w:rFonts w:ascii="Times New Roman" w:hAnsi="Times New Roman"/>
        </w:rPr>
        <w:t>mernica Európskeho parlamentu a Rady 2009/111/ES zo 16. septembra 2009, ktorou sa menia a dopĺňajú smernice 2006/48/ES, 2006/49/ES a 2007/64/ES, pokiaľ ide o banky pridružené k ústredným inštitúciám, niektoré položky vlastných zdrojov, veľkú majetkovú angažovanosť, mechanizmy dohľadu a krízové riadenie (Ú. v. EÚ</w:t>
      </w:r>
      <w:r w:rsidR="00F427ED">
        <w:rPr>
          <w:rFonts w:ascii="Times New Roman" w:hAnsi="Times New Roman"/>
        </w:rPr>
        <w:t xml:space="preserve"> L 302, 17.11.2009</w:t>
      </w:r>
      <w:r w:rsidRPr="0047463A" w:rsidR="00F427ED">
        <w:rPr>
          <w:rFonts w:ascii="Times New Roman" w:hAnsi="Times New Roman"/>
        </w:rPr>
        <w:t>)</w:t>
      </w:r>
      <w:r w:rsidR="00F427ED">
        <w:rPr>
          <w:rFonts w:ascii="Times New Roman" w:hAnsi="Times New Roman"/>
        </w:rPr>
        <w:t>.</w:t>
      </w:r>
    </w:p>
    <w:p w:rsidR="007B1461" w:rsidRPr="007B1461" w:rsidP="007B1461">
      <w:pPr>
        <w:pStyle w:val="BodyText"/>
        <w:numPr>
          <w:ilvl w:val="1"/>
          <w:numId w:val="12"/>
        </w:numPr>
        <w:bidi w:val="0"/>
        <w:spacing w:after="120"/>
        <w:rPr>
          <w:rFonts w:ascii="Times New Roman" w:hAnsi="Times New Roman"/>
        </w:rPr>
      </w:pPr>
      <w:r w:rsidRPr="007B1461">
        <w:rPr>
          <w:rFonts w:ascii="Times New Roman" w:hAnsi="Times New Roman"/>
        </w:rPr>
        <w:t>je obsiahnutá v judikatúre Súdneho dvora Európskej únie:</w:t>
      </w:r>
    </w:p>
    <w:p w:rsidR="007B1461" w:rsidRPr="007B1461" w:rsidP="007B1461">
      <w:pPr>
        <w:pStyle w:val="BodyText"/>
        <w:numPr>
          <w:numId w:val="8"/>
        </w:numPr>
        <w:bidi w:val="0"/>
        <w:spacing w:after="120"/>
        <w:ind w:left="896" w:hanging="357"/>
        <w:rPr>
          <w:rFonts w:ascii="Times New Roman" w:hAnsi="Times New Roman"/>
          <w:i/>
        </w:rPr>
      </w:pPr>
      <w:r w:rsidRPr="007B1461">
        <w:rPr>
          <w:rFonts w:ascii="Times New Roman" w:hAnsi="Times New Roman"/>
          <w:bCs/>
        </w:rPr>
        <w:t>rozsudok Súdneho dvora (tretia komora) z 23. novembra 2006 vo veci C-238/05, Asnef-Equifax, Servicios de Información sobre Solvencia y Crédito, SL proti Asociación de Usuarios de Servicios Bancarios (Ausbanc), rok 2006, Zb. rozh. ESD (</w:t>
      </w:r>
      <w:r w:rsidRPr="007B1461">
        <w:rPr>
          <w:rStyle w:val="Emphasis"/>
          <w:rFonts w:ascii="Times New Roman" w:hAnsi="Times New Roman" w:eastAsiaTheme="minorEastAsia"/>
          <w:i w:val="0"/>
        </w:rPr>
        <w:t>I-11125),</w:t>
      </w:r>
    </w:p>
    <w:p w:rsidR="007B1461" w:rsidRPr="007B1461" w:rsidP="007B1461">
      <w:pPr>
        <w:pStyle w:val="BodyText"/>
        <w:numPr>
          <w:numId w:val="8"/>
        </w:numPr>
        <w:bidi w:val="0"/>
        <w:spacing w:after="120"/>
        <w:ind w:left="896" w:hanging="357"/>
        <w:rPr>
          <w:rStyle w:val="Emphasis"/>
          <w:rFonts w:ascii="Times New Roman" w:hAnsi="Times New Roman" w:eastAsiaTheme="minorEastAsia"/>
          <w:iCs w:val="0"/>
        </w:rPr>
      </w:pPr>
      <w:r w:rsidRPr="007B1461">
        <w:rPr>
          <w:rFonts w:ascii="Times New Roman" w:hAnsi="Times New Roman"/>
          <w:bCs/>
        </w:rPr>
        <w:t>rozsudok Súdneho dvora (plénum) z 12. októbra 2004 vo veci C – 222/02, Peter Paul, Cornelia Sonnen-Lütte a Christel Mörkens proti Bundesrepublik Deutschland, rok 2004, Zb. rozh. ESD (</w:t>
      </w:r>
      <w:r w:rsidRPr="007B1461">
        <w:rPr>
          <w:rStyle w:val="Emphasis"/>
          <w:rFonts w:ascii="Times New Roman" w:hAnsi="Times New Roman" w:eastAsiaTheme="minorEastAsia"/>
          <w:i w:val="0"/>
        </w:rPr>
        <w:t>I-09425),</w:t>
      </w:r>
    </w:p>
    <w:p w:rsidR="007B1461" w:rsidRPr="007B1461" w:rsidP="007B1461">
      <w:pPr>
        <w:pStyle w:val="BodyText"/>
        <w:numPr>
          <w:numId w:val="8"/>
        </w:numPr>
        <w:bidi w:val="0"/>
        <w:spacing w:after="120"/>
        <w:ind w:left="896" w:hanging="357"/>
        <w:rPr>
          <w:rStyle w:val="Emphasis"/>
          <w:rFonts w:ascii="Times New Roman" w:hAnsi="Times New Roman" w:eastAsiaTheme="minorEastAsia"/>
          <w:iCs w:val="0"/>
        </w:rPr>
      </w:pPr>
      <w:r w:rsidRPr="007B1461">
        <w:rPr>
          <w:rFonts w:ascii="Times New Roman" w:hAnsi="Times New Roman"/>
          <w:bCs/>
        </w:rPr>
        <w:t>rozsudok Súdneho dvora (šiesta komora) z 11. februára 1999 vo veci C-366/07, trestné konanie proti Massimo Romanelli a Paolo Romanelli, rok 1999, Zb. rozh. ESD (</w:t>
      </w:r>
      <w:r w:rsidRPr="007B1461">
        <w:rPr>
          <w:rStyle w:val="Emphasis"/>
          <w:rFonts w:ascii="Times New Roman" w:hAnsi="Times New Roman" w:eastAsiaTheme="minorEastAsia"/>
          <w:i w:val="0"/>
        </w:rPr>
        <w:t>I-00855).</w:t>
      </w:r>
    </w:p>
    <w:p w:rsidR="007B1461" w:rsidRPr="007B1461" w:rsidP="007B1461">
      <w:pPr>
        <w:pStyle w:val="BodyText"/>
        <w:bidi w:val="0"/>
        <w:ind w:left="425"/>
        <w:rPr>
          <w:rFonts w:ascii="Times New Roman" w:hAnsi="Times New Roman"/>
        </w:rPr>
      </w:pPr>
    </w:p>
    <w:p w:rsidR="007B1461" w:rsidRPr="007B1461" w:rsidP="007B1461">
      <w:pPr>
        <w:numPr>
          <w:numId w:val="12"/>
        </w:numPr>
        <w:tabs>
          <w:tab w:val="left" w:pos="340"/>
        </w:tabs>
        <w:bidi w:val="0"/>
        <w:spacing w:after="120"/>
        <w:jc w:val="both"/>
        <w:rPr>
          <w:rFonts w:ascii="Times New Roman" w:hAnsi="Times New Roman"/>
          <w:b/>
          <w:bCs/>
        </w:rPr>
      </w:pPr>
      <w:r w:rsidRPr="007B1461">
        <w:rPr>
          <w:rFonts w:ascii="Times New Roman" w:hAnsi="Times New Roman"/>
          <w:b/>
          <w:bCs/>
        </w:rPr>
        <w:t>Záväzky Slovenskej republiky vo vzťahu k Európskej únii:</w:t>
      </w:r>
    </w:p>
    <w:p w:rsidR="007B1461" w:rsidRPr="007B1461" w:rsidP="007B1461">
      <w:pPr>
        <w:pStyle w:val="BodyText"/>
        <w:numPr>
          <w:ilvl w:val="1"/>
          <w:numId w:val="12"/>
        </w:numPr>
        <w:tabs>
          <w:tab w:val="left" w:pos="360"/>
        </w:tabs>
        <w:bidi w:val="0"/>
        <w:spacing w:after="120"/>
        <w:rPr>
          <w:rFonts w:ascii="Times New Roman" w:hAnsi="Times New Roman"/>
        </w:rPr>
      </w:pPr>
      <w:r w:rsidRPr="007B1461">
        <w:rPr>
          <w:rFonts w:ascii="Times New Roman" w:hAnsi="Times New Roman"/>
        </w:rPr>
        <w:t>Lehota na prebratie smernice Európskeho parlamentu a Rady 2009/111/ES je stanovená na 31.10.2010.</w:t>
      </w:r>
    </w:p>
    <w:p w:rsidR="007B1461" w:rsidRPr="007B1461" w:rsidP="007B1461">
      <w:pPr>
        <w:pStyle w:val="BodyText"/>
        <w:numPr>
          <w:ilvl w:val="1"/>
          <w:numId w:val="12"/>
        </w:numPr>
        <w:tabs>
          <w:tab w:val="left" w:pos="360"/>
        </w:tabs>
        <w:bidi w:val="0"/>
        <w:spacing w:after="120"/>
        <w:rPr>
          <w:rFonts w:ascii="Times New Roman" w:hAnsi="Times New Roman"/>
        </w:rPr>
      </w:pPr>
      <w:r w:rsidRPr="007B1461">
        <w:rPr>
          <w:rFonts w:ascii="Times New Roman" w:hAnsi="Times New Roman"/>
        </w:rPr>
        <w:t>Lehota na prebratie smernice Európskeho parlamentu a Rady 2009/111/ES podľa určenia gestorských ústredných orgánov štátnej správy zodpovedných za prebratie smerníc a vypracovanie tabuliek zhody k návrhom všeobecne záväzných právnych predpisov je stanovená na 31.10.2010.</w:t>
      </w:r>
    </w:p>
    <w:p w:rsidR="007B1461" w:rsidP="007B1461">
      <w:pPr>
        <w:pStyle w:val="BodyText"/>
        <w:numPr>
          <w:ilvl w:val="1"/>
          <w:numId w:val="12"/>
        </w:numPr>
        <w:tabs>
          <w:tab w:val="left" w:pos="360"/>
        </w:tabs>
        <w:bidi w:val="0"/>
        <w:spacing w:after="120"/>
        <w:rPr>
          <w:rFonts w:ascii="Times New Roman" w:hAnsi="Times New Roman"/>
        </w:rPr>
      </w:pPr>
      <w:r w:rsidRPr="007B1461">
        <w:rPr>
          <w:rFonts w:ascii="Times New Roman" w:hAnsi="Times New Roman"/>
        </w:rPr>
        <w:t>Proti SR nebolo začaté konanie o porušení Zmluvy o založení Európskych spoločenstiev podľa čl. 258 až 260 Zmluvy o fungovaní Európskej únie.</w:t>
      </w:r>
    </w:p>
    <w:p w:rsidR="00B3390C" w:rsidRPr="007B1461" w:rsidP="007B1461">
      <w:pPr>
        <w:pStyle w:val="BodyText"/>
        <w:numPr>
          <w:ilvl w:val="1"/>
          <w:numId w:val="12"/>
        </w:numPr>
        <w:tabs>
          <w:tab w:val="left" w:pos="360"/>
        </w:tabs>
        <w:bidi w:val="0"/>
        <w:spacing w:after="120"/>
        <w:rPr>
          <w:rFonts w:ascii="Times New Roman" w:hAnsi="Times New Roman"/>
        </w:rPr>
      </w:pPr>
      <w:r>
        <w:rPr>
          <w:rFonts w:ascii="Times New Roman" w:hAnsi="Times New Roman"/>
        </w:rPr>
        <w:t>S</w:t>
      </w:r>
      <w:r w:rsidRPr="0047463A">
        <w:rPr>
          <w:rFonts w:ascii="Times New Roman" w:hAnsi="Times New Roman"/>
        </w:rPr>
        <w:t>mernica Európskeho parlamentu a Rady 2009/111/ES zo 16. septembra 2009, ktorou sa menia a dopĺňajú smernice 2006/48/ES, 2006/49/ES a 2007/64/ES, pokiaľ ide o banky pridružené k ústredným inštitúciám, niektoré položky vlastných zdrojov, veľkú majetkovú angažovanosť, mechanizmy dohľadu a krízové riadenie (Ú. v. EÚ</w:t>
      </w:r>
      <w:r>
        <w:rPr>
          <w:rFonts w:ascii="Times New Roman" w:hAnsi="Times New Roman"/>
        </w:rPr>
        <w:t xml:space="preserve"> L 302, 17.11.2009</w:t>
      </w:r>
      <w:r w:rsidRPr="0047463A">
        <w:rPr>
          <w:rFonts w:ascii="Times New Roman" w:hAnsi="Times New Roman"/>
        </w:rPr>
        <w:t>)</w:t>
      </w:r>
      <w:r w:rsidR="0075595D">
        <w:rPr>
          <w:rFonts w:ascii="Times New Roman" w:hAnsi="Times New Roman"/>
        </w:rPr>
        <w:t xml:space="preserve"> sa preberá do návrhu zákona.</w:t>
      </w:r>
    </w:p>
    <w:p w:rsidR="007B1461" w:rsidRPr="007B1461" w:rsidP="007B1461">
      <w:pPr>
        <w:pStyle w:val="BodyTextIndent"/>
        <w:autoSpaceDE w:val="0"/>
        <w:autoSpaceDN w:val="0"/>
        <w:bidi w:val="0"/>
        <w:adjustRightInd w:val="0"/>
        <w:ind w:hanging="357"/>
        <w:rPr>
          <w:rFonts w:ascii="Times New Roman" w:hAnsi="Times New Roman"/>
        </w:rPr>
      </w:pPr>
    </w:p>
    <w:p w:rsidR="007B1461" w:rsidRPr="007B1461" w:rsidP="007B1461">
      <w:pPr>
        <w:numPr>
          <w:numId w:val="12"/>
        </w:numPr>
        <w:bidi w:val="0"/>
        <w:spacing w:after="120"/>
        <w:jc w:val="both"/>
        <w:rPr>
          <w:rFonts w:ascii="Times New Roman" w:hAnsi="Times New Roman"/>
          <w:b/>
          <w:bCs/>
        </w:rPr>
      </w:pPr>
      <w:r w:rsidRPr="007B1461">
        <w:rPr>
          <w:rFonts w:ascii="Times New Roman" w:hAnsi="Times New Roman"/>
          <w:b/>
          <w:bCs/>
        </w:rPr>
        <w:t>Stupeň zlučiteľnosti návrhu zákona s právom Európskej únie:</w:t>
      </w:r>
    </w:p>
    <w:p w:rsidR="007B1461" w:rsidRPr="007B1461" w:rsidP="007B1461">
      <w:pPr>
        <w:bidi w:val="0"/>
        <w:spacing w:after="120"/>
        <w:ind w:left="357"/>
        <w:jc w:val="both"/>
        <w:rPr>
          <w:rFonts w:ascii="Times New Roman" w:hAnsi="Times New Roman"/>
        </w:rPr>
      </w:pPr>
      <w:r w:rsidRPr="007B1461">
        <w:rPr>
          <w:rFonts w:ascii="Times New Roman" w:hAnsi="Times New Roman"/>
        </w:rPr>
        <w:t xml:space="preserve"> Čiastočný.</w:t>
      </w:r>
    </w:p>
    <w:p w:rsidR="007B1461" w:rsidRPr="007B1461" w:rsidP="007B1461">
      <w:pPr>
        <w:bidi w:val="0"/>
        <w:ind w:left="357"/>
        <w:jc w:val="both"/>
        <w:rPr>
          <w:rFonts w:ascii="Times New Roman" w:hAnsi="Times New Roman"/>
          <w:bCs/>
        </w:rPr>
      </w:pPr>
    </w:p>
    <w:p w:rsidR="007B1461" w:rsidRPr="007B1461" w:rsidP="007B1461">
      <w:pPr>
        <w:numPr>
          <w:numId w:val="12"/>
        </w:numPr>
        <w:bidi w:val="0"/>
        <w:spacing w:after="120"/>
        <w:jc w:val="both"/>
        <w:rPr>
          <w:rFonts w:ascii="Times New Roman" w:hAnsi="Times New Roman"/>
          <w:b/>
          <w:bCs/>
        </w:rPr>
      </w:pPr>
      <w:r w:rsidRPr="007B1461">
        <w:rPr>
          <w:rFonts w:ascii="Times New Roman" w:hAnsi="Times New Roman"/>
          <w:b/>
          <w:bCs/>
        </w:rPr>
        <w:t xml:space="preserve">Gestor a spolupracujúce rezorty: </w:t>
      </w:r>
    </w:p>
    <w:p w:rsidR="007B1461" w:rsidRPr="007B1461" w:rsidP="007B1461">
      <w:pPr>
        <w:bidi w:val="0"/>
        <w:spacing w:after="120"/>
        <w:ind w:left="360"/>
        <w:jc w:val="both"/>
        <w:rPr>
          <w:rFonts w:ascii="Times New Roman" w:hAnsi="Times New Roman"/>
          <w:b/>
          <w:bCs/>
        </w:rPr>
      </w:pPr>
      <w:r w:rsidRPr="007B1461">
        <w:rPr>
          <w:rFonts w:ascii="Times New Roman" w:hAnsi="Times New Roman"/>
        </w:rPr>
        <w:t xml:space="preserve"> Ministerstvo financií Slovenskej republiky, Národná banka Slovenska</w:t>
      </w:r>
    </w:p>
    <w:p w:rsidR="007B1461" w:rsidP="007B1461">
      <w:pPr>
        <w:pStyle w:val="BodyTextIndent"/>
        <w:bidi w:val="0"/>
        <w:rPr>
          <w:rFonts w:ascii="Arial Narrow" w:hAnsi="Arial Narrow" w:cs="Arial Narrow"/>
          <w:sz w:val="22"/>
          <w:szCs w:val="22"/>
        </w:rPr>
      </w:pPr>
    </w:p>
    <w:p w:rsidR="00CA5A82" w:rsidRPr="00FA2DDC" w:rsidP="00FA2DDC">
      <w:pPr>
        <w:bidi w:val="0"/>
        <w:jc w:val="both"/>
        <w:rPr>
          <w:rFonts w:ascii="Times New Roman" w:hAnsi="Times New Roman"/>
        </w:rPr>
      </w:pPr>
    </w:p>
    <w:p w:rsidR="00CA5A82" w:rsidP="00FA2DDC">
      <w:pPr>
        <w:bidi w:val="0"/>
        <w:jc w:val="both"/>
        <w:rPr>
          <w:rFonts w:ascii="Times New Roman" w:hAnsi="Times New Roman"/>
        </w:rPr>
      </w:pPr>
    </w:p>
    <w:p w:rsidR="009F47EC" w:rsidP="009F47EC">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9F47EC" w:rsidP="009F47EC">
      <w:pPr>
        <w:bidi w:val="0"/>
        <w:jc w:val="center"/>
        <w:rPr>
          <w:rFonts w:ascii="Times New Roman" w:hAnsi="Times New Roman"/>
          <w:b/>
          <w:bCs/>
          <w:color w:val="000000"/>
        </w:rPr>
      </w:pPr>
      <w:r>
        <w:rPr>
          <w:rFonts w:ascii="Times New Roman" w:hAnsi="Times New Roman"/>
          <w:b/>
          <w:bCs/>
          <w:color w:val="000000"/>
        </w:rPr>
        <w:t>vybraných vplyvov</w:t>
      </w:r>
    </w:p>
    <w:p w:rsidR="009F47EC" w:rsidP="009F47EC">
      <w:pPr>
        <w:bidi w:val="0"/>
        <w:rPr>
          <w:rFonts w:ascii="Times New Roman" w:hAnsi="Times New Roman"/>
          <w:color w:val="000000"/>
        </w:rPr>
      </w:pPr>
    </w:p>
    <w:p w:rsidR="009F47EC" w:rsidP="009F47EC">
      <w:pPr>
        <w:bidi w:val="0"/>
        <w:rPr>
          <w:rFonts w:ascii="Times New Roman" w:hAnsi="Times New Roman"/>
          <w:color w:val="000000"/>
        </w:rPr>
      </w:pPr>
    </w:p>
    <w:p w:rsidR="00480C97" w:rsidRPr="00AD0B75" w:rsidP="00480C97">
      <w:pPr>
        <w:pStyle w:val="BodyText"/>
        <w:bidi w:val="0"/>
        <w:rPr>
          <w:rFonts w:ascii="Times New Roman" w:hAnsi="Times New Roman"/>
          <w:b/>
          <w:bCs/>
        </w:rPr>
      </w:pPr>
      <w:r w:rsidR="009F47EC">
        <w:rPr>
          <w:rFonts w:ascii="Times New Roman" w:hAnsi="Times New Roman"/>
          <w:b/>
          <w:bCs/>
          <w:color w:val="000000"/>
        </w:rPr>
        <w:t xml:space="preserve">A.1. Názov materiálu: </w:t>
      </w:r>
      <w:r w:rsidR="009F47EC">
        <w:rPr>
          <w:rFonts w:ascii="Times New Roman" w:hAnsi="Times New Roman"/>
          <w:color w:val="000000"/>
        </w:rPr>
        <w:t>Návrh zákona</w:t>
      </w:r>
      <w:r w:rsidRPr="00480C97" w:rsidR="009F47EC">
        <w:rPr>
          <w:rFonts w:ascii="Times New Roman" w:hAnsi="Times New Roman"/>
          <w:color w:val="000000"/>
        </w:rPr>
        <w:t xml:space="preserve">, </w:t>
      </w:r>
      <w:r w:rsidRPr="00480C97">
        <w:rPr>
          <w:rFonts w:ascii="Times New Roman" w:hAnsi="Times New Roman"/>
          <w:bCs/>
        </w:rPr>
        <w:t>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w:t>
      </w:r>
    </w:p>
    <w:p w:rsidR="009F47EC" w:rsidP="009F47EC">
      <w:pPr>
        <w:bidi w:val="0"/>
        <w:jc w:val="both"/>
        <w:rPr>
          <w:rFonts w:ascii="Times New Roman" w:hAnsi="Times New Roman"/>
          <w:color w:val="000000"/>
        </w:rPr>
      </w:pPr>
    </w:p>
    <w:p w:rsidR="009F47EC" w:rsidP="009F47EC">
      <w:pPr>
        <w:bidi w:val="0"/>
        <w:jc w:val="both"/>
        <w:rPr>
          <w:rFonts w:ascii="Times New Roman" w:hAnsi="Times New Roman"/>
          <w:b/>
          <w:bCs/>
          <w:color w:val="000000"/>
        </w:rPr>
      </w:pPr>
      <w:r>
        <w:rPr>
          <w:rFonts w:ascii="Times New Roman" w:hAnsi="Times New Roman"/>
          <w:b/>
          <w:bCs/>
          <w:color w:val="000000"/>
        </w:rPr>
        <w:t xml:space="preserve">        </w:t>
      </w:r>
    </w:p>
    <w:p w:rsidR="009F47EC" w:rsidP="009F47EC">
      <w:pPr>
        <w:bidi w:val="0"/>
        <w:jc w:val="both"/>
        <w:rPr>
          <w:rFonts w:ascii="Times New Roman" w:hAnsi="Times New Roman"/>
          <w:b/>
          <w:bCs/>
          <w:color w:val="000000"/>
        </w:rPr>
      </w:pPr>
    </w:p>
    <w:p w:rsidR="009F47EC" w:rsidP="009F47EC">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928"/>
        <w:gridCol w:w="1242"/>
        <w:gridCol w:w="1242"/>
        <w:gridCol w:w="124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F47EC" w:rsidP="00C22F5F">
            <w:pPr>
              <w:bidi w:val="0"/>
              <w:spacing w:after="0" w:line="240" w:lineRule="auto"/>
              <w:jc w:val="center"/>
              <w:rPr>
                <w:rFonts w:ascii="Times New Roman" w:hAnsi="Times New Roman"/>
                <w:color w:val="000000"/>
              </w:rPr>
            </w:pPr>
          </w:p>
        </w:tc>
      </w:tr>
    </w:tbl>
    <w:p w:rsidR="009F47EC" w:rsidP="009F47EC">
      <w:pPr>
        <w:bidi w:val="0"/>
        <w:rPr>
          <w:rFonts w:ascii="Times New Roman" w:hAnsi="Times New Roman"/>
          <w:color w:val="000000"/>
        </w:rPr>
      </w:pPr>
    </w:p>
    <w:p w:rsidR="009F47EC" w:rsidP="009F47EC">
      <w:pPr>
        <w:bidi w:val="0"/>
        <w:jc w:val="both"/>
        <w:rPr>
          <w:rFonts w:ascii="Times New Roman" w:hAnsi="Times New Roman"/>
          <w:b/>
          <w:bCs/>
          <w:color w:val="000000"/>
        </w:rPr>
      </w:pPr>
    </w:p>
    <w:p w:rsidR="009F47EC" w:rsidP="009F47EC">
      <w:pPr>
        <w:bidi w:val="0"/>
        <w:jc w:val="both"/>
        <w:rPr>
          <w:rFonts w:ascii="Times New Roman" w:hAnsi="Times New Roman"/>
          <w:b/>
          <w:bCs/>
          <w:color w:val="000000"/>
        </w:rPr>
      </w:pPr>
      <w:r>
        <w:rPr>
          <w:rFonts w:ascii="Times New Roman" w:hAnsi="Times New Roman"/>
          <w:b/>
          <w:bCs/>
          <w:color w:val="000000"/>
        </w:rPr>
        <w:t>A.3. Poznámky</w:t>
      </w:r>
    </w:p>
    <w:p w:rsidR="009F47EC" w:rsidP="009F47EC">
      <w:pPr>
        <w:bidi w:val="0"/>
        <w:spacing w:after="280" w:afterAutospacing="1"/>
        <w:rPr>
          <w:rFonts w:ascii="Times New Roman" w:hAnsi="Times New Roman"/>
          <w:color w:val="000000"/>
        </w:rPr>
      </w:pPr>
    </w:p>
    <w:p w:rsidR="009F47EC" w:rsidP="009F47EC">
      <w:pPr>
        <w:bidi w:val="0"/>
        <w:spacing w:after="280" w:afterAutospacing="1"/>
        <w:rPr>
          <w:rFonts w:ascii="Times New Roman" w:hAnsi="Times New Roman"/>
          <w:color w:val="000000"/>
        </w:rPr>
      </w:pPr>
    </w:p>
    <w:p w:rsidR="009F47EC" w:rsidP="009F47EC">
      <w:pPr>
        <w:bidi w:val="0"/>
        <w:jc w:val="both"/>
        <w:rPr>
          <w:rFonts w:ascii="Times New Roman" w:hAnsi="Times New Roman"/>
          <w:i/>
          <w:iCs/>
          <w:color w:val="000000"/>
        </w:rPr>
      </w:pPr>
      <w:r>
        <w:rPr>
          <w:rFonts w:ascii="Times New Roman" w:hAnsi="Times New Roman"/>
          <w:i/>
          <w:iCs/>
          <w:color w:val="000000"/>
        </w:rPr>
        <w:t xml:space="preserve">      </w:t>
      </w:r>
    </w:p>
    <w:p w:rsidR="009F47EC" w:rsidP="009F47EC">
      <w:pPr>
        <w:bidi w:val="0"/>
        <w:jc w:val="both"/>
        <w:rPr>
          <w:rFonts w:ascii="Times New Roman" w:hAnsi="Times New Roman"/>
          <w:b/>
          <w:bCs/>
          <w:color w:val="000000"/>
        </w:rPr>
      </w:pPr>
      <w:r>
        <w:rPr>
          <w:rFonts w:ascii="Times New Roman" w:hAnsi="Times New Roman"/>
          <w:b/>
          <w:bCs/>
          <w:color w:val="000000"/>
        </w:rPr>
        <w:t>A.4. Alternatívne riešenia</w:t>
      </w:r>
    </w:p>
    <w:p w:rsidR="009F47EC" w:rsidP="009F47EC">
      <w:pPr>
        <w:bidi w:val="0"/>
        <w:spacing w:after="280" w:afterAutospacing="1"/>
        <w:rPr>
          <w:rFonts w:ascii="Times New Roman" w:hAnsi="Times New Roman"/>
          <w:b/>
          <w:bCs/>
          <w:color w:val="000000"/>
        </w:rPr>
      </w:pPr>
    </w:p>
    <w:p w:rsidR="009F47EC" w:rsidP="009F47EC">
      <w:pPr>
        <w:bidi w:val="0"/>
        <w:spacing w:after="280" w:afterAutospacing="1"/>
        <w:rPr>
          <w:rFonts w:ascii="Times New Roman" w:hAnsi="Times New Roman"/>
          <w:color w:val="000000"/>
        </w:rPr>
      </w:pPr>
    </w:p>
    <w:p w:rsidR="009F47EC" w:rsidP="009F47EC">
      <w:pPr>
        <w:bidi w:val="0"/>
        <w:jc w:val="both"/>
        <w:rPr>
          <w:rFonts w:ascii="Times New Roman" w:hAnsi="Times New Roman"/>
          <w:b/>
          <w:bCs/>
          <w:color w:val="000000"/>
        </w:rPr>
      </w:pPr>
    </w:p>
    <w:p w:rsidR="009F47EC" w:rsidP="009F47EC">
      <w:pPr>
        <w:bidi w:val="0"/>
        <w:jc w:val="both"/>
        <w:rPr>
          <w:rFonts w:ascii="Times New Roman" w:hAnsi="Times New Roman"/>
          <w:b/>
          <w:bCs/>
          <w:color w:val="000000"/>
        </w:rPr>
      </w:pPr>
      <w:r>
        <w:rPr>
          <w:rFonts w:ascii="Times New Roman" w:hAnsi="Times New Roman"/>
          <w:b/>
          <w:bCs/>
          <w:color w:val="000000"/>
        </w:rPr>
        <w:t>A.5. Stanovisko gestorov</w:t>
      </w:r>
    </w:p>
    <w:p w:rsidR="009F47EC" w:rsidP="009F47EC">
      <w:pPr>
        <w:bidi w:val="0"/>
        <w:spacing w:after="280" w:afterAutospacing="1"/>
        <w:rPr>
          <w:rFonts w:ascii="Times New Roman" w:hAnsi="Times New Roman"/>
          <w:b/>
          <w:bCs/>
          <w:color w:val="000000"/>
        </w:rPr>
      </w:pPr>
    </w:p>
    <w:p w:rsidR="009F47EC" w:rsidP="009F47EC">
      <w:pPr>
        <w:bidi w:val="0"/>
        <w:spacing w:after="280" w:afterAutospacing="1"/>
        <w:rPr>
          <w:rFonts w:ascii="Times New Roman" w:hAnsi="Times New Roman"/>
          <w:color w:val="000000"/>
        </w:rPr>
      </w:pPr>
    </w:p>
    <w:p w:rsidR="002E2177" w:rsidRPr="00FA2DDC" w:rsidP="00FA2DDC">
      <w:pPr>
        <w:bidi w:val="0"/>
        <w:jc w:val="both"/>
        <w:rPr>
          <w:rFonts w:ascii="Times New Roman" w:hAnsi="Times New Roman"/>
        </w:rPr>
        <w:sectPr w:rsidSect="00FA2DDC">
          <w:pgSz w:w="11906" w:h="16838"/>
          <w:pgMar w:top="1134" w:right="1134" w:bottom="1134" w:left="1134" w:header="709" w:footer="709" w:gutter="0"/>
          <w:lnNumType w:distance="0"/>
          <w:cols w:space="708"/>
          <w:noEndnote w:val="0"/>
          <w:bidi w:val="0"/>
          <w:docGrid w:linePitch="360"/>
        </w:sectPr>
      </w:pPr>
    </w:p>
    <w:p w:rsidR="00CA5A82" w:rsidRPr="00FA2DDC" w:rsidP="00FA2DDC">
      <w:pPr>
        <w:bidi w:val="0"/>
        <w:jc w:val="both"/>
        <w:rPr>
          <w:rFonts w:ascii="Times New Roman" w:hAnsi="Times New Roman"/>
          <w:b/>
          <w:bCs/>
        </w:rPr>
      </w:pPr>
      <w:r w:rsidRPr="00FA2DDC">
        <w:rPr>
          <w:rFonts w:ascii="Times New Roman" w:hAnsi="Times New Roman"/>
          <w:b/>
          <w:bCs/>
        </w:rPr>
        <w:t>Osobitná časť</w:t>
      </w:r>
    </w:p>
    <w:p w:rsidR="00CA5A82" w:rsidRPr="00FA2DDC" w:rsidP="00FA2DDC">
      <w:pPr>
        <w:bidi w:val="0"/>
        <w:jc w:val="both"/>
        <w:rPr>
          <w:rFonts w:ascii="Times New Roman" w:hAnsi="Times New Roman"/>
        </w:rPr>
      </w:pPr>
    </w:p>
    <w:p w:rsidR="00CA5A82" w:rsidRPr="00FA2DDC" w:rsidP="00FA2DDC">
      <w:pPr>
        <w:bidi w:val="0"/>
        <w:jc w:val="both"/>
        <w:rPr>
          <w:rFonts w:ascii="Times New Roman" w:hAnsi="Times New Roman"/>
          <w:b/>
          <w:bCs/>
        </w:rPr>
      </w:pPr>
      <w:r w:rsidRPr="00FA2DDC">
        <w:rPr>
          <w:rFonts w:ascii="Times New Roman" w:hAnsi="Times New Roman"/>
          <w:b/>
          <w:bCs/>
        </w:rPr>
        <w:t>K ustanoveniam článku I</w:t>
      </w:r>
    </w:p>
    <w:p w:rsidR="00CA5A82" w:rsidRPr="00AB484C" w:rsidP="00AB484C">
      <w:pPr>
        <w:bidi w:val="0"/>
        <w:jc w:val="both"/>
        <w:rPr>
          <w:rFonts w:ascii="Times New Roman" w:hAnsi="Times New Roman"/>
        </w:rPr>
      </w:pPr>
    </w:p>
    <w:p w:rsidR="00E55D2A" w:rsidP="00E55D2A">
      <w:pPr>
        <w:bidi w:val="0"/>
        <w:jc w:val="both"/>
        <w:rPr>
          <w:rFonts w:ascii="Times New Roman" w:hAnsi="Times New Roman"/>
          <w:b/>
          <w:bCs/>
        </w:rPr>
      </w:pPr>
      <w:r w:rsidRPr="005D29DC">
        <w:rPr>
          <w:rFonts w:ascii="Times New Roman" w:hAnsi="Times New Roman"/>
          <w:b/>
          <w:bCs/>
        </w:rPr>
        <w:t>K bodu 1</w:t>
      </w:r>
      <w:r>
        <w:rPr>
          <w:rFonts w:ascii="Times New Roman" w:hAnsi="Times New Roman"/>
          <w:b/>
          <w:bCs/>
        </w:rPr>
        <w:t> </w:t>
      </w:r>
    </w:p>
    <w:p w:rsidR="00E55D2A" w:rsidP="00E55D2A">
      <w:pPr>
        <w:bidi w:val="0"/>
        <w:jc w:val="both"/>
        <w:rPr>
          <w:rFonts w:ascii="Times New Roman" w:hAnsi="Times New Roman"/>
        </w:rPr>
      </w:pPr>
    </w:p>
    <w:p w:rsidR="00E55D2A" w:rsidP="00E55D2A">
      <w:pPr>
        <w:bidi w:val="0"/>
        <w:ind w:firstLine="720"/>
        <w:jc w:val="both"/>
        <w:rPr>
          <w:rFonts w:ascii="Times New Roman" w:hAnsi="Times New Roman"/>
        </w:rPr>
      </w:pPr>
      <w:r w:rsidRPr="003648A9">
        <w:rPr>
          <w:rFonts w:ascii="Times New Roman" w:hAnsi="Times New Roman"/>
        </w:rPr>
        <w:t>Navrhovaným znením dochádza</w:t>
      </w:r>
      <w:r>
        <w:rPr>
          <w:rFonts w:ascii="Times New Roman" w:hAnsi="Times New Roman"/>
        </w:rPr>
        <w:t xml:space="preserve"> zjednoteniu používania pojmu </w:t>
      </w:r>
      <w:r w:rsidRPr="003648A9">
        <w:rPr>
          <w:rFonts w:ascii="Times New Roman" w:hAnsi="Times New Roman"/>
        </w:rPr>
        <w:t>v súvislosti s definíciou finančnej holdingovej spoločnosti v § 44 ods. 13 písm. a)</w:t>
      </w:r>
      <w:r>
        <w:rPr>
          <w:rFonts w:ascii="Times New Roman" w:hAnsi="Times New Roman"/>
        </w:rPr>
        <w:t xml:space="preserve"> zákona o bankách</w:t>
      </w:r>
      <w:r w:rsidRPr="003648A9">
        <w:rPr>
          <w:rFonts w:ascii="Times New Roman" w:hAnsi="Times New Roman"/>
        </w:rPr>
        <w:t>.</w:t>
      </w:r>
      <w:r>
        <w:rPr>
          <w:rFonts w:ascii="Times New Roman" w:hAnsi="Times New Roman"/>
        </w:rPr>
        <w:t xml:space="preserve"> </w:t>
      </w:r>
    </w:p>
    <w:p w:rsidR="00E55D2A" w:rsidP="00FA2DDC">
      <w:pPr>
        <w:bidi w:val="0"/>
        <w:jc w:val="both"/>
        <w:rPr>
          <w:rFonts w:ascii="Times New Roman" w:hAnsi="Times New Roman"/>
          <w:b/>
          <w:bCs/>
          <w:color w:val="000000"/>
        </w:rPr>
      </w:pPr>
    </w:p>
    <w:p w:rsidR="008B48F8" w:rsidP="00FA2DDC">
      <w:pPr>
        <w:bidi w:val="0"/>
        <w:jc w:val="both"/>
        <w:rPr>
          <w:rFonts w:ascii="Times New Roman" w:hAnsi="Times New Roman"/>
          <w:b/>
          <w:bCs/>
          <w:color w:val="000000"/>
        </w:rPr>
      </w:pPr>
      <w:r>
        <w:rPr>
          <w:rFonts w:ascii="Times New Roman" w:hAnsi="Times New Roman"/>
          <w:b/>
          <w:bCs/>
          <w:color w:val="000000"/>
        </w:rPr>
        <w:t>K bodu 2</w:t>
      </w:r>
    </w:p>
    <w:p w:rsidR="008B48F8" w:rsidP="00FA2DDC">
      <w:pPr>
        <w:bidi w:val="0"/>
        <w:jc w:val="both"/>
        <w:rPr>
          <w:rFonts w:ascii="Times New Roman" w:hAnsi="Times New Roman"/>
          <w:b/>
          <w:bCs/>
          <w:color w:val="000000"/>
        </w:rPr>
      </w:pPr>
    </w:p>
    <w:p w:rsidR="008B48F8" w:rsidRPr="005E5A17" w:rsidP="00FA2DDC">
      <w:pPr>
        <w:bidi w:val="0"/>
        <w:jc w:val="both"/>
        <w:rPr>
          <w:rFonts w:ascii="Times New Roman" w:hAnsi="Times New Roman"/>
          <w:bCs/>
          <w:color w:val="000000"/>
        </w:rPr>
      </w:pPr>
      <w:r>
        <w:rPr>
          <w:rFonts w:ascii="Times New Roman" w:hAnsi="Times New Roman"/>
          <w:b/>
          <w:bCs/>
          <w:color w:val="000000"/>
        </w:rPr>
        <w:tab/>
      </w:r>
      <w:r w:rsidRPr="005E5A17">
        <w:rPr>
          <w:rFonts w:ascii="Times New Roman" w:hAnsi="Times New Roman"/>
          <w:bCs/>
          <w:color w:val="000000"/>
        </w:rPr>
        <w:t>Legislatívno</w:t>
      </w:r>
      <w:r w:rsidR="005E5A17">
        <w:rPr>
          <w:rFonts w:ascii="Times New Roman" w:hAnsi="Times New Roman"/>
          <w:bCs/>
          <w:color w:val="000000"/>
        </w:rPr>
        <w:t>-</w:t>
      </w:r>
      <w:r w:rsidRPr="005E5A17">
        <w:rPr>
          <w:rFonts w:ascii="Times New Roman" w:hAnsi="Times New Roman"/>
          <w:bCs/>
          <w:color w:val="000000"/>
        </w:rPr>
        <w:t xml:space="preserve"> technická úprava súvisiaca s</w:t>
      </w:r>
      <w:r w:rsidR="008D458D">
        <w:rPr>
          <w:rFonts w:ascii="Times New Roman" w:hAnsi="Times New Roman"/>
          <w:bCs/>
          <w:color w:val="000000"/>
        </w:rPr>
        <w:t> </w:t>
      </w:r>
      <w:r w:rsidRPr="005E5A17">
        <w:rPr>
          <w:rFonts w:ascii="Times New Roman" w:hAnsi="Times New Roman"/>
          <w:bCs/>
          <w:color w:val="000000"/>
        </w:rPr>
        <w:t>bodom</w:t>
      </w:r>
      <w:r w:rsidR="008D458D">
        <w:rPr>
          <w:rFonts w:ascii="Times New Roman" w:hAnsi="Times New Roman"/>
          <w:bCs/>
          <w:color w:val="000000"/>
        </w:rPr>
        <w:t xml:space="preserve"> </w:t>
      </w:r>
      <w:r w:rsidRPr="005E5A17">
        <w:rPr>
          <w:rFonts w:ascii="Times New Roman" w:hAnsi="Times New Roman"/>
          <w:bCs/>
          <w:color w:val="000000"/>
        </w:rPr>
        <w:t>3</w:t>
      </w:r>
      <w:r w:rsidR="005E5A17">
        <w:rPr>
          <w:rFonts w:ascii="Times New Roman" w:hAnsi="Times New Roman"/>
          <w:bCs/>
          <w:color w:val="000000"/>
        </w:rPr>
        <w:t>.</w:t>
      </w:r>
    </w:p>
    <w:p w:rsidR="008B48F8" w:rsidP="00FA2DDC">
      <w:pPr>
        <w:bidi w:val="0"/>
        <w:jc w:val="both"/>
        <w:rPr>
          <w:rFonts w:ascii="Times New Roman" w:hAnsi="Times New Roman"/>
          <w:b/>
          <w:bCs/>
          <w:color w:val="000000"/>
        </w:rPr>
      </w:pPr>
    </w:p>
    <w:p w:rsidR="00B50612" w:rsidRPr="00285481" w:rsidP="00FA2DDC">
      <w:pPr>
        <w:bidi w:val="0"/>
        <w:jc w:val="both"/>
        <w:rPr>
          <w:rFonts w:ascii="Times New Roman" w:hAnsi="Times New Roman"/>
          <w:b/>
          <w:bCs/>
          <w:color w:val="000000"/>
        </w:rPr>
      </w:pPr>
      <w:r w:rsidRPr="00285481" w:rsidR="003507AB">
        <w:rPr>
          <w:rFonts w:ascii="Times New Roman" w:hAnsi="Times New Roman"/>
          <w:b/>
          <w:bCs/>
          <w:color w:val="000000"/>
        </w:rPr>
        <w:t xml:space="preserve">K bodu </w:t>
      </w:r>
      <w:r w:rsidR="005E5A17">
        <w:rPr>
          <w:rFonts w:ascii="Times New Roman" w:hAnsi="Times New Roman"/>
          <w:b/>
          <w:bCs/>
          <w:color w:val="000000"/>
        </w:rPr>
        <w:t>3</w:t>
      </w:r>
    </w:p>
    <w:p w:rsidR="00B50612" w:rsidRPr="003507AB" w:rsidP="00FA2DDC">
      <w:pPr>
        <w:bidi w:val="0"/>
        <w:jc w:val="both"/>
        <w:rPr>
          <w:rFonts w:ascii="Times New Roman" w:hAnsi="Times New Roman"/>
        </w:rPr>
      </w:pPr>
    </w:p>
    <w:p w:rsidR="007F7EE9" w:rsidRPr="00A97644" w:rsidP="007F7EE9">
      <w:pPr>
        <w:bidi w:val="0"/>
        <w:jc w:val="both"/>
        <w:rPr>
          <w:rFonts w:ascii="Times New Roman" w:hAnsi="Times New Roman"/>
        </w:rPr>
      </w:pPr>
      <w:r w:rsidRPr="003507AB" w:rsidR="00B50612">
        <w:rPr>
          <w:rFonts w:ascii="Times New Roman" w:hAnsi="Times New Roman"/>
        </w:rPr>
        <w:tab/>
      </w:r>
      <w:r w:rsidRPr="00A97644">
        <w:rPr>
          <w:rFonts w:ascii="Times New Roman" w:hAnsi="Times New Roman"/>
          <w:bCs/>
        </w:rPr>
        <w:t>Doplnenie poznámky pod čiaro</w:t>
      </w:r>
      <w:r>
        <w:rPr>
          <w:rFonts w:ascii="Times New Roman" w:hAnsi="Times New Roman"/>
          <w:bCs/>
        </w:rPr>
        <w:t>u</w:t>
      </w:r>
      <w:r w:rsidRPr="00A97644">
        <w:rPr>
          <w:rFonts w:ascii="Times New Roman" w:hAnsi="Times New Roman"/>
          <w:bCs/>
        </w:rPr>
        <w:t xml:space="preserve"> k odkazu 8 o ďalšie zákony a usmerneni</w:t>
      </w:r>
      <w:r>
        <w:rPr>
          <w:rFonts w:ascii="Times New Roman" w:hAnsi="Times New Roman"/>
          <w:bCs/>
        </w:rPr>
        <w:t>e</w:t>
      </w:r>
      <w:r w:rsidRPr="00A97644">
        <w:rPr>
          <w:rFonts w:ascii="Times New Roman" w:hAnsi="Times New Roman"/>
          <w:bCs/>
        </w:rPr>
        <w:t>.</w:t>
      </w:r>
    </w:p>
    <w:p w:rsidR="007F7EE9" w:rsidRPr="0084791A" w:rsidP="007F7EE9">
      <w:pPr>
        <w:bidi w:val="0"/>
        <w:jc w:val="both"/>
        <w:rPr>
          <w:rFonts w:ascii="Times New Roman" w:hAnsi="Times New Roman"/>
        </w:rPr>
      </w:pPr>
    </w:p>
    <w:p w:rsidR="00B50612" w:rsidP="0005330E">
      <w:pPr>
        <w:bidi w:val="0"/>
        <w:jc w:val="both"/>
        <w:rPr>
          <w:rFonts w:ascii="Times New Roman" w:hAnsi="Times New Roman"/>
          <w:b/>
          <w:bCs/>
        </w:rPr>
      </w:pPr>
      <w:r w:rsidRPr="00285481" w:rsidR="00372FAD">
        <w:rPr>
          <w:rFonts w:ascii="Times New Roman" w:hAnsi="Times New Roman"/>
          <w:b/>
          <w:bCs/>
        </w:rPr>
        <w:t>K</w:t>
      </w:r>
      <w:r w:rsidR="00372FAD">
        <w:rPr>
          <w:rFonts w:ascii="Times New Roman" w:hAnsi="Times New Roman"/>
          <w:b/>
          <w:bCs/>
        </w:rPr>
        <w:t> </w:t>
      </w:r>
      <w:r w:rsidRPr="00285481" w:rsidR="00372FAD">
        <w:rPr>
          <w:rFonts w:ascii="Times New Roman" w:hAnsi="Times New Roman"/>
          <w:b/>
          <w:bCs/>
        </w:rPr>
        <w:t>bodu</w:t>
      </w:r>
      <w:r w:rsidR="00372FAD">
        <w:rPr>
          <w:rFonts w:ascii="Times New Roman" w:hAnsi="Times New Roman"/>
          <w:b/>
          <w:bCs/>
        </w:rPr>
        <w:t xml:space="preserve"> </w:t>
      </w:r>
      <w:r w:rsidR="005E5A17">
        <w:rPr>
          <w:rFonts w:ascii="Times New Roman" w:hAnsi="Times New Roman"/>
          <w:b/>
          <w:bCs/>
        </w:rPr>
        <w:t>4</w:t>
      </w:r>
    </w:p>
    <w:p w:rsidR="007F7EE9" w:rsidP="007F7EE9">
      <w:pPr>
        <w:bidi w:val="0"/>
        <w:jc w:val="both"/>
        <w:rPr>
          <w:rFonts w:ascii="Times New Roman" w:hAnsi="Times New Roman"/>
        </w:rPr>
      </w:pPr>
    </w:p>
    <w:p w:rsidR="007F7EE9" w:rsidRPr="0005330E" w:rsidP="007F7EE9">
      <w:pPr>
        <w:bidi w:val="0"/>
        <w:ind w:firstLine="720"/>
        <w:jc w:val="both"/>
        <w:rPr>
          <w:rFonts w:ascii="Times New Roman" w:hAnsi="Times New Roman"/>
        </w:rPr>
      </w:pPr>
      <w:r w:rsidRPr="003507AB">
        <w:rPr>
          <w:rFonts w:ascii="Times New Roman" w:hAnsi="Times New Roman"/>
        </w:rPr>
        <w:t>Navrhovaným znením dochádza k</w:t>
      </w:r>
      <w:r>
        <w:rPr>
          <w:rFonts w:ascii="Times New Roman" w:hAnsi="Times New Roman"/>
        </w:rPr>
        <w:t xml:space="preserve"> dôslednej </w:t>
      </w:r>
      <w:r w:rsidRPr="003507AB">
        <w:rPr>
          <w:rFonts w:ascii="Times New Roman" w:hAnsi="Times New Roman"/>
        </w:rPr>
        <w:t>transpozícii článku</w:t>
      </w:r>
      <w:r>
        <w:rPr>
          <w:rFonts w:ascii="Times New Roman" w:hAnsi="Times New Roman"/>
        </w:rPr>
        <w:t xml:space="preserve"> 1 ods. </w:t>
      </w:r>
      <w:r w:rsidRPr="003507AB">
        <w:rPr>
          <w:rFonts w:ascii="Times New Roman" w:hAnsi="Times New Roman"/>
        </w:rPr>
        <w:t>3</w:t>
      </w:r>
      <w:r>
        <w:rPr>
          <w:rFonts w:ascii="Times New Roman" w:hAnsi="Times New Roman"/>
        </w:rPr>
        <w:t xml:space="preserve"> s</w:t>
      </w:r>
      <w:r w:rsidRPr="003507AB">
        <w:rPr>
          <w:rFonts w:ascii="Times New Roman" w:hAnsi="Times New Roman"/>
        </w:rPr>
        <w:t xml:space="preserve">mernice </w:t>
      </w:r>
      <w:r>
        <w:rPr>
          <w:rFonts w:ascii="Times New Roman" w:hAnsi="Times New Roman"/>
        </w:rPr>
        <w:t xml:space="preserve">Európskeho parlamentu a Rady </w:t>
      </w:r>
      <w:r w:rsidRPr="003507AB">
        <w:rPr>
          <w:rFonts w:ascii="Times New Roman" w:hAnsi="Times New Roman"/>
        </w:rPr>
        <w:t xml:space="preserve">2009/111/ES </w:t>
      </w:r>
      <w:r w:rsidRPr="00FA2DDC">
        <w:rPr>
          <w:rFonts w:ascii="Times New Roman" w:hAnsi="Times New Roman"/>
        </w:rPr>
        <w:t>zo 16. septembra 2009, ktorou sa menia a dopĺňajú smernice 2006/48/ES, 2006/49/ES a 2007/64/ES, pokiaľ ide o banky pridružené k ústredným inštitúciám, niektoré položky vlastných zdrojov, veľkú majetkovú angažovanosť, mechanizmy dohľadu a krízové riadenie</w:t>
      </w:r>
      <w:r>
        <w:rPr>
          <w:rFonts w:ascii="Times New Roman" w:hAnsi="Times New Roman"/>
        </w:rPr>
        <w:t xml:space="preserve"> (ďalej len „smernica 2009/111/ES“)</w:t>
      </w:r>
      <w:r w:rsidRPr="003507AB">
        <w:rPr>
          <w:rFonts w:ascii="Times New Roman" w:hAnsi="Times New Roman"/>
        </w:rPr>
        <w:t>, ktorým sa dop</w:t>
      </w:r>
      <w:r w:rsidR="0085335C">
        <w:rPr>
          <w:rFonts w:ascii="Times New Roman" w:hAnsi="Times New Roman"/>
        </w:rPr>
        <w:t>ĺňa</w:t>
      </w:r>
      <w:r w:rsidRPr="003507AB">
        <w:rPr>
          <w:rFonts w:ascii="Times New Roman" w:hAnsi="Times New Roman"/>
        </w:rPr>
        <w:t xml:space="preserve"> článok 40 odsek 3 smernice </w:t>
      </w:r>
      <w:r w:rsidRPr="00C15AB3">
        <w:rPr>
          <w:rFonts w:ascii="Times New Roman" w:hAnsi="Times New Roman"/>
        </w:rPr>
        <w:t xml:space="preserve">Európskeho parlamentu a Rady 2006/48/ES zo 14. júna 2006 o začatí a vykonávaní činností úverových inštitúcií </w:t>
      </w:r>
      <w:r>
        <w:rPr>
          <w:rFonts w:ascii="Times New Roman" w:hAnsi="Times New Roman"/>
        </w:rPr>
        <w:t xml:space="preserve">(ďalej len „smernica </w:t>
      </w:r>
      <w:r w:rsidRPr="003507AB">
        <w:rPr>
          <w:rFonts w:ascii="Times New Roman" w:hAnsi="Times New Roman"/>
        </w:rPr>
        <w:t>2006/48/ES</w:t>
      </w:r>
      <w:r>
        <w:rPr>
          <w:rFonts w:ascii="Times New Roman" w:hAnsi="Times New Roman"/>
        </w:rPr>
        <w:t>“)</w:t>
      </w:r>
      <w:r w:rsidRPr="003507AB">
        <w:rPr>
          <w:rFonts w:ascii="Times New Roman" w:hAnsi="Times New Roman"/>
        </w:rPr>
        <w:t xml:space="preserve">. Pre Národnú banku Slovenska sa </w:t>
      </w:r>
      <w:r w:rsidRPr="0005330E">
        <w:rPr>
          <w:rFonts w:ascii="Times New Roman" w:hAnsi="Times New Roman"/>
        </w:rPr>
        <w:t>dop</w:t>
      </w:r>
      <w:r w:rsidR="0085335C">
        <w:rPr>
          <w:rFonts w:ascii="Times New Roman" w:hAnsi="Times New Roman"/>
        </w:rPr>
        <w:t>ĺňa</w:t>
      </w:r>
      <w:r w:rsidRPr="0005330E">
        <w:rPr>
          <w:rFonts w:ascii="Times New Roman" w:hAnsi="Times New Roman"/>
        </w:rPr>
        <w:t xml:space="preserve"> povinnosť zohľadňovať možný vplyv jej rozhodnutí na stabilitu finančného systému v členských štátoch, najmä v </w:t>
      </w:r>
      <w:r>
        <w:rPr>
          <w:rFonts w:ascii="Times New Roman" w:hAnsi="Times New Roman"/>
        </w:rPr>
        <w:t>kritických</w:t>
      </w:r>
      <w:r w:rsidRPr="0005330E">
        <w:rPr>
          <w:rFonts w:ascii="Times New Roman" w:hAnsi="Times New Roman"/>
        </w:rPr>
        <w:t xml:space="preserve"> situáciách. Obdobné ustanovenie je už v súčasnosti obsiahnuté v § 2 ods. 3 zákona</w:t>
      </w:r>
      <w:r>
        <w:rPr>
          <w:rFonts w:ascii="Times New Roman" w:hAnsi="Times New Roman"/>
        </w:rPr>
        <w:t xml:space="preserve"> Národnej rady Slovenskej republiky č.</w:t>
      </w:r>
      <w:r w:rsidRPr="00C15AB3">
        <w:rPr>
          <w:rFonts w:ascii="Times New Roman" w:hAnsi="Times New Roman"/>
        </w:rPr>
        <w:t xml:space="preserve"> </w:t>
      </w:r>
      <w:r>
        <w:rPr>
          <w:rFonts w:ascii="Times New Roman" w:hAnsi="Times New Roman"/>
        </w:rPr>
        <w:t>566/1992 Zb. z. o Národnej banke Slovenska</w:t>
      </w:r>
      <w:r w:rsidRPr="0005330E">
        <w:rPr>
          <w:rFonts w:ascii="Times New Roman" w:hAnsi="Times New Roman"/>
        </w:rPr>
        <w:t xml:space="preserve"> („Národná banka Slovenska v oblasti finančného trhu prispieva k stabilite finančného systému ... pritom vykonáva dohľad nad finančným trhom...“).</w:t>
      </w:r>
    </w:p>
    <w:p w:rsidR="007F7EE9" w:rsidP="007F7EE9">
      <w:pPr>
        <w:bidi w:val="0"/>
        <w:jc w:val="both"/>
        <w:rPr>
          <w:rFonts w:ascii="Times New Roman" w:hAnsi="Times New Roman"/>
        </w:rPr>
      </w:pPr>
      <w:r w:rsidRPr="0005330E">
        <w:rPr>
          <w:rFonts w:ascii="Times New Roman" w:hAnsi="Times New Roman"/>
        </w:rPr>
        <w:tab/>
        <w:t>Pojem „stabilit</w:t>
      </w:r>
      <w:r>
        <w:rPr>
          <w:rFonts w:ascii="Times New Roman" w:hAnsi="Times New Roman"/>
        </w:rPr>
        <w:t>a</w:t>
      </w:r>
      <w:r w:rsidRPr="0005330E">
        <w:rPr>
          <w:rFonts w:ascii="Times New Roman" w:hAnsi="Times New Roman"/>
        </w:rPr>
        <w:t xml:space="preserve"> finančného systému“ je už použitý v § 48 ods. 1 zákona </w:t>
      </w:r>
      <w:r>
        <w:rPr>
          <w:rFonts w:ascii="Times New Roman" w:hAnsi="Times New Roman"/>
        </w:rPr>
        <w:t xml:space="preserve">483/2001 Z. z. </w:t>
      </w:r>
      <w:r w:rsidRPr="00C15AB3">
        <w:rPr>
          <w:rFonts w:ascii="Times New Roman" w:hAnsi="Times New Roman"/>
        </w:rPr>
        <w:t>o bankách a o zmene a doplnení niektorých zákonov</w:t>
      </w:r>
      <w:r>
        <w:rPr>
          <w:rFonts w:ascii="Times New Roman" w:hAnsi="Times New Roman"/>
        </w:rPr>
        <w:t xml:space="preserve"> v znení neskorších predpisov (ďalej len „zákon o bankách“). </w:t>
      </w:r>
      <w:r w:rsidRPr="0005330E">
        <w:rPr>
          <w:rFonts w:ascii="Times New Roman" w:hAnsi="Times New Roman"/>
        </w:rPr>
        <w:t>Pojem „kritick</w:t>
      </w:r>
      <w:r>
        <w:rPr>
          <w:rFonts w:ascii="Times New Roman" w:hAnsi="Times New Roman"/>
        </w:rPr>
        <w:t>á</w:t>
      </w:r>
      <w:r w:rsidRPr="0005330E">
        <w:rPr>
          <w:rFonts w:ascii="Times New Roman" w:hAnsi="Times New Roman"/>
        </w:rPr>
        <w:t xml:space="preserve"> situáci</w:t>
      </w:r>
      <w:r>
        <w:rPr>
          <w:rFonts w:ascii="Times New Roman" w:hAnsi="Times New Roman"/>
        </w:rPr>
        <w:t>a</w:t>
      </w:r>
      <w:r w:rsidRPr="0005330E">
        <w:rPr>
          <w:rFonts w:ascii="Times New Roman" w:hAnsi="Times New Roman"/>
        </w:rPr>
        <w:t xml:space="preserve">“ v zmysle § 48 ods. 8 písm. c) zákona o bankách, v zmysle tohto </w:t>
      </w:r>
      <w:r w:rsidRPr="00CA0F0A">
        <w:rPr>
          <w:rFonts w:ascii="Times New Roman" w:hAnsi="Times New Roman"/>
        </w:rPr>
        <w:t>ustanovenia nie je definovaná a bude upravená opatrením Národnej banky Slovenska.</w:t>
      </w:r>
    </w:p>
    <w:p w:rsidR="00372FAD" w:rsidP="0005330E">
      <w:pPr>
        <w:bidi w:val="0"/>
        <w:jc w:val="both"/>
        <w:rPr>
          <w:rFonts w:ascii="Times New Roman" w:hAnsi="Times New Roman"/>
          <w:b/>
          <w:bCs/>
        </w:rPr>
      </w:pPr>
    </w:p>
    <w:p w:rsidR="00372FAD" w:rsidRPr="0084791A" w:rsidP="0005330E">
      <w:pPr>
        <w:bidi w:val="0"/>
        <w:jc w:val="both"/>
        <w:rPr>
          <w:rFonts w:ascii="Times New Roman" w:hAnsi="Times New Roman"/>
        </w:rPr>
      </w:pPr>
      <w:r>
        <w:rPr>
          <w:rFonts w:ascii="Times New Roman" w:hAnsi="Times New Roman"/>
          <w:b/>
          <w:bCs/>
        </w:rPr>
        <w:tab/>
      </w:r>
    </w:p>
    <w:p w:rsidR="00F13C92" w:rsidRPr="00285481" w:rsidP="00FA2DDC">
      <w:pPr>
        <w:bidi w:val="0"/>
        <w:jc w:val="both"/>
        <w:rPr>
          <w:rFonts w:ascii="Times New Roman" w:hAnsi="Times New Roman"/>
          <w:b/>
          <w:bCs/>
        </w:rPr>
      </w:pPr>
      <w:r w:rsidRPr="00285481" w:rsidR="0084791A">
        <w:rPr>
          <w:rFonts w:ascii="Times New Roman" w:hAnsi="Times New Roman"/>
          <w:b/>
          <w:bCs/>
        </w:rPr>
        <w:t xml:space="preserve">K bodu </w:t>
      </w:r>
      <w:r w:rsidR="005E5A17">
        <w:rPr>
          <w:rFonts w:ascii="Times New Roman" w:hAnsi="Times New Roman"/>
          <w:b/>
          <w:bCs/>
        </w:rPr>
        <w:t>5</w:t>
      </w:r>
    </w:p>
    <w:p w:rsidR="00F13C92" w:rsidRPr="0084791A" w:rsidP="00FA2DDC">
      <w:pPr>
        <w:bidi w:val="0"/>
        <w:jc w:val="both"/>
        <w:rPr>
          <w:rFonts w:ascii="Times New Roman" w:hAnsi="Times New Roman"/>
        </w:rPr>
      </w:pPr>
    </w:p>
    <w:p w:rsidR="00D30449" w:rsidRPr="0084791A" w:rsidP="00FA2DDC">
      <w:pPr>
        <w:pStyle w:val="Default"/>
        <w:bidi w:val="0"/>
        <w:jc w:val="both"/>
        <w:rPr>
          <w:rFonts w:ascii="Times New Roman" w:hAnsi="Times New Roman" w:cs="Times New Roman"/>
          <w:color w:val="auto"/>
        </w:rPr>
      </w:pPr>
      <w:r w:rsidRPr="0084791A" w:rsidR="00F13C92">
        <w:rPr>
          <w:rFonts w:ascii="Times New Roman" w:hAnsi="Times New Roman" w:cs="Times New Roman"/>
          <w:color w:val="auto"/>
        </w:rPr>
        <w:tab/>
        <w:t>Navrhovaným znením dochádza k transpozícii </w:t>
      </w:r>
      <w:r w:rsidR="007449BF">
        <w:rPr>
          <w:rFonts w:ascii="Times New Roman" w:hAnsi="Times New Roman" w:cs="Times New Roman"/>
          <w:color w:val="auto"/>
        </w:rPr>
        <w:t>s</w:t>
      </w:r>
      <w:r w:rsidRPr="0084791A" w:rsidR="00F13C92">
        <w:rPr>
          <w:rFonts w:ascii="Times New Roman" w:hAnsi="Times New Roman" w:cs="Times New Roman"/>
          <w:color w:val="auto"/>
        </w:rPr>
        <w:t xml:space="preserve">mernice 2009/111/ES článku </w:t>
      </w:r>
      <w:r w:rsidR="00580BCE">
        <w:rPr>
          <w:rFonts w:ascii="Times New Roman" w:hAnsi="Times New Roman" w:cs="Times New Roman"/>
          <w:color w:val="auto"/>
        </w:rPr>
        <w:t xml:space="preserve">1 ods. </w:t>
      </w:r>
      <w:r w:rsidRPr="0084791A" w:rsidR="00F13C92">
        <w:rPr>
          <w:rFonts w:ascii="Times New Roman" w:hAnsi="Times New Roman" w:cs="Times New Roman"/>
          <w:color w:val="auto"/>
        </w:rPr>
        <w:t>4, ktorým sa doplňujú články 42a a 42b</w:t>
      </w:r>
      <w:r w:rsidRPr="0084791A" w:rsidR="00D7158E">
        <w:rPr>
          <w:rFonts w:ascii="Times New Roman" w:hAnsi="Times New Roman" w:cs="Times New Roman"/>
          <w:color w:val="auto"/>
        </w:rPr>
        <w:t xml:space="preserve"> smernice 2006/48/ES</w:t>
      </w:r>
      <w:r w:rsidRPr="0084791A" w:rsidR="00F13C92">
        <w:rPr>
          <w:rFonts w:ascii="Times New Roman" w:hAnsi="Times New Roman" w:cs="Times New Roman"/>
          <w:color w:val="auto"/>
        </w:rPr>
        <w:t>.</w:t>
      </w:r>
      <w:r w:rsidRPr="0084791A">
        <w:rPr>
          <w:rFonts w:ascii="Times New Roman" w:hAnsi="Times New Roman" w:cs="Times New Roman"/>
          <w:color w:val="auto"/>
        </w:rPr>
        <w:t xml:space="preserve"> Nedostatočná výmena informácií medzi orgánom </w:t>
      </w:r>
      <w:r w:rsidR="00A67C4B">
        <w:rPr>
          <w:rFonts w:ascii="Times New Roman" w:hAnsi="Times New Roman" w:cs="Times New Roman"/>
          <w:color w:val="auto"/>
        </w:rPr>
        <w:t xml:space="preserve">dohľadu v inom členskom štáte </w:t>
      </w:r>
      <w:r w:rsidRPr="0084791A">
        <w:rPr>
          <w:rFonts w:ascii="Times New Roman" w:hAnsi="Times New Roman" w:cs="Times New Roman"/>
          <w:color w:val="auto"/>
        </w:rPr>
        <w:t>a</w:t>
      </w:r>
      <w:r w:rsidR="00A67C4B">
        <w:rPr>
          <w:rFonts w:ascii="Times New Roman" w:hAnsi="Times New Roman" w:cs="Times New Roman"/>
          <w:color w:val="auto"/>
        </w:rPr>
        <w:t xml:space="preserve"> Národnou bankou Slovenska </w:t>
      </w:r>
      <w:r w:rsidRPr="0084791A">
        <w:rPr>
          <w:rFonts w:ascii="Times New Roman" w:hAnsi="Times New Roman" w:cs="Times New Roman"/>
          <w:color w:val="auto"/>
        </w:rPr>
        <w:t xml:space="preserve">sa môže prejaviť ako škodlivá pre finančnú stabilitu v </w:t>
      </w:r>
      <w:r w:rsidR="00A67C4B">
        <w:rPr>
          <w:rFonts w:ascii="Times New Roman" w:hAnsi="Times New Roman" w:cs="Times New Roman"/>
          <w:color w:val="auto"/>
        </w:rPr>
        <w:t xml:space="preserve"> iných </w:t>
      </w:r>
      <w:r w:rsidRPr="0084791A">
        <w:rPr>
          <w:rFonts w:ascii="Times New Roman" w:hAnsi="Times New Roman" w:cs="Times New Roman"/>
          <w:color w:val="auto"/>
        </w:rPr>
        <w:t xml:space="preserve">členských štátoch. Právo na informácie </w:t>
      </w:r>
      <w:r w:rsidR="00A67C4B">
        <w:rPr>
          <w:rFonts w:ascii="Times New Roman" w:hAnsi="Times New Roman" w:cs="Times New Roman"/>
          <w:color w:val="auto"/>
        </w:rPr>
        <w:t>Národnej banky Slovenska</w:t>
      </w:r>
      <w:r w:rsidRPr="0084791A">
        <w:rPr>
          <w:rFonts w:ascii="Times New Roman" w:hAnsi="Times New Roman" w:cs="Times New Roman"/>
          <w:color w:val="auto"/>
        </w:rPr>
        <w:t>, najmä pri kríze pobočiek</w:t>
      </w:r>
      <w:r w:rsidR="00A67C4B">
        <w:rPr>
          <w:rFonts w:ascii="Times New Roman" w:hAnsi="Times New Roman" w:cs="Times New Roman"/>
          <w:color w:val="auto"/>
        </w:rPr>
        <w:t xml:space="preserve"> </w:t>
      </w:r>
      <w:r w:rsidR="006845D1">
        <w:rPr>
          <w:rFonts w:ascii="Times New Roman" w:hAnsi="Times New Roman" w:cs="Times New Roman"/>
          <w:color w:val="auto"/>
        </w:rPr>
        <w:t xml:space="preserve">zahraničných úverových inštitúcií </w:t>
      </w:r>
      <w:r w:rsidR="00A67C4B">
        <w:rPr>
          <w:rFonts w:ascii="Times New Roman" w:hAnsi="Times New Roman" w:cs="Times New Roman"/>
          <w:color w:val="auto"/>
        </w:rPr>
        <w:t>určených ako dôležitých</w:t>
      </w:r>
      <w:r w:rsidRPr="0084791A">
        <w:rPr>
          <w:rFonts w:ascii="Times New Roman" w:hAnsi="Times New Roman" w:cs="Times New Roman"/>
          <w:color w:val="auto"/>
        </w:rPr>
        <w:t xml:space="preserve">, je preto potrebné posilniť. Na tento účel sa </w:t>
      </w:r>
      <w:r w:rsidRPr="00CA0F0A">
        <w:rPr>
          <w:rFonts w:ascii="Times New Roman" w:hAnsi="Times New Roman" w:cs="Times New Roman"/>
          <w:color w:val="auto"/>
        </w:rPr>
        <w:t>v</w:t>
      </w:r>
      <w:r w:rsidRPr="00CA0F0A" w:rsidR="0084791A">
        <w:rPr>
          <w:rFonts w:ascii="Times New Roman" w:hAnsi="Times New Roman" w:cs="Times New Roman"/>
          <w:color w:val="auto"/>
        </w:rPr>
        <w:t>ymedz</w:t>
      </w:r>
      <w:r w:rsidRPr="00CA0F0A" w:rsidR="00CA0F0A">
        <w:rPr>
          <w:rFonts w:ascii="Times New Roman" w:hAnsi="Times New Roman" w:cs="Times New Roman"/>
          <w:color w:val="auto"/>
        </w:rPr>
        <w:t>uje</w:t>
      </w:r>
      <w:r w:rsidRPr="00CA0F0A" w:rsidR="0084791A">
        <w:rPr>
          <w:rFonts w:ascii="Times New Roman" w:hAnsi="Times New Roman" w:cs="Times New Roman"/>
          <w:color w:val="auto"/>
        </w:rPr>
        <w:t xml:space="preserve"> </w:t>
      </w:r>
      <w:r w:rsidRPr="00CA0F0A" w:rsidR="00CA0F0A">
        <w:rPr>
          <w:rFonts w:ascii="Times New Roman" w:hAnsi="Times New Roman" w:cs="Times New Roman"/>
          <w:color w:val="auto"/>
        </w:rPr>
        <w:t xml:space="preserve">postup na </w:t>
      </w:r>
      <w:r w:rsidRPr="00CA0F0A" w:rsidR="00BD6E01">
        <w:rPr>
          <w:rFonts w:ascii="Times New Roman" w:hAnsi="Times New Roman" w:cs="Times New Roman"/>
          <w:color w:val="auto"/>
        </w:rPr>
        <w:t>určenie</w:t>
      </w:r>
      <w:r w:rsidRPr="00CA0F0A" w:rsidR="0084791A">
        <w:rPr>
          <w:rFonts w:ascii="Times New Roman" w:hAnsi="Times New Roman" w:cs="Times New Roman"/>
          <w:color w:val="auto"/>
        </w:rPr>
        <w:t xml:space="preserve"> </w:t>
      </w:r>
      <w:r w:rsidRPr="00CA0F0A" w:rsidR="00D7158E">
        <w:rPr>
          <w:rFonts w:ascii="Times New Roman" w:hAnsi="Times New Roman" w:cs="Times New Roman"/>
          <w:color w:val="auto"/>
        </w:rPr>
        <w:t>pobočky</w:t>
      </w:r>
      <w:r w:rsidR="006845D1">
        <w:rPr>
          <w:rFonts w:ascii="Times New Roman" w:hAnsi="Times New Roman" w:cs="Times New Roman"/>
          <w:color w:val="auto"/>
        </w:rPr>
        <w:t xml:space="preserve"> zahraničnej úverovej inštitúcie</w:t>
      </w:r>
      <w:r w:rsidR="00A67C4B">
        <w:rPr>
          <w:rFonts w:ascii="Times New Roman" w:hAnsi="Times New Roman" w:cs="Times New Roman"/>
          <w:color w:val="auto"/>
        </w:rPr>
        <w:t xml:space="preserve"> ako dôležit</w:t>
      </w:r>
      <w:r w:rsidR="006845D1">
        <w:rPr>
          <w:rFonts w:ascii="Times New Roman" w:hAnsi="Times New Roman" w:cs="Times New Roman"/>
          <w:color w:val="auto"/>
        </w:rPr>
        <w:t>ej</w:t>
      </w:r>
      <w:r w:rsidRPr="0084791A" w:rsidR="00D7158E">
        <w:rPr>
          <w:rFonts w:ascii="Times New Roman" w:hAnsi="Times New Roman" w:cs="Times New Roman"/>
          <w:color w:val="auto"/>
        </w:rPr>
        <w:t>.</w:t>
      </w:r>
    </w:p>
    <w:p w:rsidR="00F13C92" w:rsidRPr="002C3D18" w:rsidP="002C3D18">
      <w:pPr>
        <w:bidi w:val="0"/>
        <w:jc w:val="both"/>
        <w:rPr>
          <w:rFonts w:ascii="Times New Roman" w:hAnsi="Times New Roman"/>
        </w:rPr>
      </w:pPr>
    </w:p>
    <w:p w:rsidR="00B50612" w:rsidP="002C3D18">
      <w:pPr>
        <w:bidi w:val="0"/>
        <w:jc w:val="both"/>
        <w:rPr>
          <w:rFonts w:ascii="Times New Roman" w:hAnsi="Times New Roman"/>
          <w:b/>
          <w:bCs/>
        </w:rPr>
      </w:pPr>
      <w:r w:rsidRPr="00285481">
        <w:rPr>
          <w:rFonts w:ascii="Times New Roman" w:hAnsi="Times New Roman"/>
          <w:b/>
          <w:bCs/>
        </w:rPr>
        <w:t>K</w:t>
      </w:r>
      <w:r w:rsidRPr="00285481" w:rsidR="002C3D18">
        <w:rPr>
          <w:rFonts w:ascii="Times New Roman" w:hAnsi="Times New Roman"/>
          <w:b/>
          <w:bCs/>
        </w:rPr>
        <w:t> </w:t>
      </w:r>
      <w:r w:rsidRPr="00285481">
        <w:rPr>
          <w:rFonts w:ascii="Times New Roman" w:hAnsi="Times New Roman"/>
          <w:b/>
          <w:bCs/>
        </w:rPr>
        <w:t>bod</w:t>
      </w:r>
      <w:r w:rsidRPr="00285481" w:rsidR="00F13C92">
        <w:rPr>
          <w:rFonts w:ascii="Times New Roman" w:hAnsi="Times New Roman"/>
          <w:b/>
          <w:bCs/>
        </w:rPr>
        <w:t>u</w:t>
      </w:r>
      <w:r w:rsidRPr="00285481" w:rsidR="002C3D18">
        <w:rPr>
          <w:rFonts w:ascii="Times New Roman" w:hAnsi="Times New Roman"/>
          <w:b/>
          <w:bCs/>
        </w:rPr>
        <w:t xml:space="preserve"> </w:t>
      </w:r>
      <w:r w:rsidR="003E081A">
        <w:rPr>
          <w:rFonts w:ascii="Times New Roman" w:hAnsi="Times New Roman"/>
          <w:b/>
          <w:bCs/>
        </w:rPr>
        <w:t>6</w:t>
      </w:r>
    </w:p>
    <w:p w:rsidR="00A67C4B" w:rsidP="002C3D18">
      <w:pPr>
        <w:bidi w:val="0"/>
        <w:jc w:val="both"/>
        <w:rPr>
          <w:rFonts w:ascii="Times New Roman" w:hAnsi="Times New Roman"/>
          <w:b/>
          <w:bCs/>
        </w:rPr>
      </w:pPr>
    </w:p>
    <w:p w:rsidR="006845D1" w:rsidP="000C3685">
      <w:pPr>
        <w:bidi w:val="0"/>
        <w:ind w:firstLine="720"/>
        <w:jc w:val="both"/>
        <w:rPr>
          <w:rFonts w:ascii="Times New Roman" w:hAnsi="Times New Roman" w:cs="Calibri"/>
        </w:rPr>
      </w:pPr>
      <w:r w:rsidRPr="00A67C4B" w:rsidR="00A67C4B">
        <w:rPr>
          <w:rFonts w:ascii="Times New Roman" w:hAnsi="Times New Roman" w:cs="Calibri"/>
        </w:rPr>
        <w:t xml:space="preserve">Z pôvodného znenia tohto ustanovenia sa vypúšťa slovo „právnická“, pretože pôvodná formulácia („právnická osoba“) vyraďovala fyzické osoby z okruhu osôb vykonávajúcich nepriamy podiel, hoci by sa ani fyzickej osobe nemalo brániť nadobudnúť takúto formu podielu. Navrhovaná úprava je v súlade s analogickou úpravou v </w:t>
      </w:r>
      <w:r w:rsidR="000C3685">
        <w:rPr>
          <w:rFonts w:ascii="Times New Roman" w:hAnsi="Times New Roman" w:cs="Calibri"/>
        </w:rPr>
        <w:t>z</w:t>
      </w:r>
      <w:r w:rsidRPr="00A67C4B" w:rsidR="00A67C4B">
        <w:rPr>
          <w:rFonts w:ascii="Times New Roman" w:hAnsi="Times New Roman" w:cs="Calibri"/>
        </w:rPr>
        <w:t xml:space="preserve">ákone </w:t>
      </w:r>
      <w:r w:rsidRPr="000C3685" w:rsidR="000C3685">
        <w:rPr>
          <w:rFonts w:ascii="Times New Roman" w:hAnsi="Times New Roman" w:cs="Calibri"/>
        </w:rPr>
        <w:t>č.</w:t>
      </w:r>
      <w:r w:rsidR="000C3685">
        <w:rPr>
          <w:rFonts w:ascii="Times New Roman" w:hAnsi="Times New Roman" w:cs="Calibri"/>
        </w:rPr>
        <w:t xml:space="preserve"> </w:t>
      </w:r>
      <w:r w:rsidRPr="000C3685" w:rsidR="000C3685">
        <w:rPr>
          <w:rFonts w:ascii="Times New Roman" w:hAnsi="Times New Roman" w:cs="Calibri"/>
        </w:rPr>
        <w:t>8/2008 Z. z. o poisťovníctve a o zmene a doplnení niektorých zákonov</w:t>
      </w:r>
      <w:r w:rsidR="000C3685">
        <w:rPr>
          <w:rFonts w:ascii="Times New Roman" w:hAnsi="Times New Roman" w:cs="Calibri"/>
        </w:rPr>
        <w:t xml:space="preserve"> v znení neskorších predpisov</w:t>
      </w:r>
      <w:r w:rsidRPr="00A67C4B" w:rsidR="00A67C4B">
        <w:rPr>
          <w:rFonts w:ascii="Times New Roman" w:hAnsi="Times New Roman" w:cs="Calibri"/>
        </w:rPr>
        <w:t xml:space="preserve"> </w:t>
      </w:r>
      <w:r w:rsidR="0085335C">
        <w:rPr>
          <w:rFonts w:ascii="Times New Roman" w:hAnsi="Times New Roman" w:cs="Calibri"/>
        </w:rPr>
        <w:t>/</w:t>
      </w:r>
      <w:r w:rsidRPr="00A67C4B" w:rsidR="00A67C4B">
        <w:rPr>
          <w:rFonts w:ascii="Times New Roman" w:hAnsi="Times New Roman" w:cs="Calibri"/>
        </w:rPr>
        <w:t>§ 3 písm. e</w:t>
      </w:r>
      <w:r w:rsidR="00AC678F">
        <w:rPr>
          <w:rFonts w:ascii="Times New Roman" w:hAnsi="Times New Roman" w:cs="Calibri"/>
        </w:rPr>
        <w:t>)</w:t>
      </w:r>
      <w:r w:rsidR="0085335C">
        <w:rPr>
          <w:rFonts w:ascii="Times New Roman" w:hAnsi="Times New Roman" w:cs="Calibri"/>
        </w:rPr>
        <w:t>/</w:t>
      </w:r>
      <w:r w:rsidRPr="00A67C4B" w:rsidR="00A67C4B">
        <w:rPr>
          <w:rFonts w:ascii="Times New Roman" w:hAnsi="Times New Roman" w:cs="Calibri"/>
        </w:rPr>
        <w:t>.</w:t>
      </w:r>
    </w:p>
    <w:p w:rsidR="00A67C4B" w:rsidRPr="00A67C4B" w:rsidP="00A67C4B">
      <w:pPr>
        <w:bidi w:val="0"/>
        <w:ind w:firstLine="720"/>
        <w:jc w:val="both"/>
        <w:rPr>
          <w:rFonts w:ascii="Times New Roman" w:hAnsi="Times New Roman"/>
          <w:b/>
          <w:bCs/>
        </w:rPr>
      </w:pPr>
    </w:p>
    <w:p w:rsidR="00DC2D6A" w:rsidRPr="00285481" w:rsidP="00FA2DDC">
      <w:pPr>
        <w:bidi w:val="0"/>
        <w:jc w:val="both"/>
        <w:rPr>
          <w:rFonts w:ascii="Times New Roman" w:hAnsi="Times New Roman"/>
          <w:b/>
          <w:bCs/>
        </w:rPr>
      </w:pPr>
      <w:r w:rsidRPr="00285481" w:rsidR="00252B1F">
        <w:rPr>
          <w:rFonts w:ascii="Times New Roman" w:hAnsi="Times New Roman"/>
          <w:b/>
          <w:bCs/>
        </w:rPr>
        <w:t>K bodu</w:t>
      </w:r>
      <w:r w:rsidRPr="00285481" w:rsidR="00E14174">
        <w:rPr>
          <w:rFonts w:ascii="Times New Roman" w:hAnsi="Times New Roman"/>
          <w:b/>
          <w:bCs/>
        </w:rPr>
        <w:t xml:space="preserve"> </w:t>
      </w:r>
      <w:r w:rsidR="003E081A">
        <w:rPr>
          <w:rFonts w:ascii="Times New Roman" w:hAnsi="Times New Roman"/>
          <w:b/>
          <w:bCs/>
        </w:rPr>
        <w:t>7</w:t>
      </w:r>
    </w:p>
    <w:p w:rsidR="00DC2D6A" w:rsidRPr="00E14174" w:rsidP="00FA2DDC">
      <w:pPr>
        <w:bidi w:val="0"/>
        <w:jc w:val="both"/>
        <w:rPr>
          <w:rFonts w:ascii="Times New Roman" w:hAnsi="Times New Roman"/>
        </w:rPr>
      </w:pPr>
    </w:p>
    <w:p w:rsidR="00DC2D6A" w:rsidP="00FA2DDC">
      <w:pPr>
        <w:bidi w:val="0"/>
        <w:jc w:val="both"/>
        <w:rPr>
          <w:rFonts w:ascii="Times New Roman" w:hAnsi="Times New Roman"/>
        </w:rPr>
      </w:pPr>
      <w:r w:rsidRPr="00E14174" w:rsidR="00252B1F">
        <w:rPr>
          <w:rFonts w:ascii="Times New Roman" w:hAnsi="Times New Roman"/>
        </w:rPr>
        <w:tab/>
      </w:r>
      <w:r w:rsidRPr="00E14174">
        <w:rPr>
          <w:rFonts w:ascii="Times New Roman" w:hAnsi="Times New Roman"/>
        </w:rPr>
        <w:t>Navrhovaným znením dochádza k oprave technicko-legislatívnej chyby, ktorá vznikla pri p</w:t>
      </w:r>
      <w:r w:rsidRPr="00E14174" w:rsidR="00252B1F">
        <w:rPr>
          <w:rFonts w:ascii="Times New Roman" w:hAnsi="Times New Roman"/>
        </w:rPr>
        <w:t>redchádzajúcej novele zákona</w:t>
      </w:r>
      <w:r w:rsidR="00580BCE">
        <w:rPr>
          <w:rFonts w:ascii="Times New Roman" w:hAnsi="Times New Roman"/>
        </w:rPr>
        <w:t xml:space="preserve"> o</w:t>
      </w:r>
      <w:r w:rsidR="003E081A">
        <w:rPr>
          <w:rFonts w:ascii="Times New Roman" w:hAnsi="Times New Roman"/>
        </w:rPr>
        <w:t> </w:t>
      </w:r>
      <w:r w:rsidR="00580BCE">
        <w:rPr>
          <w:rFonts w:ascii="Times New Roman" w:hAnsi="Times New Roman"/>
        </w:rPr>
        <w:t>bankách</w:t>
      </w:r>
      <w:r w:rsidR="003E081A">
        <w:rPr>
          <w:rFonts w:ascii="Times New Roman" w:hAnsi="Times New Roman"/>
        </w:rPr>
        <w:t>. P</w:t>
      </w:r>
      <w:r w:rsidR="00E14174">
        <w:rPr>
          <w:rFonts w:ascii="Times New Roman" w:hAnsi="Times New Roman"/>
        </w:rPr>
        <w:t>rijatím zákona č. 492/2009 Z. z.</w:t>
      </w:r>
      <w:r w:rsidR="00BD6E01">
        <w:rPr>
          <w:rFonts w:ascii="Times New Roman" w:hAnsi="Times New Roman"/>
        </w:rPr>
        <w:t xml:space="preserve"> o platobných službách a o zmene a doplnení niektorých zákonov</w:t>
      </w:r>
      <w:r w:rsidR="00E14174">
        <w:rPr>
          <w:rFonts w:ascii="Times New Roman" w:hAnsi="Times New Roman"/>
        </w:rPr>
        <w:t xml:space="preserve"> bolo nutné vypustiť jedno z písmen v § 2 ods. 2 zákona o bankách. Posun ostatných písmen tohto ustanovenia </w:t>
      </w:r>
      <w:r w:rsidR="00F77FF0">
        <w:rPr>
          <w:rFonts w:ascii="Times New Roman" w:hAnsi="Times New Roman"/>
        </w:rPr>
        <w:t xml:space="preserve">však neúmyselne </w:t>
      </w:r>
      <w:r w:rsidR="00E14174">
        <w:rPr>
          <w:rFonts w:ascii="Times New Roman" w:hAnsi="Times New Roman"/>
        </w:rPr>
        <w:t>nebol zohľadnený v § 11 zákona o bankách, ktorým sa upravuje osobitne činnosť zahraničných bánk na území Slovenskej republiky, ak im bolo vydané povolenie na bankovú činnosť v inom členskom štáte. Súčasťou notifikácie ohľadne využívania „jednotného európskeho povolenia“ je vždy uvedenie povoleného rozsahu činností domovským orgánom dohľadu; notifikovaných činností sa ale netýkajú také činnosti úverovej inštitúcie, ktoré presahujú rámec činností vymenovaných v prílohe I smernice 2006/48/ES o ich vzájomnom uznávaní.</w:t>
      </w:r>
    </w:p>
    <w:p w:rsidR="00E14174" w:rsidRPr="00F77FF0" w:rsidP="00FA2DDC">
      <w:pPr>
        <w:bidi w:val="0"/>
        <w:jc w:val="both"/>
        <w:rPr>
          <w:rFonts w:ascii="Times New Roman" w:hAnsi="Times New Roman"/>
        </w:rPr>
      </w:pPr>
      <w:r>
        <w:rPr>
          <w:rFonts w:ascii="Times New Roman" w:hAnsi="Times New Roman"/>
        </w:rPr>
        <w:tab/>
        <w:t xml:space="preserve">§ 2 ods. 2 zákona o bankách tradične obsahuje aj také činnosti, ktoré sa nemajú stať predmetom vzájomného uznávania medzi členskými štátmi a orgánmi dohľadu členských štátov. V našom prípade </w:t>
      </w:r>
      <w:r w:rsidR="00F77FF0">
        <w:rPr>
          <w:rFonts w:ascii="Times New Roman" w:hAnsi="Times New Roman"/>
        </w:rPr>
        <w:t xml:space="preserve">ide </w:t>
      </w:r>
      <w:r>
        <w:rPr>
          <w:rFonts w:ascii="Times New Roman" w:hAnsi="Times New Roman"/>
        </w:rPr>
        <w:t>o vykonávanie osobitných hypotekárnych obchodov a</w:t>
      </w:r>
      <w:r w:rsidR="00F77FF0">
        <w:rPr>
          <w:rFonts w:ascii="Times New Roman" w:hAnsi="Times New Roman"/>
        </w:rPr>
        <w:t xml:space="preserve"> vykonávanie funkcie </w:t>
      </w:r>
      <w:r w:rsidRPr="00F77FF0" w:rsidR="00F77FF0">
        <w:rPr>
          <w:rFonts w:ascii="Times New Roman" w:hAnsi="Times New Roman"/>
        </w:rPr>
        <w:t>depozitára podielových fondov v kolektívnom investovaní. Na tieto činnosti je potrebné pobočke zahraničnej banky (hoci so sídlom v inom členskom štáte) najskôr vydať povolenie Národnej banky Slovenska.</w:t>
      </w:r>
    </w:p>
    <w:p w:rsidR="00252B1F" w:rsidRPr="00F77FF0" w:rsidP="00FA2DDC">
      <w:pPr>
        <w:bidi w:val="0"/>
        <w:jc w:val="both"/>
        <w:rPr>
          <w:rFonts w:ascii="Times New Roman" w:hAnsi="Times New Roman"/>
        </w:rPr>
      </w:pPr>
    </w:p>
    <w:p w:rsidR="00DC2D6A" w:rsidRPr="00285481" w:rsidP="00FA2DDC">
      <w:pPr>
        <w:bidi w:val="0"/>
        <w:jc w:val="both"/>
        <w:rPr>
          <w:rFonts w:ascii="Times New Roman" w:hAnsi="Times New Roman"/>
          <w:b/>
          <w:bCs/>
        </w:rPr>
      </w:pPr>
      <w:r w:rsidRPr="00285481" w:rsidR="00252B1F">
        <w:rPr>
          <w:rFonts w:ascii="Times New Roman" w:hAnsi="Times New Roman"/>
          <w:b/>
          <w:bCs/>
        </w:rPr>
        <w:t xml:space="preserve">K bodu </w:t>
      </w:r>
      <w:r w:rsidR="003E081A">
        <w:rPr>
          <w:rFonts w:ascii="Times New Roman" w:hAnsi="Times New Roman"/>
          <w:b/>
          <w:bCs/>
        </w:rPr>
        <w:t>8</w:t>
      </w:r>
    </w:p>
    <w:p w:rsidR="00252B1F" w:rsidRPr="00F77FF0" w:rsidP="00170F8F">
      <w:pPr>
        <w:bidi w:val="0"/>
        <w:jc w:val="both"/>
        <w:rPr>
          <w:rFonts w:ascii="Times New Roman" w:hAnsi="Times New Roman"/>
        </w:rPr>
      </w:pPr>
    </w:p>
    <w:p w:rsidR="00DC2D6A" w:rsidP="00170F8F">
      <w:pPr>
        <w:pStyle w:val="Default"/>
        <w:bidi w:val="0"/>
        <w:jc w:val="both"/>
        <w:rPr>
          <w:color w:val="auto"/>
        </w:rPr>
      </w:pPr>
      <w:r w:rsidRPr="00F77FF0" w:rsidR="00252B1F">
        <w:rPr>
          <w:color w:val="auto"/>
        </w:rPr>
        <w:tab/>
      </w:r>
      <w:r w:rsidRPr="00F77FF0" w:rsidR="00170F8F">
        <w:rPr>
          <w:color w:val="auto"/>
        </w:rPr>
        <w:t>Najmä nutnosť u</w:t>
      </w:r>
      <w:r w:rsidRPr="00F77FF0">
        <w:rPr>
          <w:color w:val="auto"/>
        </w:rPr>
        <w:t>stanoveni</w:t>
      </w:r>
      <w:r w:rsidRPr="00F77FF0" w:rsidR="00170F8F">
        <w:rPr>
          <w:color w:val="auto"/>
        </w:rPr>
        <w:t>a</w:t>
      </w:r>
      <w:r w:rsidRPr="00F77FF0">
        <w:rPr>
          <w:color w:val="auto"/>
        </w:rPr>
        <w:t xml:space="preserve"> </w:t>
      </w:r>
      <w:r w:rsidRPr="00F77FF0" w:rsidR="00170F8F">
        <w:rPr>
          <w:color w:val="auto"/>
        </w:rPr>
        <w:t xml:space="preserve">podrobností o organizačnej štruktúre a systéme riadenia banky a </w:t>
      </w:r>
      <w:r w:rsidRPr="00F77FF0">
        <w:rPr>
          <w:color w:val="auto"/>
        </w:rPr>
        <w:t>podrobností o systéme vnútornej kontroly banky</w:t>
      </w:r>
      <w:r w:rsidRPr="00F77FF0" w:rsidR="00170F8F">
        <w:rPr>
          <w:color w:val="auto"/>
        </w:rPr>
        <w:t xml:space="preserve"> </w:t>
      </w:r>
      <w:r w:rsidRPr="00F77FF0" w:rsidR="00252B1F">
        <w:rPr>
          <w:color w:val="auto"/>
        </w:rPr>
        <w:t xml:space="preserve">opatrením </w:t>
      </w:r>
      <w:r w:rsidRPr="00F77FF0">
        <w:rPr>
          <w:color w:val="auto"/>
        </w:rPr>
        <w:t>Národn</w:t>
      </w:r>
      <w:r w:rsidRPr="00F77FF0" w:rsidR="00252B1F">
        <w:rPr>
          <w:color w:val="auto"/>
        </w:rPr>
        <w:t>ej</w:t>
      </w:r>
      <w:r w:rsidRPr="00F77FF0">
        <w:rPr>
          <w:color w:val="auto"/>
        </w:rPr>
        <w:t xml:space="preserve"> bank</w:t>
      </w:r>
      <w:r w:rsidRPr="00F77FF0" w:rsidR="00252B1F">
        <w:rPr>
          <w:color w:val="auto"/>
        </w:rPr>
        <w:t>y</w:t>
      </w:r>
      <w:r w:rsidRPr="00F77FF0">
        <w:rPr>
          <w:color w:val="auto"/>
        </w:rPr>
        <w:t xml:space="preserve"> Slovenska </w:t>
      </w:r>
      <w:r w:rsidRPr="00F77FF0" w:rsidR="00170F8F">
        <w:rPr>
          <w:color w:val="auto"/>
        </w:rPr>
        <w:t>stratila časom svoje opodstatnenie. Prax pri vykonávaní dohľadu nad bankami a pobočkami zahraničných bánk</w:t>
      </w:r>
      <w:r w:rsidRPr="00F77FF0" w:rsidR="00637230">
        <w:rPr>
          <w:color w:val="auto"/>
        </w:rPr>
        <w:t xml:space="preserve"> to nevyžaduje, a to aj vzhľadom na pomerne podrobnú úpravu v samotnom zákone</w:t>
      </w:r>
      <w:r w:rsidR="000C3685">
        <w:rPr>
          <w:color w:val="auto"/>
        </w:rPr>
        <w:t xml:space="preserve"> o bankách</w:t>
      </w:r>
      <w:r w:rsidRPr="00F77FF0" w:rsidR="00637230">
        <w:rPr>
          <w:color w:val="auto"/>
        </w:rPr>
        <w:t xml:space="preserve">. </w:t>
      </w:r>
      <w:r w:rsidRPr="00F77FF0" w:rsidR="00170F8F">
        <w:rPr>
          <w:color w:val="auto"/>
        </w:rPr>
        <w:t xml:space="preserve">Preto </w:t>
      </w:r>
      <w:r w:rsidRPr="00F77FF0" w:rsidR="00637230">
        <w:rPr>
          <w:color w:val="auto"/>
        </w:rPr>
        <w:t xml:space="preserve">sa </w:t>
      </w:r>
      <w:r w:rsidRPr="00F77FF0" w:rsidR="00170F8F">
        <w:rPr>
          <w:color w:val="auto"/>
        </w:rPr>
        <w:t xml:space="preserve">príslušné splnomocňovacie ustanovenie </w:t>
      </w:r>
      <w:r w:rsidRPr="00F77FF0">
        <w:rPr>
          <w:color w:val="auto"/>
        </w:rPr>
        <w:t>mení z obligatórneho na fakultatívne.</w:t>
      </w:r>
    </w:p>
    <w:p w:rsidR="007E2A82" w:rsidP="00170F8F">
      <w:pPr>
        <w:pStyle w:val="Default"/>
        <w:bidi w:val="0"/>
        <w:jc w:val="both"/>
        <w:rPr>
          <w:color w:val="auto"/>
        </w:rPr>
      </w:pPr>
    </w:p>
    <w:p w:rsidR="00E1535B" w:rsidP="00170F8F">
      <w:pPr>
        <w:pStyle w:val="Default"/>
        <w:bidi w:val="0"/>
        <w:jc w:val="both"/>
        <w:rPr>
          <w:b/>
          <w:bCs/>
        </w:rPr>
      </w:pPr>
    </w:p>
    <w:p w:rsidR="00E1535B" w:rsidP="00E1535B">
      <w:pPr>
        <w:pStyle w:val="Default"/>
        <w:bidi w:val="0"/>
        <w:jc w:val="both"/>
        <w:rPr>
          <w:b/>
          <w:bCs/>
        </w:rPr>
      </w:pPr>
      <w:r w:rsidRPr="00285481">
        <w:rPr>
          <w:b/>
          <w:bCs/>
        </w:rPr>
        <w:t>K</w:t>
      </w:r>
      <w:r>
        <w:rPr>
          <w:b/>
          <w:bCs/>
        </w:rPr>
        <w:t> </w:t>
      </w:r>
      <w:r w:rsidRPr="00285481">
        <w:rPr>
          <w:b/>
          <w:bCs/>
        </w:rPr>
        <w:t>bodu</w:t>
      </w:r>
      <w:r>
        <w:rPr>
          <w:b/>
          <w:bCs/>
        </w:rPr>
        <w:t xml:space="preserve"> </w:t>
      </w:r>
      <w:r w:rsidR="003E081A">
        <w:rPr>
          <w:b/>
          <w:bCs/>
        </w:rPr>
        <w:t>9</w:t>
      </w:r>
    </w:p>
    <w:p w:rsidR="00E1535B" w:rsidP="00170F8F">
      <w:pPr>
        <w:pStyle w:val="Default"/>
        <w:bidi w:val="0"/>
        <w:jc w:val="both"/>
        <w:rPr>
          <w:b/>
          <w:bCs/>
        </w:rPr>
      </w:pPr>
    </w:p>
    <w:p w:rsidR="00E1535B" w:rsidRPr="00E1535B" w:rsidP="00E1535B">
      <w:pPr>
        <w:pStyle w:val="Title"/>
        <w:bidi w:val="0"/>
        <w:jc w:val="both"/>
        <w:rPr>
          <w:rFonts w:ascii="Times New Roman" w:hAnsi="Times New Roman"/>
          <w:b w:val="0"/>
          <w:sz w:val="24"/>
          <w:szCs w:val="24"/>
        </w:rPr>
      </w:pPr>
      <w:r>
        <w:rPr>
          <w:rFonts w:ascii="Times New Roman" w:hAnsi="Times New Roman"/>
          <w:b w:val="0"/>
          <w:bCs w:val="0"/>
        </w:rPr>
        <w:tab/>
      </w:r>
      <w:r w:rsidRPr="00E1535B">
        <w:rPr>
          <w:rFonts w:ascii="Times New Roman" w:hAnsi="Times New Roman"/>
          <w:b w:val="0"/>
          <w:sz w:val="24"/>
          <w:szCs w:val="24"/>
        </w:rPr>
        <w:t>Ide o dôslednú implementáciu čl. 123 a čl. 124 smernice 2006/48/ES z hľadiska možnosti ukladania opatrení na nápravu za nedostatočné krytie rizík banky vlastnými zdrojmi (tzv. druhý pilier Novej bazile</w:t>
      </w:r>
      <w:r>
        <w:rPr>
          <w:rFonts w:ascii="Times New Roman" w:hAnsi="Times New Roman"/>
          <w:b w:val="0"/>
          <w:sz w:val="24"/>
          <w:szCs w:val="24"/>
        </w:rPr>
        <w:t>j</w:t>
      </w:r>
      <w:r w:rsidRPr="00E1535B">
        <w:rPr>
          <w:rFonts w:ascii="Times New Roman" w:hAnsi="Times New Roman"/>
          <w:b w:val="0"/>
          <w:sz w:val="24"/>
          <w:szCs w:val="24"/>
        </w:rPr>
        <w:t>skej dohody o kapitáli). Článok 124 smernice vysvetľuje, ako má členský štát zabezpečiť právomoc orgánu dohľadu vymáhať dostatočné krytie rizík banky. Článok 123 smernice vysvetľuje, ako uložiť povinnosť banky alokovať svoje vlastné zdroje na všetky identifikované riziká, a to systémom hodnotenia primeranosti vnútorného kapitálu.</w:t>
      </w:r>
    </w:p>
    <w:p w:rsidR="00E1535B" w:rsidRPr="00E1535B" w:rsidP="00E1535B">
      <w:pPr>
        <w:pStyle w:val="Title"/>
        <w:bidi w:val="0"/>
        <w:jc w:val="both"/>
        <w:rPr>
          <w:rFonts w:ascii="Times New Roman" w:hAnsi="Times New Roman"/>
          <w:b w:val="0"/>
          <w:sz w:val="24"/>
          <w:szCs w:val="24"/>
        </w:rPr>
      </w:pPr>
      <w:r w:rsidRPr="00E1535B">
        <w:rPr>
          <w:rFonts w:ascii="Times New Roman" w:hAnsi="Times New Roman"/>
          <w:b w:val="0"/>
          <w:sz w:val="24"/>
          <w:szCs w:val="24"/>
        </w:rPr>
        <w:tab/>
        <w:t>Jestvujúce znenie zákona o bankách ukladá takúto povinnosť v § 27 ods. 3 a jej neplnenie sa dá sankcionovať napríklad podľa § 50 ods. 1 písm. m) zákona o bankách. Metodika na používanie systému hodnotenia primeranosti vnútorného kapitálu a interpretácia § 27 ods. 3 zákona o bankách je dnes upravená metodickým usmernením Útvaru dohľadu nad finančným trhom Národnej banky Slovenska č. 1/2007 a nemá teda povahu právneho predpisu.</w:t>
      </w:r>
    </w:p>
    <w:p w:rsidR="00E1535B" w:rsidRPr="00E1535B" w:rsidP="00E1535B">
      <w:pPr>
        <w:pStyle w:val="Title"/>
        <w:bidi w:val="0"/>
        <w:jc w:val="both"/>
        <w:rPr>
          <w:rFonts w:ascii="Times New Roman" w:hAnsi="Times New Roman"/>
          <w:b w:val="0"/>
          <w:sz w:val="24"/>
          <w:szCs w:val="24"/>
        </w:rPr>
      </w:pPr>
      <w:r w:rsidRPr="00E1535B">
        <w:rPr>
          <w:rFonts w:ascii="Times New Roman" w:hAnsi="Times New Roman"/>
          <w:b w:val="0"/>
          <w:sz w:val="24"/>
          <w:szCs w:val="24"/>
        </w:rPr>
        <w:tab/>
        <w:t>Prax pri dohľade nad bankami ukazuje, že účinnejším nástrojom pri vyžadovaní plnenia § 27 ods. 3 zákona o bankách by bol vykonávací predpis Národnej banky Slovenska, na ktorého vydanie sa navrhuje príslušné splnomocňovacie ustanovenie. Vecným podkladom pre takýto vykonávací predpis by bol obsah uvedeného metodického usmernenia.</w:t>
      </w:r>
    </w:p>
    <w:p w:rsidR="00E1535B" w:rsidRPr="00842353" w:rsidP="00E1535B">
      <w:pPr>
        <w:pStyle w:val="Title"/>
        <w:bidi w:val="0"/>
        <w:jc w:val="both"/>
        <w:rPr>
          <w:rFonts w:ascii="Times New Roman" w:hAnsi="Times New Roman"/>
          <w:b w:val="0"/>
        </w:rPr>
      </w:pPr>
    </w:p>
    <w:p w:rsidR="003E081A" w:rsidP="00170F8F">
      <w:pPr>
        <w:pStyle w:val="Default"/>
        <w:bidi w:val="0"/>
        <w:jc w:val="both"/>
        <w:rPr>
          <w:b/>
          <w:bCs/>
        </w:rPr>
      </w:pPr>
    </w:p>
    <w:p w:rsidR="003E081A" w:rsidP="00170F8F">
      <w:pPr>
        <w:pStyle w:val="Default"/>
        <w:bidi w:val="0"/>
        <w:jc w:val="both"/>
        <w:rPr>
          <w:b/>
          <w:bCs/>
        </w:rPr>
      </w:pPr>
    </w:p>
    <w:p w:rsidR="003E081A" w:rsidP="00170F8F">
      <w:pPr>
        <w:pStyle w:val="Default"/>
        <w:bidi w:val="0"/>
        <w:jc w:val="both"/>
        <w:rPr>
          <w:b/>
          <w:bCs/>
        </w:rPr>
      </w:pPr>
    </w:p>
    <w:p w:rsidR="007E2A82" w:rsidP="00170F8F">
      <w:pPr>
        <w:pStyle w:val="Default"/>
        <w:bidi w:val="0"/>
        <w:jc w:val="both"/>
        <w:rPr>
          <w:b/>
          <w:bCs/>
        </w:rPr>
      </w:pPr>
      <w:r w:rsidRPr="00285481">
        <w:rPr>
          <w:b/>
          <w:bCs/>
        </w:rPr>
        <w:t>K</w:t>
      </w:r>
      <w:r>
        <w:rPr>
          <w:b/>
          <w:bCs/>
        </w:rPr>
        <w:t> </w:t>
      </w:r>
      <w:r w:rsidRPr="00285481">
        <w:rPr>
          <w:b/>
          <w:bCs/>
        </w:rPr>
        <w:t>bodu</w:t>
      </w:r>
      <w:r>
        <w:rPr>
          <w:b/>
          <w:bCs/>
        </w:rPr>
        <w:t xml:space="preserve"> </w:t>
      </w:r>
      <w:r w:rsidR="003E081A">
        <w:rPr>
          <w:b/>
          <w:bCs/>
        </w:rPr>
        <w:t>10</w:t>
      </w:r>
    </w:p>
    <w:p w:rsidR="003E081A" w:rsidP="007E2A82">
      <w:pPr>
        <w:pStyle w:val="Default"/>
        <w:bidi w:val="0"/>
        <w:ind w:firstLine="720"/>
        <w:jc w:val="both"/>
      </w:pPr>
    </w:p>
    <w:p w:rsidR="004F1991" w:rsidP="007E2A82">
      <w:pPr>
        <w:pStyle w:val="Default"/>
        <w:bidi w:val="0"/>
        <w:ind w:firstLine="720"/>
        <w:jc w:val="both"/>
        <w:rPr>
          <w:rFonts w:ascii="Times New Roman" w:hAnsi="Times New Roman" w:cs="Calibri"/>
          <w:color w:val="auto"/>
          <w:lang w:eastAsia="en-US"/>
        </w:rPr>
      </w:pPr>
      <w:r w:rsidRPr="00F77FF0" w:rsidR="00270CE7">
        <w:t>Navrhovaným znením dochádza k oprave technicko-legislatívnej chyby</w:t>
      </w:r>
      <w:r w:rsidR="00270CE7">
        <w:rPr>
          <w:rFonts w:cs="Calibri"/>
        </w:rPr>
        <w:t xml:space="preserve"> </w:t>
      </w:r>
      <w:r w:rsidRPr="007E2A82" w:rsidR="007E2A82">
        <w:rPr>
          <w:rFonts w:cs="Calibri"/>
        </w:rPr>
        <w:t>§ 28 ods. 1 písm. b) zákona</w:t>
      </w:r>
      <w:r w:rsidR="00270CE7">
        <w:rPr>
          <w:rFonts w:cs="Calibri"/>
        </w:rPr>
        <w:t xml:space="preserve"> o bankách</w:t>
      </w:r>
      <w:r w:rsidRPr="007E2A82" w:rsidR="007E2A82">
        <w:rPr>
          <w:rFonts w:cs="Calibri"/>
        </w:rPr>
        <w:t xml:space="preserve">. Podľa ustanovenia § 28 ods. 1 písm. b) sa žiada o predchádzajúci súhlas na zlúčenie, splynutie alebo rozdelenie banky, vrátane zlúčenia inej právnickej osoby s bankou. Z konštrukcie tohto ustanovenia nevyplýva, že by bolo možné aj splynutie inej právnickej osoby s bankou. Zákon o bankách v tomto ustanovení výslovne uvádza len zlúčenie inej právnickej osoby s bankou. V zmysle § 28 ods. 6 zákona o bankách sa však žiadosť podáva už aj na splynutie inej právnickej osoby s bankou. </w:t>
      </w:r>
    </w:p>
    <w:p w:rsidR="004F1991" w:rsidRPr="007E2A82" w:rsidP="007E2A82">
      <w:pPr>
        <w:pStyle w:val="Default"/>
        <w:bidi w:val="0"/>
        <w:ind w:firstLine="720"/>
        <w:jc w:val="both"/>
        <w:rPr>
          <w:color w:val="auto"/>
        </w:rPr>
      </w:pPr>
    </w:p>
    <w:p w:rsidR="00600714" w:rsidRPr="00285481" w:rsidP="00FA2DDC">
      <w:pPr>
        <w:autoSpaceDE w:val="0"/>
        <w:autoSpaceDN w:val="0"/>
        <w:bidi w:val="0"/>
        <w:adjustRightInd w:val="0"/>
        <w:jc w:val="both"/>
        <w:rPr>
          <w:rFonts w:ascii="Times New Roman" w:hAnsi="Times New Roman"/>
          <w:b/>
          <w:bCs/>
        </w:rPr>
      </w:pPr>
      <w:r w:rsidRPr="00285481" w:rsidR="00807D7D">
        <w:rPr>
          <w:rFonts w:ascii="Times New Roman" w:hAnsi="Times New Roman"/>
          <w:b/>
          <w:bCs/>
        </w:rPr>
        <w:t xml:space="preserve">K bodu </w:t>
      </w:r>
      <w:r w:rsidR="007E2A82">
        <w:rPr>
          <w:rFonts w:ascii="Times New Roman" w:hAnsi="Times New Roman"/>
          <w:b/>
          <w:bCs/>
        </w:rPr>
        <w:t>1</w:t>
      </w:r>
      <w:r w:rsidR="00E1535B">
        <w:rPr>
          <w:rFonts w:ascii="Times New Roman" w:hAnsi="Times New Roman"/>
          <w:b/>
          <w:bCs/>
        </w:rPr>
        <w:t>1</w:t>
      </w:r>
    </w:p>
    <w:p w:rsidR="00600714" w:rsidRPr="009B6CD8" w:rsidP="00FA2DDC">
      <w:pPr>
        <w:autoSpaceDE w:val="0"/>
        <w:autoSpaceDN w:val="0"/>
        <w:bidi w:val="0"/>
        <w:adjustRightInd w:val="0"/>
        <w:jc w:val="both"/>
        <w:rPr>
          <w:rFonts w:ascii="Times New Roman" w:hAnsi="Times New Roman"/>
        </w:rPr>
      </w:pPr>
    </w:p>
    <w:p w:rsidR="00CA5A82" w:rsidP="00FA2DDC">
      <w:pPr>
        <w:pStyle w:val="Default"/>
        <w:bidi w:val="0"/>
        <w:jc w:val="both"/>
        <w:rPr>
          <w:rFonts w:ascii="Times New Roman" w:hAnsi="Times New Roman" w:cs="Times New Roman"/>
          <w:color w:val="auto"/>
        </w:rPr>
      </w:pPr>
      <w:r w:rsidRPr="009B6CD8" w:rsidR="00600714">
        <w:rPr>
          <w:rFonts w:ascii="Times New Roman" w:hAnsi="Times New Roman" w:cs="Times New Roman"/>
          <w:color w:val="auto"/>
        </w:rPr>
        <w:tab/>
        <w:t xml:space="preserve">Navrhovaným znením dochádza k transpozícii </w:t>
      </w:r>
      <w:r w:rsidR="007449BF">
        <w:rPr>
          <w:rFonts w:ascii="Times New Roman" w:hAnsi="Times New Roman" w:cs="Times New Roman"/>
          <w:color w:val="auto"/>
        </w:rPr>
        <w:t>s</w:t>
      </w:r>
      <w:r w:rsidRPr="009B6CD8" w:rsidR="00C43054">
        <w:rPr>
          <w:rFonts w:ascii="Times New Roman" w:hAnsi="Times New Roman" w:cs="Times New Roman"/>
          <w:color w:val="auto"/>
        </w:rPr>
        <w:t xml:space="preserve">mernice 2009/111/ES </w:t>
      </w:r>
      <w:r w:rsidR="00580BCE">
        <w:rPr>
          <w:rFonts w:ascii="Times New Roman" w:hAnsi="Times New Roman" w:cs="Times New Roman"/>
          <w:color w:val="auto"/>
        </w:rPr>
        <w:t xml:space="preserve">článku 1 ods. </w:t>
      </w:r>
      <w:r w:rsidRPr="009B6CD8" w:rsidR="00C43054">
        <w:rPr>
          <w:rFonts w:ascii="Times New Roman" w:hAnsi="Times New Roman" w:cs="Times New Roman"/>
          <w:color w:val="auto"/>
        </w:rPr>
        <w:t>15, ktorým sa mení článok 81 odsek 2</w:t>
      </w:r>
      <w:r w:rsidRPr="009B6CD8" w:rsidR="00807D7D">
        <w:rPr>
          <w:rFonts w:ascii="Times New Roman" w:hAnsi="Times New Roman" w:cs="Times New Roman"/>
          <w:color w:val="auto"/>
        </w:rPr>
        <w:t xml:space="preserve"> smernice 2006/48/ES</w:t>
      </w:r>
      <w:r w:rsidRPr="009B6CD8" w:rsidR="00C43054">
        <w:rPr>
          <w:rFonts w:ascii="Times New Roman" w:hAnsi="Times New Roman" w:cs="Times New Roman"/>
          <w:color w:val="auto"/>
        </w:rPr>
        <w:t>.</w:t>
      </w:r>
      <w:r w:rsidRPr="009B6CD8" w:rsidR="00A83763">
        <w:rPr>
          <w:rFonts w:ascii="Times New Roman" w:hAnsi="Times New Roman" w:cs="Times New Roman"/>
          <w:color w:val="auto"/>
        </w:rPr>
        <w:t xml:space="preserve"> Ustanovenie </w:t>
      </w:r>
      <w:r w:rsidRPr="009B6CD8" w:rsidR="00534D18">
        <w:rPr>
          <w:rFonts w:ascii="Times New Roman" w:hAnsi="Times New Roman" w:cs="Times New Roman"/>
          <w:color w:val="auto"/>
        </w:rPr>
        <w:t xml:space="preserve">týkajúce sa použitia ratingu ratingovej agentúry na určenie rizikovej váhy expozície v rámci štandardizovaného prístupu, </w:t>
      </w:r>
      <w:r w:rsidRPr="009B6CD8" w:rsidR="00A83763">
        <w:rPr>
          <w:rFonts w:ascii="Times New Roman" w:hAnsi="Times New Roman" w:cs="Times New Roman"/>
          <w:color w:val="auto"/>
        </w:rPr>
        <w:t>je potrebné dať do súladu s nariadením Európskeho parlamentu a Rady (ES) č. 1060/2009 zo 16. septembra 2009 o</w:t>
      </w:r>
      <w:r w:rsidRPr="009B6CD8" w:rsidR="00807D7D">
        <w:rPr>
          <w:rFonts w:ascii="Times New Roman" w:hAnsi="Times New Roman" w:cs="Times New Roman"/>
          <w:color w:val="auto"/>
        </w:rPr>
        <w:t> </w:t>
      </w:r>
      <w:r w:rsidRPr="009B6CD8" w:rsidR="00A83763">
        <w:rPr>
          <w:rFonts w:ascii="Times New Roman" w:hAnsi="Times New Roman" w:cs="Times New Roman"/>
          <w:color w:val="auto"/>
        </w:rPr>
        <w:t>ratingových</w:t>
      </w:r>
      <w:r w:rsidRPr="009B6CD8" w:rsidR="00807D7D">
        <w:rPr>
          <w:rFonts w:ascii="Times New Roman" w:hAnsi="Times New Roman" w:cs="Times New Roman"/>
          <w:color w:val="auto"/>
        </w:rPr>
        <w:t xml:space="preserve"> </w:t>
      </w:r>
      <w:r w:rsidRPr="009B6CD8" w:rsidR="00A83763">
        <w:rPr>
          <w:rFonts w:ascii="Times New Roman" w:hAnsi="Times New Roman" w:cs="Times New Roman"/>
          <w:color w:val="auto"/>
        </w:rPr>
        <w:t>agentúrach</w:t>
      </w:r>
      <w:r w:rsidR="007E2A82">
        <w:rPr>
          <w:rFonts w:ascii="Times New Roman" w:hAnsi="Times New Roman" w:cs="Times New Roman"/>
          <w:color w:val="auto"/>
        </w:rPr>
        <w:t xml:space="preserve"> </w:t>
      </w:r>
      <w:r w:rsidRPr="00B462AC" w:rsidR="007E2A82">
        <w:t>(Ú. v. EÚ L. 302, 17. 11. 2009)</w:t>
      </w:r>
      <w:r w:rsidRPr="009B6CD8" w:rsidR="00A83763">
        <w:rPr>
          <w:rFonts w:ascii="Times New Roman" w:hAnsi="Times New Roman" w:cs="Times New Roman"/>
          <w:color w:val="auto"/>
        </w:rPr>
        <w:t>.</w:t>
      </w:r>
    </w:p>
    <w:p w:rsidR="00822636" w:rsidRPr="009B6CD8" w:rsidP="00FA2DDC">
      <w:pPr>
        <w:pStyle w:val="Default"/>
        <w:bidi w:val="0"/>
        <w:jc w:val="both"/>
        <w:rPr>
          <w:rFonts w:ascii="Times New Roman" w:hAnsi="Times New Roman" w:cs="Times New Roman"/>
          <w:color w:val="auto"/>
        </w:rPr>
      </w:pPr>
    </w:p>
    <w:p w:rsidR="00B50612" w:rsidRPr="00285481" w:rsidP="00FA2DDC">
      <w:pPr>
        <w:bidi w:val="0"/>
        <w:jc w:val="both"/>
        <w:rPr>
          <w:rFonts w:ascii="Times New Roman" w:hAnsi="Times New Roman"/>
          <w:b/>
          <w:bCs/>
        </w:rPr>
      </w:pPr>
      <w:r w:rsidRPr="00285481">
        <w:rPr>
          <w:rFonts w:ascii="Times New Roman" w:hAnsi="Times New Roman"/>
          <w:b/>
          <w:bCs/>
        </w:rPr>
        <w:t xml:space="preserve">K bodu </w:t>
      </w:r>
      <w:r w:rsidR="00AD7E41">
        <w:rPr>
          <w:rFonts w:ascii="Times New Roman" w:hAnsi="Times New Roman"/>
          <w:b/>
          <w:bCs/>
        </w:rPr>
        <w:t>1</w:t>
      </w:r>
      <w:r w:rsidR="00E1535B">
        <w:rPr>
          <w:rFonts w:ascii="Times New Roman" w:hAnsi="Times New Roman"/>
          <w:b/>
          <w:bCs/>
        </w:rPr>
        <w:t>2</w:t>
      </w:r>
    </w:p>
    <w:p w:rsidR="00B50612" w:rsidRPr="009B6CD8" w:rsidP="00FA2DDC">
      <w:pPr>
        <w:bidi w:val="0"/>
        <w:jc w:val="both"/>
        <w:rPr>
          <w:rFonts w:ascii="Times New Roman" w:hAnsi="Times New Roman"/>
        </w:rPr>
      </w:pPr>
    </w:p>
    <w:p w:rsidR="00600714" w:rsidRPr="009B6CD8" w:rsidP="00FA2DDC">
      <w:pPr>
        <w:bidi w:val="0"/>
        <w:jc w:val="both"/>
        <w:rPr>
          <w:rFonts w:ascii="Times New Roman" w:hAnsi="Times New Roman"/>
        </w:rPr>
      </w:pPr>
      <w:r w:rsidRPr="009B6CD8" w:rsidR="00B50612">
        <w:rPr>
          <w:rFonts w:ascii="Times New Roman" w:hAnsi="Times New Roman"/>
        </w:rPr>
        <w:tab/>
      </w:r>
      <w:r w:rsidRPr="009B6CD8" w:rsidR="00C43054">
        <w:rPr>
          <w:rFonts w:ascii="Times New Roman" w:hAnsi="Times New Roman"/>
        </w:rPr>
        <w:t xml:space="preserve">Navrhovaným znením dochádza k transpozícii </w:t>
      </w:r>
      <w:r w:rsidR="007449BF">
        <w:rPr>
          <w:rFonts w:ascii="Times New Roman" w:hAnsi="Times New Roman"/>
        </w:rPr>
        <w:t>s</w:t>
      </w:r>
      <w:r w:rsidRPr="009B6CD8" w:rsidR="00C43054">
        <w:rPr>
          <w:rFonts w:ascii="Times New Roman" w:hAnsi="Times New Roman"/>
        </w:rPr>
        <w:t xml:space="preserve">mernice 2009/111/ES </w:t>
      </w:r>
      <w:r w:rsidR="00580BCE">
        <w:rPr>
          <w:rFonts w:ascii="Times New Roman" w:hAnsi="Times New Roman"/>
        </w:rPr>
        <w:t xml:space="preserve">článku 1 ods. </w:t>
      </w:r>
      <w:r w:rsidRPr="009B6CD8" w:rsidR="00C43054">
        <w:rPr>
          <w:rFonts w:ascii="Times New Roman" w:hAnsi="Times New Roman"/>
        </w:rPr>
        <w:t>17, ktorým sa mení článok 89 ods. 1 písm. d)</w:t>
      </w:r>
      <w:r w:rsidRPr="009B6CD8" w:rsidR="00CE409A">
        <w:rPr>
          <w:rFonts w:ascii="Times New Roman" w:hAnsi="Times New Roman"/>
        </w:rPr>
        <w:t xml:space="preserve"> smernice 2006/48/ES</w:t>
      </w:r>
      <w:r w:rsidRPr="009B6CD8" w:rsidR="00C43054">
        <w:rPr>
          <w:rFonts w:ascii="Times New Roman" w:hAnsi="Times New Roman"/>
        </w:rPr>
        <w:t>.</w:t>
      </w:r>
      <w:r w:rsidRPr="009B6CD8" w:rsidR="00A83763">
        <w:rPr>
          <w:rFonts w:ascii="Times New Roman" w:hAnsi="Times New Roman"/>
        </w:rPr>
        <w:t xml:space="preserve"> </w:t>
      </w:r>
      <w:r w:rsidRPr="009B6CD8" w:rsidR="00A66893">
        <w:rPr>
          <w:rFonts w:ascii="Times New Roman" w:hAnsi="Times New Roman"/>
        </w:rPr>
        <w:t xml:space="preserve">Priradenie nulovej </w:t>
      </w:r>
      <w:r w:rsidRPr="009B6CD8" w:rsidR="00A83763">
        <w:rPr>
          <w:rFonts w:ascii="Times New Roman" w:hAnsi="Times New Roman"/>
        </w:rPr>
        <w:t>rizikov</w:t>
      </w:r>
      <w:r w:rsidRPr="009B6CD8" w:rsidR="00A66893">
        <w:rPr>
          <w:rFonts w:ascii="Times New Roman" w:hAnsi="Times New Roman"/>
        </w:rPr>
        <w:t xml:space="preserve">ej váhy sa rozširuje </w:t>
      </w:r>
      <w:r w:rsidR="00270CE7">
        <w:rPr>
          <w:rFonts w:ascii="Times New Roman" w:hAnsi="Times New Roman"/>
        </w:rPr>
        <w:t xml:space="preserve">nie </w:t>
      </w:r>
      <w:r w:rsidRPr="009B6CD8" w:rsidR="00A66893">
        <w:rPr>
          <w:rFonts w:ascii="Times New Roman" w:hAnsi="Times New Roman"/>
        </w:rPr>
        <w:t>iba pre Slovenskú republiku, ale pre všetky</w:t>
      </w:r>
      <w:r w:rsidR="00D91CDA">
        <w:rPr>
          <w:rFonts w:ascii="Times New Roman" w:hAnsi="Times New Roman"/>
        </w:rPr>
        <w:t xml:space="preserve"> </w:t>
      </w:r>
      <w:r w:rsidR="00270CE7">
        <w:rPr>
          <w:rFonts w:ascii="Times New Roman" w:hAnsi="Times New Roman"/>
        </w:rPr>
        <w:t xml:space="preserve">členské štáty Európskej únie. </w:t>
      </w:r>
    </w:p>
    <w:p w:rsidR="00C43054" w:rsidRPr="009B6CD8" w:rsidP="00FA2DDC">
      <w:pPr>
        <w:bidi w:val="0"/>
        <w:jc w:val="both"/>
        <w:rPr>
          <w:rFonts w:ascii="Times New Roman" w:hAnsi="Times New Roman"/>
        </w:rPr>
      </w:pPr>
    </w:p>
    <w:p w:rsidR="00600714" w:rsidRPr="00285481" w:rsidP="00FA2DDC">
      <w:pPr>
        <w:autoSpaceDE w:val="0"/>
        <w:autoSpaceDN w:val="0"/>
        <w:bidi w:val="0"/>
        <w:adjustRightInd w:val="0"/>
        <w:jc w:val="both"/>
        <w:rPr>
          <w:rFonts w:ascii="Times New Roman" w:hAnsi="Times New Roman"/>
          <w:b/>
          <w:bCs/>
        </w:rPr>
      </w:pPr>
      <w:r w:rsidRPr="00285481" w:rsidR="00CE409A">
        <w:rPr>
          <w:rFonts w:ascii="Times New Roman" w:hAnsi="Times New Roman"/>
          <w:b/>
          <w:bCs/>
        </w:rPr>
        <w:t xml:space="preserve">K bodu </w:t>
      </w:r>
      <w:r w:rsidR="00AD7E41">
        <w:rPr>
          <w:rFonts w:ascii="Times New Roman" w:hAnsi="Times New Roman"/>
          <w:b/>
          <w:bCs/>
        </w:rPr>
        <w:t>1</w:t>
      </w:r>
      <w:r w:rsidR="00E1535B">
        <w:rPr>
          <w:rFonts w:ascii="Times New Roman" w:hAnsi="Times New Roman"/>
          <w:b/>
          <w:bCs/>
        </w:rPr>
        <w:t>3</w:t>
      </w:r>
    </w:p>
    <w:p w:rsidR="00600714" w:rsidRPr="009B6CD8" w:rsidP="00FA2DDC">
      <w:pPr>
        <w:autoSpaceDE w:val="0"/>
        <w:autoSpaceDN w:val="0"/>
        <w:bidi w:val="0"/>
        <w:adjustRightInd w:val="0"/>
        <w:jc w:val="both"/>
        <w:rPr>
          <w:rFonts w:ascii="Times New Roman" w:hAnsi="Times New Roman"/>
        </w:rPr>
      </w:pPr>
    </w:p>
    <w:p w:rsidR="00C43054" w:rsidRPr="009B6CD8" w:rsidP="00FA2DDC">
      <w:pPr>
        <w:bidi w:val="0"/>
        <w:jc w:val="both"/>
        <w:rPr>
          <w:rFonts w:ascii="Times New Roman" w:hAnsi="Times New Roman"/>
        </w:rPr>
      </w:pPr>
      <w:r w:rsidRPr="009B6CD8" w:rsidR="00600714">
        <w:rPr>
          <w:rFonts w:ascii="Times New Roman" w:hAnsi="Times New Roman"/>
        </w:rPr>
        <w:tab/>
      </w:r>
      <w:r w:rsidRPr="009B6CD8">
        <w:rPr>
          <w:rFonts w:ascii="Times New Roman" w:hAnsi="Times New Roman"/>
        </w:rPr>
        <w:t xml:space="preserve">Navrhovaným znením dochádza k transpozícii </w:t>
      </w:r>
      <w:r w:rsidR="007449BF">
        <w:rPr>
          <w:rFonts w:ascii="Times New Roman" w:hAnsi="Times New Roman"/>
        </w:rPr>
        <w:t>s</w:t>
      </w:r>
      <w:r w:rsidRPr="009B6CD8">
        <w:rPr>
          <w:rFonts w:ascii="Times New Roman" w:hAnsi="Times New Roman"/>
        </w:rPr>
        <w:t xml:space="preserve">mernice 2009/111/ES </w:t>
      </w:r>
      <w:r w:rsidR="00580BCE">
        <w:rPr>
          <w:rFonts w:ascii="Times New Roman" w:hAnsi="Times New Roman"/>
        </w:rPr>
        <w:t xml:space="preserve">článku 1 ods. </w:t>
      </w:r>
      <w:r w:rsidRPr="009B6CD8">
        <w:rPr>
          <w:rFonts w:ascii="Times New Roman" w:hAnsi="Times New Roman"/>
        </w:rPr>
        <w:t>18, ktorým sa mení článok 97 odsek 2</w:t>
      </w:r>
      <w:r w:rsidRPr="009B6CD8" w:rsidR="00CE409A">
        <w:rPr>
          <w:rFonts w:ascii="Times New Roman" w:hAnsi="Times New Roman"/>
        </w:rPr>
        <w:t xml:space="preserve"> smernice 2006/48/ES</w:t>
      </w:r>
      <w:r w:rsidRPr="009B6CD8">
        <w:rPr>
          <w:rFonts w:ascii="Times New Roman" w:hAnsi="Times New Roman"/>
        </w:rPr>
        <w:t>.</w:t>
      </w:r>
      <w:r w:rsidRPr="009B6CD8" w:rsidR="00A83763">
        <w:rPr>
          <w:rFonts w:ascii="Times New Roman" w:hAnsi="Times New Roman"/>
        </w:rPr>
        <w:t xml:space="preserve"> Ustanovenie </w:t>
      </w:r>
      <w:r w:rsidRPr="009B6CD8" w:rsidR="002F4643">
        <w:rPr>
          <w:rFonts w:ascii="Times New Roman" w:hAnsi="Times New Roman"/>
        </w:rPr>
        <w:t xml:space="preserve">týkajúce sa použitia ratingu ratingovej agentúry na určenie rizikovej váhy expozície voči majetku, ktorý je predmetom sekuritizácie, </w:t>
      </w:r>
      <w:r w:rsidRPr="009B6CD8" w:rsidR="00A83763">
        <w:rPr>
          <w:rFonts w:ascii="Times New Roman" w:hAnsi="Times New Roman"/>
        </w:rPr>
        <w:t>je potrebné dať do súladu s nariadením Európskeho parlamentu a Rady (ES) č. 1060/2009 zo 16. septembra 2009 o ratingových agentúrach</w:t>
      </w:r>
      <w:r w:rsidR="00AD7E41">
        <w:rPr>
          <w:rFonts w:ascii="Times New Roman" w:hAnsi="Times New Roman"/>
        </w:rPr>
        <w:t xml:space="preserve"> </w:t>
      </w:r>
      <w:r w:rsidRPr="00B462AC" w:rsidR="00AD7E41">
        <w:rPr>
          <w:rFonts w:ascii="Times New Roman" w:hAnsi="Times New Roman"/>
        </w:rPr>
        <w:t>(Ú. v. EÚ L. 302, 17. 11. 2009)</w:t>
      </w:r>
      <w:r w:rsidRPr="009B6CD8" w:rsidR="00A83763">
        <w:rPr>
          <w:rFonts w:ascii="Times New Roman" w:hAnsi="Times New Roman"/>
        </w:rPr>
        <w:t>.</w:t>
      </w:r>
    </w:p>
    <w:p w:rsidR="00CE409A" w:rsidRPr="008948E9" w:rsidP="00FA2DDC">
      <w:pPr>
        <w:bidi w:val="0"/>
        <w:jc w:val="both"/>
        <w:rPr>
          <w:rFonts w:ascii="Times New Roman" w:hAnsi="Times New Roman"/>
        </w:rPr>
      </w:pPr>
    </w:p>
    <w:p w:rsidR="00600714" w:rsidRPr="00285481" w:rsidP="00FA2DDC">
      <w:pPr>
        <w:autoSpaceDE w:val="0"/>
        <w:autoSpaceDN w:val="0"/>
        <w:bidi w:val="0"/>
        <w:adjustRightInd w:val="0"/>
        <w:jc w:val="both"/>
        <w:rPr>
          <w:rFonts w:ascii="Times New Roman" w:hAnsi="Times New Roman"/>
          <w:b/>
          <w:bCs/>
        </w:rPr>
      </w:pPr>
      <w:r w:rsidRPr="00285481">
        <w:rPr>
          <w:rFonts w:ascii="Times New Roman" w:hAnsi="Times New Roman"/>
          <w:b/>
          <w:bCs/>
        </w:rPr>
        <w:t xml:space="preserve">K bodu </w:t>
      </w:r>
      <w:r w:rsidR="00AD7E41">
        <w:rPr>
          <w:rFonts w:ascii="Times New Roman" w:hAnsi="Times New Roman"/>
          <w:b/>
          <w:bCs/>
        </w:rPr>
        <w:t>1</w:t>
      </w:r>
      <w:r w:rsidR="00E1535B">
        <w:rPr>
          <w:rFonts w:ascii="Times New Roman" w:hAnsi="Times New Roman"/>
          <w:b/>
          <w:bCs/>
        </w:rPr>
        <w:t>4</w:t>
      </w:r>
    </w:p>
    <w:p w:rsidR="00600714" w:rsidP="00FA2DDC">
      <w:pPr>
        <w:autoSpaceDE w:val="0"/>
        <w:autoSpaceDN w:val="0"/>
        <w:bidi w:val="0"/>
        <w:adjustRightInd w:val="0"/>
        <w:jc w:val="both"/>
        <w:rPr>
          <w:rFonts w:ascii="Times New Roman" w:hAnsi="Times New Roman"/>
        </w:rPr>
      </w:pPr>
    </w:p>
    <w:p w:rsidR="00285481" w:rsidRPr="00285481" w:rsidP="00FA2DDC">
      <w:pPr>
        <w:autoSpaceDE w:val="0"/>
        <w:autoSpaceDN w:val="0"/>
        <w:bidi w:val="0"/>
        <w:adjustRightInd w:val="0"/>
        <w:jc w:val="both"/>
        <w:rPr>
          <w:rFonts w:ascii="Times New Roman" w:hAnsi="Times New Roman"/>
          <w:u w:val="single"/>
        </w:rPr>
      </w:pPr>
      <w:r w:rsidRPr="00285481">
        <w:rPr>
          <w:rFonts w:ascii="Times New Roman" w:hAnsi="Times New Roman"/>
          <w:u w:val="single"/>
        </w:rPr>
        <w:t>K § 33e ods. 1</w:t>
      </w:r>
      <w:r>
        <w:rPr>
          <w:rFonts w:ascii="Times New Roman" w:hAnsi="Times New Roman"/>
          <w:u w:val="single"/>
        </w:rPr>
        <w:t xml:space="preserve"> a 2</w:t>
      </w:r>
    </w:p>
    <w:p w:rsidR="00CB3804" w:rsidRPr="008948E9" w:rsidP="00FA2DDC">
      <w:pPr>
        <w:pStyle w:val="Default"/>
        <w:bidi w:val="0"/>
        <w:jc w:val="both"/>
        <w:rPr>
          <w:rFonts w:ascii="Times New Roman" w:hAnsi="Times New Roman" w:cs="Times New Roman"/>
          <w:color w:val="auto"/>
        </w:rPr>
      </w:pPr>
      <w:r w:rsidRPr="008948E9" w:rsidR="00600714">
        <w:rPr>
          <w:rFonts w:ascii="Times New Roman" w:hAnsi="Times New Roman" w:cs="Times New Roman"/>
          <w:color w:val="auto"/>
        </w:rPr>
        <w:tab/>
      </w:r>
      <w:r w:rsidRPr="008948E9" w:rsidR="00622CDA">
        <w:rPr>
          <w:rFonts w:ascii="Times New Roman" w:hAnsi="Times New Roman" w:cs="Times New Roman"/>
          <w:color w:val="auto"/>
        </w:rPr>
        <w:t xml:space="preserve">Navrhovaným znením dochádza k transpozícii </w:t>
      </w:r>
      <w:r w:rsidR="007449BF">
        <w:rPr>
          <w:rFonts w:ascii="Times New Roman" w:hAnsi="Times New Roman" w:cs="Times New Roman"/>
          <w:color w:val="auto"/>
        </w:rPr>
        <w:t>s</w:t>
      </w:r>
      <w:r w:rsidRPr="008948E9" w:rsidR="00622CDA">
        <w:rPr>
          <w:rFonts w:ascii="Times New Roman" w:hAnsi="Times New Roman" w:cs="Times New Roman"/>
          <w:color w:val="auto"/>
        </w:rPr>
        <w:t xml:space="preserve">mernice 2009/111/ES </w:t>
      </w:r>
      <w:r w:rsidR="00580BCE">
        <w:rPr>
          <w:rFonts w:ascii="Times New Roman" w:hAnsi="Times New Roman" w:cs="Times New Roman"/>
          <w:color w:val="auto"/>
        </w:rPr>
        <w:t xml:space="preserve">článku 1 ods. </w:t>
      </w:r>
      <w:r w:rsidRPr="008948E9" w:rsidR="00622CDA">
        <w:rPr>
          <w:rFonts w:ascii="Times New Roman" w:hAnsi="Times New Roman" w:cs="Times New Roman"/>
          <w:color w:val="auto"/>
        </w:rPr>
        <w:t xml:space="preserve">22, ktorým sa mení článok 111 odsek 1 </w:t>
      </w:r>
      <w:r w:rsidRPr="008948E9" w:rsidR="00671EA5">
        <w:rPr>
          <w:rFonts w:ascii="Times New Roman" w:hAnsi="Times New Roman" w:cs="Times New Roman"/>
          <w:color w:val="auto"/>
        </w:rPr>
        <w:t xml:space="preserve">smernice 2006/48/ES </w:t>
      </w:r>
      <w:r w:rsidRPr="008948E9" w:rsidR="00622CDA">
        <w:rPr>
          <w:rFonts w:ascii="Times New Roman" w:hAnsi="Times New Roman" w:cs="Times New Roman"/>
          <w:color w:val="auto"/>
        </w:rPr>
        <w:t>a ktorým sa vypúšťajú odseky 2 a</w:t>
      </w:r>
      <w:r w:rsidRPr="008948E9" w:rsidR="00671EA5">
        <w:rPr>
          <w:rFonts w:ascii="Times New Roman" w:hAnsi="Times New Roman" w:cs="Times New Roman"/>
          <w:color w:val="auto"/>
        </w:rPr>
        <w:t> </w:t>
      </w:r>
      <w:r w:rsidRPr="008948E9" w:rsidR="00622CDA">
        <w:rPr>
          <w:rFonts w:ascii="Times New Roman" w:hAnsi="Times New Roman" w:cs="Times New Roman"/>
          <w:color w:val="auto"/>
        </w:rPr>
        <w:t>3</w:t>
      </w:r>
      <w:r w:rsidRPr="008948E9" w:rsidR="00671EA5">
        <w:rPr>
          <w:rFonts w:ascii="Times New Roman" w:hAnsi="Times New Roman" w:cs="Times New Roman"/>
          <w:color w:val="auto"/>
        </w:rPr>
        <w:t xml:space="preserve"> tohto článku</w:t>
      </w:r>
      <w:r w:rsidRPr="008948E9" w:rsidR="00622CDA">
        <w:rPr>
          <w:rFonts w:ascii="Times New Roman" w:hAnsi="Times New Roman" w:cs="Times New Roman"/>
          <w:color w:val="auto"/>
        </w:rPr>
        <w:t>.</w:t>
      </w:r>
      <w:r w:rsidRPr="008948E9" w:rsidR="00ED1665">
        <w:rPr>
          <w:rFonts w:ascii="Times New Roman" w:hAnsi="Times New Roman" w:cs="Times New Roman"/>
          <w:color w:val="auto"/>
        </w:rPr>
        <w:t xml:space="preserve"> Súčasný režim veľkej majetkovej angažovanosti pochádza z roku 1992. Existujúce požiadavky na veľkú majetkovú angažovanosť </w:t>
      </w:r>
      <w:r w:rsidRPr="008948E9" w:rsidR="00671EA5">
        <w:rPr>
          <w:rFonts w:ascii="Times New Roman" w:hAnsi="Times New Roman" w:cs="Times New Roman"/>
          <w:color w:val="auto"/>
        </w:rPr>
        <w:t xml:space="preserve">bolo </w:t>
      </w:r>
      <w:r w:rsidRPr="008948E9" w:rsidR="00ED1665">
        <w:rPr>
          <w:rFonts w:ascii="Times New Roman" w:hAnsi="Times New Roman" w:cs="Times New Roman"/>
          <w:color w:val="auto"/>
        </w:rPr>
        <w:t>preto potrebné prehodnotiť. Zrušuje sa limit majetkovej</w:t>
      </w:r>
      <w:r w:rsidRPr="00FA2DDC" w:rsidR="00ED1665">
        <w:rPr>
          <w:rFonts w:ascii="Times New Roman" w:hAnsi="Times New Roman" w:cs="Times New Roman"/>
        </w:rPr>
        <w:t xml:space="preserve"> angažovanosti vo výške 20 % voči materskej spoločnosti, dcérskej spoločnosti, skupine hospodársky spojených osôb, ktorú tvorí materská spoločnosť banky a jej iné dcérske spoločnosti, alebo skupine hospodársky spojených osôb, ktorú tvoria dcérske spoločnosti banky</w:t>
      </w:r>
      <w:r w:rsidRPr="00FA2DDC" w:rsidR="00A464A4">
        <w:rPr>
          <w:rFonts w:ascii="Times New Roman" w:hAnsi="Times New Roman" w:cs="Times New Roman"/>
        </w:rPr>
        <w:t>.</w:t>
      </w:r>
      <w:r w:rsidRPr="00FA2DDC">
        <w:rPr>
          <w:rFonts w:ascii="Times New Roman" w:hAnsi="Times New Roman" w:cs="Times New Roman"/>
        </w:rPr>
        <w:t xml:space="preserve"> Keďže strata vyplývajúca z expozície voči úverovým inštitúciám alebo investičnej spoločnosti môže byť rovnako veľká ako strata z akejkoľvek inej expozície, s týmito expozíciami sa má zaobchádzať a majú sa </w:t>
      </w:r>
      <w:r w:rsidRPr="008948E9">
        <w:rPr>
          <w:rFonts w:ascii="Times New Roman" w:hAnsi="Times New Roman" w:cs="Times New Roman"/>
          <w:color w:val="auto"/>
        </w:rPr>
        <w:t>oznamovať tak, ako akékoľvek iné expozície. Zavádza sa alternatívny kvantitatívny limit na zmiernenie neúmerného vplyvu takéhoto prístupu na menšie inštitúcie.</w:t>
      </w:r>
    </w:p>
    <w:p w:rsidR="00671EA5" w:rsidRPr="008948E9" w:rsidP="00671EA5">
      <w:pPr>
        <w:autoSpaceDE w:val="0"/>
        <w:autoSpaceDN w:val="0"/>
        <w:bidi w:val="0"/>
        <w:adjustRightInd w:val="0"/>
        <w:jc w:val="both"/>
        <w:rPr>
          <w:rFonts w:ascii="Times New Roman" w:hAnsi="Times New Roman"/>
        </w:rPr>
      </w:pPr>
      <w:r w:rsidRPr="008948E9">
        <w:rPr>
          <w:rFonts w:ascii="Times New Roman" w:hAnsi="Times New Roman"/>
        </w:rPr>
        <w:tab/>
        <w:t>Na základe vypustenia pôvodného čl. 111 odsek 2 a 3 smernice 2006/48/ES, zaniká nie len možnosť ustanovovať znížený 20% limit angažovanosti voči materskej spoločnosti, voči dcérskym spoločnostiam, voči skupinám hospodársky spojených osôb, ktorých sú materské a dcérske spoločnosti súčasťou, ale aj možnosť vyňať dcérsku alebo materskú spoločnosť z limitu angažovanosti ako takého za sprísneného monitorovacieho režimu orgánu dohľadu. Zaniká aj možnosť ustanovovať celkový limit angažovaností na úrovni 800% vlastných zdrojov banky, čím definitívne zaniká doterajší obsah § 33e ods. 2 zákona o bankách.</w:t>
      </w:r>
    </w:p>
    <w:p w:rsidR="00671EA5" w:rsidP="00671EA5">
      <w:pPr>
        <w:autoSpaceDE w:val="0"/>
        <w:autoSpaceDN w:val="0"/>
        <w:bidi w:val="0"/>
        <w:adjustRightInd w:val="0"/>
        <w:jc w:val="both"/>
        <w:rPr>
          <w:rFonts w:ascii="Times New Roman" w:hAnsi="Times New Roman"/>
        </w:rPr>
      </w:pPr>
    </w:p>
    <w:p w:rsidR="00285481" w:rsidRPr="00285481" w:rsidP="00671EA5">
      <w:pPr>
        <w:autoSpaceDE w:val="0"/>
        <w:autoSpaceDN w:val="0"/>
        <w:bidi w:val="0"/>
        <w:adjustRightInd w:val="0"/>
        <w:jc w:val="both"/>
        <w:rPr>
          <w:rFonts w:ascii="Times New Roman" w:hAnsi="Times New Roman"/>
          <w:u w:val="single"/>
        </w:rPr>
      </w:pPr>
      <w:r w:rsidRPr="00285481">
        <w:rPr>
          <w:rFonts w:ascii="Times New Roman" w:hAnsi="Times New Roman"/>
          <w:u w:val="single"/>
        </w:rPr>
        <w:t>K § 33e ods. 3</w:t>
      </w:r>
    </w:p>
    <w:p w:rsidR="00671EA5" w:rsidRPr="008948E9" w:rsidP="00FA2DDC">
      <w:pPr>
        <w:autoSpaceDE w:val="0"/>
        <w:autoSpaceDN w:val="0"/>
        <w:bidi w:val="0"/>
        <w:adjustRightInd w:val="0"/>
        <w:jc w:val="both"/>
        <w:rPr>
          <w:rFonts w:ascii="Times New Roman" w:hAnsi="Times New Roman"/>
        </w:rPr>
      </w:pPr>
      <w:r w:rsidRPr="008948E9">
        <w:rPr>
          <w:rFonts w:ascii="Times New Roman" w:hAnsi="Times New Roman"/>
        </w:rPr>
        <w:tab/>
        <w:t xml:space="preserve">Navrhovaným znením § 33a ods. 3 dochádza k transpozícii </w:t>
      </w:r>
      <w:r w:rsidR="007449BF">
        <w:rPr>
          <w:rFonts w:ascii="Times New Roman" w:hAnsi="Times New Roman"/>
        </w:rPr>
        <w:t>s</w:t>
      </w:r>
      <w:r w:rsidRPr="008948E9">
        <w:rPr>
          <w:rFonts w:ascii="Times New Roman" w:hAnsi="Times New Roman"/>
        </w:rPr>
        <w:t xml:space="preserve">mernice 2009/111/ES </w:t>
      </w:r>
      <w:r w:rsidR="00580BCE">
        <w:rPr>
          <w:rFonts w:ascii="Times New Roman" w:hAnsi="Times New Roman"/>
        </w:rPr>
        <w:t xml:space="preserve">článku 1 ods. </w:t>
      </w:r>
      <w:r w:rsidRPr="008948E9">
        <w:rPr>
          <w:rFonts w:ascii="Times New Roman" w:hAnsi="Times New Roman"/>
        </w:rPr>
        <w:t>22, ktorým sa mení článok 111 odsek 4 smernice 2006/48/ES. Navrhovaná zmena súvisí s novým režimom majetkovej angažovanosti. Princíp oznamovacej povinnosti banky voči Národnej bank</w:t>
      </w:r>
      <w:r w:rsidR="000C3685">
        <w:rPr>
          <w:rFonts w:ascii="Times New Roman" w:hAnsi="Times New Roman"/>
        </w:rPr>
        <w:t>e</w:t>
      </w:r>
      <w:r w:rsidRPr="008948E9">
        <w:rPr>
          <w:rFonts w:ascii="Times New Roman" w:hAnsi="Times New Roman"/>
        </w:rPr>
        <w:t xml:space="preserve"> Slovenska v prípade porušovania obmedzení majetkových angažovaností sa nemení.</w:t>
      </w:r>
    </w:p>
    <w:p w:rsidR="00671EA5" w:rsidP="00FA2DDC">
      <w:pPr>
        <w:autoSpaceDE w:val="0"/>
        <w:autoSpaceDN w:val="0"/>
        <w:bidi w:val="0"/>
        <w:adjustRightInd w:val="0"/>
        <w:jc w:val="both"/>
        <w:rPr>
          <w:rFonts w:ascii="Times New Roman" w:hAnsi="Times New Roman"/>
        </w:rPr>
      </w:pPr>
    </w:p>
    <w:p w:rsidR="00285481" w:rsidRPr="00285481" w:rsidP="00FA2DDC">
      <w:pPr>
        <w:autoSpaceDE w:val="0"/>
        <w:autoSpaceDN w:val="0"/>
        <w:bidi w:val="0"/>
        <w:adjustRightInd w:val="0"/>
        <w:jc w:val="both"/>
        <w:rPr>
          <w:rFonts w:ascii="Times New Roman" w:hAnsi="Times New Roman"/>
          <w:u w:val="single"/>
        </w:rPr>
      </w:pPr>
      <w:r w:rsidRPr="00285481">
        <w:rPr>
          <w:rFonts w:ascii="Times New Roman" w:hAnsi="Times New Roman"/>
          <w:u w:val="single"/>
        </w:rPr>
        <w:t>K § 33e ods. 4</w:t>
      </w:r>
    </w:p>
    <w:p w:rsidR="003C69FB" w:rsidRPr="008948E9" w:rsidP="00FA2DDC">
      <w:pPr>
        <w:autoSpaceDE w:val="0"/>
        <w:autoSpaceDN w:val="0"/>
        <w:bidi w:val="0"/>
        <w:adjustRightInd w:val="0"/>
        <w:jc w:val="both"/>
        <w:rPr>
          <w:rFonts w:ascii="Times New Roman" w:hAnsi="Times New Roman"/>
        </w:rPr>
      </w:pPr>
      <w:r w:rsidRPr="008948E9">
        <w:rPr>
          <w:rFonts w:ascii="Times New Roman" w:hAnsi="Times New Roman"/>
        </w:rPr>
        <w:tab/>
        <w:t xml:space="preserve">Navrhovaným znením § 33e ods. 4 ide o transpozíciu smernice 2009/111/ES </w:t>
      </w:r>
      <w:r w:rsidR="00580BCE">
        <w:rPr>
          <w:rFonts w:ascii="Times New Roman" w:hAnsi="Times New Roman"/>
        </w:rPr>
        <w:t xml:space="preserve">článku 2 ods. </w:t>
      </w:r>
      <w:r w:rsidRPr="008948E9">
        <w:rPr>
          <w:rFonts w:ascii="Times New Roman" w:hAnsi="Times New Roman"/>
        </w:rPr>
        <w:t>4 zmien a doplnení smernice 2006/49/ES, ktorým sa mení a dopĺňa článok 31 smernice 2006/49/ES.</w:t>
      </w:r>
    </w:p>
    <w:p w:rsidR="003C69FB" w:rsidRPr="008948E9" w:rsidP="003C69FB">
      <w:pPr>
        <w:autoSpaceDE w:val="0"/>
        <w:autoSpaceDN w:val="0"/>
        <w:bidi w:val="0"/>
        <w:adjustRightInd w:val="0"/>
        <w:jc w:val="both"/>
        <w:rPr>
          <w:rFonts w:ascii="Times New Roman" w:hAnsi="Times New Roman"/>
        </w:rPr>
      </w:pPr>
      <w:r w:rsidRPr="008948E9">
        <w:rPr>
          <w:rFonts w:ascii="Times New Roman" w:hAnsi="Times New Roman"/>
        </w:rPr>
        <w:tab/>
        <w:t xml:space="preserve">Pokiaľ ide o čl. 31 prvý odsek písmeno a), jestvujúce znenie je prenesené do § 33e ods. 4 písm. a) v spojení s členením § 33e ods. 1 na písmená a) a b) zákona o bankách s ohľadom na nutnosť sledovania angažovaností za obe knihy s prihliadnutím na celé vlastné zdroje a angažovaností len za bankovú knihu s prihliadnutím na vlastné zdroje základné a dodatkové. To je aj dôvod, prečo je doterajší § 33e ods. 1 zákona o bankách tak zložitý. Znamená, že hoci je snahou štruktúru § 33e ods. 1 zákona o bankách trochu zjemniť, nutnosť sledovania angažovaností aj len za bankovú knihu nezaniká, a to kvôli uplatňovaniu národného oprávnenia daného v čl. 31 smernice 2006/49/ES. Obdobne to platí o kombinácii § 74a ods. 4 s § 74a ods. 1 zákona </w:t>
      </w:r>
      <w:r w:rsidR="00C80226">
        <w:rPr>
          <w:rFonts w:ascii="Times New Roman" w:hAnsi="Times New Roman"/>
        </w:rPr>
        <w:t>č. 566</w:t>
      </w:r>
      <w:r w:rsidRPr="00C80226" w:rsidR="00C80226">
        <w:rPr>
          <w:rFonts w:ascii="Times New Roman" w:hAnsi="Times New Roman"/>
        </w:rPr>
        <w:t>/2001 Z. z. o cenných papieroch a investičných službách a o zmene a doplnení niektorých zákonov (zákon o cenných papieroch) v znení neskorších predpisov</w:t>
      </w:r>
      <w:r w:rsidR="00C80226">
        <w:rPr>
          <w:rFonts w:ascii="Times New Roman" w:hAnsi="Times New Roman"/>
        </w:rPr>
        <w:t xml:space="preserve"> (ďalej len „zákon o cenných papi</w:t>
      </w:r>
      <w:r w:rsidRPr="008948E9">
        <w:rPr>
          <w:rFonts w:ascii="Times New Roman" w:hAnsi="Times New Roman"/>
        </w:rPr>
        <w:t>eroch</w:t>
      </w:r>
      <w:r w:rsidR="00C80226">
        <w:rPr>
          <w:rFonts w:ascii="Times New Roman" w:hAnsi="Times New Roman"/>
        </w:rPr>
        <w:t>“)</w:t>
      </w:r>
      <w:r w:rsidRPr="008948E9">
        <w:rPr>
          <w:rFonts w:ascii="Times New Roman" w:hAnsi="Times New Roman"/>
        </w:rPr>
        <w:t>, pokiaľ ide obchodnú a neobchodnú knihu.</w:t>
      </w:r>
    </w:p>
    <w:p w:rsidR="003C69FB" w:rsidRPr="008948E9" w:rsidP="003C69FB">
      <w:pPr>
        <w:autoSpaceDE w:val="0"/>
        <w:autoSpaceDN w:val="0"/>
        <w:bidi w:val="0"/>
        <w:adjustRightInd w:val="0"/>
        <w:jc w:val="both"/>
        <w:rPr>
          <w:rFonts w:ascii="Times New Roman" w:hAnsi="Times New Roman"/>
        </w:rPr>
      </w:pPr>
      <w:r w:rsidRPr="008948E9">
        <w:rPr>
          <w:rFonts w:ascii="Times New Roman" w:hAnsi="Times New Roman"/>
        </w:rPr>
        <w:tab/>
        <w:t>Čl. 31 prvý odsek písmeno a) smernice 2006/49/ES sa obsahovo nemení, zohľadňuje najviac súvisiace zmeny v ustanoveniach o limitoch angažovaností podľa smernice 2006/48/ES. Preto nejestvuje dôvod meniť povahu ustanovení zákona o bankách.</w:t>
      </w:r>
    </w:p>
    <w:p w:rsidR="003C69FB" w:rsidRPr="008948E9" w:rsidP="003C69FB">
      <w:pPr>
        <w:autoSpaceDE w:val="0"/>
        <w:autoSpaceDN w:val="0"/>
        <w:bidi w:val="0"/>
        <w:adjustRightInd w:val="0"/>
        <w:jc w:val="both"/>
        <w:rPr>
          <w:rFonts w:ascii="Times New Roman" w:hAnsi="Times New Roman"/>
        </w:rPr>
      </w:pPr>
      <w:r w:rsidRPr="008948E9">
        <w:rPr>
          <w:rFonts w:ascii="Times New Roman" w:hAnsi="Times New Roman"/>
        </w:rPr>
        <w:tab/>
        <w:t>Pokiaľ ide o čl. 31 prvý odsek písmeno b), jestvujúce znenie je prenesené do § 33e ods. 4 písm. b) zákona o bankách (resp. § 74a ods. 4 písm. b) zákona o cenných papieroch.</w:t>
      </w:r>
    </w:p>
    <w:p w:rsidR="003C69FB" w:rsidP="003C69FB">
      <w:pPr>
        <w:autoSpaceDE w:val="0"/>
        <w:autoSpaceDN w:val="0"/>
        <w:bidi w:val="0"/>
        <w:adjustRightInd w:val="0"/>
        <w:jc w:val="both"/>
        <w:rPr>
          <w:rFonts w:ascii="Times New Roman" w:hAnsi="Times New Roman"/>
        </w:rPr>
      </w:pPr>
      <w:r w:rsidRPr="008948E9">
        <w:rPr>
          <w:rFonts w:ascii="Times New Roman" w:hAnsi="Times New Roman"/>
        </w:rPr>
        <w:tab/>
        <w:t>Opäť ide o rovnakú situáciu, ako v predošlom písmene smernice či zákona. Nejestvuje ani v tomto prípade dôvod na vecnú zmenu národnej legislatívy.</w:t>
      </w:r>
    </w:p>
    <w:p w:rsidR="003C69FB" w:rsidRPr="008948E9" w:rsidP="00BD7C3F">
      <w:pPr>
        <w:autoSpaceDE w:val="0"/>
        <w:autoSpaceDN w:val="0"/>
        <w:bidi w:val="0"/>
        <w:adjustRightInd w:val="0"/>
        <w:jc w:val="both"/>
        <w:rPr>
          <w:rFonts w:ascii="Times New Roman" w:hAnsi="Times New Roman"/>
        </w:rPr>
      </w:pPr>
      <w:r w:rsidRPr="008948E9">
        <w:rPr>
          <w:rFonts w:ascii="Times New Roman" w:hAnsi="Times New Roman"/>
        </w:rPr>
        <w:tab/>
        <w:t xml:space="preserve">Pôvodný čl. 31 prvý odsek písm. e) smernice 2006/49/ES </w:t>
      </w:r>
      <w:r w:rsidRPr="008948E9" w:rsidR="00BD7C3F">
        <w:rPr>
          <w:rFonts w:ascii="Times New Roman" w:hAnsi="Times New Roman"/>
        </w:rPr>
        <w:t>má svojho reprezentanta v § 33e ods. 4 písm. e) zákona o bankách a v § 74a ods. 4 písm. e) zákona o cenných papieroch. Znovu ide o situáciu, kde smernica 2006/49/ES len zosúlaďuje svoje znenie s vecnými zmenami v oblasti ustanovenia limitov angažovaností podľa smernice 2006/48/ES. Preto nie je dôvod na vecnú zmenu v národnej legislatíve.</w:t>
      </w:r>
    </w:p>
    <w:p w:rsidR="00BD7C3F" w:rsidRPr="008948E9" w:rsidP="00BD7C3F">
      <w:pPr>
        <w:autoSpaceDE w:val="0"/>
        <w:autoSpaceDN w:val="0"/>
        <w:bidi w:val="0"/>
        <w:adjustRightInd w:val="0"/>
        <w:jc w:val="both"/>
        <w:rPr>
          <w:rFonts w:ascii="Times New Roman" w:hAnsi="Times New Roman"/>
        </w:rPr>
      </w:pPr>
      <w:r w:rsidRPr="008948E9">
        <w:rPr>
          <w:rFonts w:ascii="Times New Roman" w:hAnsi="Times New Roman"/>
        </w:rPr>
        <w:tab/>
        <w:t xml:space="preserve">Pokiaľ ide o zmeny v čl. 31 druhý odsek smernice 2006/49/ES, vidno, že táto zmena smernice je ozaj nebadaná, avšak sleduje dôslednosť v gramatike a nutnosti vyjadriť, že už môže ísť o prekročenie viacerých limitov angažovanosti, nie len jedného. Preto nie je dôvod na vecnú zmenu v národnej legislatíve, konkrétne v príslušnom výkazníckom opatrení, a to v opatrení </w:t>
      </w:r>
      <w:r w:rsidRPr="008948E9" w:rsidR="00CA0F0A">
        <w:rPr>
          <w:rFonts w:ascii="Times New Roman" w:hAnsi="Times New Roman"/>
        </w:rPr>
        <w:t>N</w:t>
      </w:r>
      <w:r w:rsidR="00CA0F0A">
        <w:rPr>
          <w:rFonts w:ascii="Times New Roman" w:hAnsi="Times New Roman"/>
        </w:rPr>
        <w:t>árodnej banky Slovenska</w:t>
      </w:r>
      <w:r w:rsidRPr="008948E9" w:rsidR="00CA0F0A">
        <w:rPr>
          <w:rFonts w:ascii="Times New Roman" w:hAnsi="Times New Roman"/>
        </w:rPr>
        <w:t xml:space="preserve"> </w:t>
      </w:r>
      <w:r w:rsidRPr="008948E9">
        <w:rPr>
          <w:rFonts w:ascii="Times New Roman" w:hAnsi="Times New Roman"/>
        </w:rPr>
        <w:t>č. 6/2009 a v samotnom § 33e ods. 4 písm. e) zákona o bankách a v súvisiacom ustanovení zákona o cenných papieroch. Bude však potrebné upraviť príslušný vzor hlásenia o týchto prekročeniach angažovaností.</w:t>
      </w:r>
    </w:p>
    <w:p w:rsidR="00BD7C3F" w:rsidP="00BD7C3F">
      <w:pPr>
        <w:autoSpaceDE w:val="0"/>
        <w:autoSpaceDN w:val="0"/>
        <w:bidi w:val="0"/>
        <w:adjustRightInd w:val="0"/>
        <w:jc w:val="both"/>
        <w:rPr>
          <w:rFonts w:ascii="Times New Roman" w:hAnsi="Times New Roman"/>
        </w:rPr>
      </w:pPr>
    </w:p>
    <w:p w:rsidR="00285481" w:rsidRPr="00285481" w:rsidP="00BD7C3F">
      <w:pPr>
        <w:autoSpaceDE w:val="0"/>
        <w:autoSpaceDN w:val="0"/>
        <w:bidi w:val="0"/>
        <w:adjustRightInd w:val="0"/>
        <w:jc w:val="both"/>
        <w:rPr>
          <w:rFonts w:ascii="Times New Roman" w:hAnsi="Times New Roman"/>
          <w:u w:val="single"/>
        </w:rPr>
      </w:pPr>
      <w:r w:rsidRPr="00285481">
        <w:rPr>
          <w:rFonts w:ascii="Times New Roman" w:hAnsi="Times New Roman"/>
          <w:u w:val="single"/>
        </w:rPr>
        <w:t>K § 33e ods. 5</w:t>
      </w:r>
    </w:p>
    <w:p w:rsidR="00BD7C3F" w:rsidRPr="00B171EF" w:rsidP="00BD7C3F">
      <w:pPr>
        <w:autoSpaceDE w:val="0"/>
        <w:autoSpaceDN w:val="0"/>
        <w:bidi w:val="0"/>
        <w:adjustRightInd w:val="0"/>
        <w:jc w:val="both"/>
        <w:rPr>
          <w:rFonts w:ascii="Times New Roman" w:hAnsi="Times New Roman"/>
        </w:rPr>
      </w:pPr>
      <w:r w:rsidRPr="00B171EF">
        <w:rPr>
          <w:rFonts w:ascii="Times New Roman" w:hAnsi="Times New Roman"/>
        </w:rPr>
        <w:tab/>
        <w:t xml:space="preserve">Navrhovaným znením § 33e ods. 5 zákona o bankách sa sleduje aj dôsledná transpozícia smernice 2009/111/ES </w:t>
      </w:r>
      <w:r w:rsidR="00580BCE">
        <w:rPr>
          <w:rFonts w:ascii="Times New Roman" w:hAnsi="Times New Roman"/>
        </w:rPr>
        <w:t xml:space="preserve">článku 1 ods. </w:t>
      </w:r>
      <w:r w:rsidRPr="00B171EF">
        <w:rPr>
          <w:rFonts w:ascii="Times New Roman" w:hAnsi="Times New Roman"/>
        </w:rPr>
        <w:t xml:space="preserve">19, ktorým sa doplňuje znenie článku 106 smernice 2006/48/ES novým odsekom 3, ako aj dôsledná transpozícia </w:t>
      </w:r>
      <w:r w:rsidR="003A54E8">
        <w:rPr>
          <w:rFonts w:ascii="Times New Roman" w:hAnsi="Times New Roman"/>
        </w:rPr>
        <w:t xml:space="preserve">smernice </w:t>
      </w:r>
      <w:r w:rsidRPr="00B171EF">
        <w:rPr>
          <w:rFonts w:ascii="Times New Roman" w:hAnsi="Times New Roman"/>
        </w:rPr>
        <w:t xml:space="preserve">2009/111/ES </w:t>
      </w:r>
      <w:r w:rsidR="00580BCE">
        <w:rPr>
          <w:rFonts w:ascii="Times New Roman" w:hAnsi="Times New Roman"/>
        </w:rPr>
        <w:t xml:space="preserve">článku 1 ods. </w:t>
      </w:r>
      <w:r w:rsidRPr="00B171EF">
        <w:rPr>
          <w:rFonts w:ascii="Times New Roman" w:hAnsi="Times New Roman"/>
        </w:rPr>
        <w:t>21, ktorým sa mení znenie článku 110 ods. 3 smernice 2006/48/ES. Kombináciou týchto dvoch obligatórnych ustanovení smerníc s pôvodným znením § 33e ods. 5 vzniká doplnené znenie tohto ustanovenia.</w:t>
      </w:r>
    </w:p>
    <w:p w:rsidR="003E081A" w:rsidP="00BD7C3F">
      <w:pPr>
        <w:autoSpaceDE w:val="0"/>
        <w:autoSpaceDN w:val="0"/>
        <w:bidi w:val="0"/>
        <w:adjustRightInd w:val="0"/>
        <w:jc w:val="both"/>
        <w:rPr>
          <w:rFonts w:ascii="Times New Roman" w:hAnsi="Times New Roman"/>
          <w:b/>
          <w:bCs/>
        </w:rPr>
      </w:pPr>
    </w:p>
    <w:p w:rsidR="003E081A" w:rsidP="00BD7C3F">
      <w:pPr>
        <w:autoSpaceDE w:val="0"/>
        <w:autoSpaceDN w:val="0"/>
        <w:bidi w:val="0"/>
        <w:adjustRightInd w:val="0"/>
        <w:jc w:val="both"/>
        <w:rPr>
          <w:rFonts w:ascii="Times New Roman" w:hAnsi="Times New Roman"/>
          <w:b/>
          <w:bCs/>
        </w:rPr>
      </w:pPr>
    </w:p>
    <w:p w:rsidR="0078335B" w:rsidRPr="00285481" w:rsidP="00BD7C3F">
      <w:pPr>
        <w:autoSpaceDE w:val="0"/>
        <w:autoSpaceDN w:val="0"/>
        <w:bidi w:val="0"/>
        <w:adjustRightInd w:val="0"/>
        <w:jc w:val="both"/>
        <w:rPr>
          <w:rFonts w:ascii="Times New Roman" w:hAnsi="Times New Roman"/>
          <w:b/>
          <w:bCs/>
        </w:rPr>
      </w:pPr>
      <w:r w:rsidRPr="00285481" w:rsidR="00B171EF">
        <w:rPr>
          <w:rFonts w:ascii="Times New Roman" w:hAnsi="Times New Roman"/>
          <w:b/>
          <w:bCs/>
        </w:rPr>
        <w:t>K bodu 1</w:t>
      </w:r>
      <w:r w:rsidR="00E1535B">
        <w:rPr>
          <w:rFonts w:ascii="Times New Roman" w:hAnsi="Times New Roman"/>
          <w:b/>
          <w:bCs/>
        </w:rPr>
        <w:t>5</w:t>
      </w:r>
    </w:p>
    <w:p w:rsidR="0078335B" w:rsidRPr="00B171EF" w:rsidP="0078335B">
      <w:pPr>
        <w:autoSpaceDE w:val="0"/>
        <w:autoSpaceDN w:val="0"/>
        <w:bidi w:val="0"/>
        <w:adjustRightInd w:val="0"/>
        <w:jc w:val="both"/>
        <w:rPr>
          <w:rFonts w:ascii="Times New Roman" w:hAnsi="Times New Roman"/>
        </w:rPr>
      </w:pPr>
    </w:p>
    <w:p w:rsidR="0078335B" w:rsidP="0078335B">
      <w:pPr>
        <w:autoSpaceDE w:val="0"/>
        <w:autoSpaceDN w:val="0"/>
        <w:bidi w:val="0"/>
        <w:adjustRightInd w:val="0"/>
        <w:jc w:val="both"/>
        <w:rPr>
          <w:rFonts w:ascii="Times New Roman" w:hAnsi="Times New Roman"/>
        </w:rPr>
      </w:pPr>
      <w:r w:rsidRPr="00B171EF">
        <w:rPr>
          <w:rFonts w:ascii="Times New Roman" w:hAnsi="Times New Roman"/>
        </w:rPr>
        <w:tab/>
        <w:t>Ide o zosúladenie s navrhovanými úpravami § 33e ods. 5 zákona o bankách.</w:t>
      </w:r>
    </w:p>
    <w:p w:rsidR="00AD7E41" w:rsidP="0078335B">
      <w:pPr>
        <w:autoSpaceDE w:val="0"/>
        <w:autoSpaceDN w:val="0"/>
        <w:bidi w:val="0"/>
        <w:adjustRightInd w:val="0"/>
        <w:jc w:val="both"/>
        <w:rPr>
          <w:rFonts w:ascii="Times New Roman" w:hAnsi="Times New Roman"/>
        </w:rPr>
      </w:pPr>
    </w:p>
    <w:p w:rsidR="00AD7E41" w:rsidP="0078335B">
      <w:pPr>
        <w:autoSpaceDE w:val="0"/>
        <w:autoSpaceDN w:val="0"/>
        <w:bidi w:val="0"/>
        <w:adjustRightInd w:val="0"/>
        <w:jc w:val="both"/>
        <w:rPr>
          <w:rFonts w:ascii="Times New Roman" w:hAnsi="Times New Roman"/>
          <w:b/>
          <w:bCs/>
        </w:rPr>
      </w:pPr>
      <w:r w:rsidRPr="00285481">
        <w:rPr>
          <w:rFonts w:ascii="Times New Roman" w:hAnsi="Times New Roman"/>
          <w:b/>
          <w:bCs/>
        </w:rPr>
        <w:t>K</w:t>
      </w:r>
      <w:r>
        <w:rPr>
          <w:rFonts w:ascii="Times New Roman" w:hAnsi="Times New Roman"/>
          <w:b/>
          <w:bCs/>
        </w:rPr>
        <w:t> </w:t>
      </w:r>
      <w:r w:rsidRPr="00285481">
        <w:rPr>
          <w:rFonts w:ascii="Times New Roman" w:hAnsi="Times New Roman"/>
          <w:b/>
          <w:bCs/>
        </w:rPr>
        <w:t>bodu</w:t>
      </w:r>
      <w:r>
        <w:rPr>
          <w:rFonts w:ascii="Times New Roman" w:hAnsi="Times New Roman"/>
          <w:b/>
          <w:bCs/>
        </w:rPr>
        <w:t xml:space="preserve"> 1</w:t>
      </w:r>
      <w:r w:rsidR="00E1535B">
        <w:rPr>
          <w:rFonts w:ascii="Times New Roman" w:hAnsi="Times New Roman"/>
          <w:b/>
          <w:bCs/>
        </w:rPr>
        <w:t>6</w:t>
      </w:r>
    </w:p>
    <w:p w:rsidR="00AD7E41" w:rsidP="0078335B">
      <w:pPr>
        <w:autoSpaceDE w:val="0"/>
        <w:autoSpaceDN w:val="0"/>
        <w:bidi w:val="0"/>
        <w:adjustRightInd w:val="0"/>
        <w:jc w:val="both"/>
        <w:rPr>
          <w:rFonts w:ascii="Times New Roman" w:hAnsi="Times New Roman"/>
          <w:b/>
          <w:bCs/>
        </w:rPr>
      </w:pPr>
    </w:p>
    <w:p w:rsidR="009E60CE" w:rsidRPr="009E60CE" w:rsidP="009E60CE">
      <w:pPr>
        <w:autoSpaceDE w:val="0"/>
        <w:autoSpaceDN w:val="0"/>
        <w:bidi w:val="0"/>
        <w:adjustRightInd w:val="0"/>
        <w:ind w:firstLine="720"/>
        <w:jc w:val="both"/>
        <w:rPr>
          <w:rFonts w:ascii="Times New Roman" w:hAnsi="Times New Roman"/>
          <w:b/>
          <w:bCs/>
        </w:rPr>
      </w:pPr>
      <w:r w:rsidRPr="009E60CE">
        <w:rPr>
          <w:rFonts w:ascii="Times New Roman" w:hAnsi="Times New Roman"/>
          <w:bCs/>
        </w:rPr>
        <w:t>Navrhovaným znením zmien ide o úplnú transpozíciu smernice 2009/111/ES článku</w:t>
      </w:r>
      <w:r w:rsidR="000C3685">
        <w:rPr>
          <w:rFonts w:ascii="Times New Roman" w:hAnsi="Times New Roman"/>
          <w:bCs/>
        </w:rPr>
        <w:t xml:space="preserve"> 1 ods. 2 písm. b), ktorým sa mení čl.</w:t>
      </w:r>
      <w:r w:rsidRPr="009E60CE">
        <w:rPr>
          <w:rFonts w:ascii="Times New Roman" w:hAnsi="Times New Roman"/>
          <w:bCs/>
        </w:rPr>
        <w:t xml:space="preserve"> 4 bod 45 písm. b)</w:t>
      </w:r>
      <w:r w:rsidR="000C3685">
        <w:rPr>
          <w:rFonts w:ascii="Times New Roman" w:hAnsi="Times New Roman"/>
          <w:bCs/>
        </w:rPr>
        <w:t xml:space="preserve"> smernice 2006/48/ES</w:t>
      </w:r>
      <w:r w:rsidRPr="009E60CE">
        <w:rPr>
          <w:rFonts w:ascii="Times New Roman" w:hAnsi="Times New Roman"/>
          <w:bCs/>
        </w:rPr>
        <w:t xml:space="preserve">, </w:t>
      </w:r>
      <w:r w:rsidRPr="009E60CE">
        <w:rPr>
          <w:rFonts w:ascii="Times New Roman" w:hAnsi="Times New Roman" w:cs="Calibri"/>
        </w:rPr>
        <w:t>ak sa jedna z predmetných osôb dostane do finančných ťažkostí, najmä do ťažkostí s financovaním alebo splácaním, je pravdepodobné, že sa do ťažkostí s financovaním alebo splácaním dostane aj druhá z osôb, resp. všetky ostatné.</w:t>
      </w:r>
    </w:p>
    <w:p w:rsidR="00AD7E41" w:rsidRPr="009E60CE" w:rsidP="0078335B">
      <w:pPr>
        <w:autoSpaceDE w:val="0"/>
        <w:autoSpaceDN w:val="0"/>
        <w:bidi w:val="0"/>
        <w:adjustRightInd w:val="0"/>
        <w:jc w:val="both"/>
        <w:rPr>
          <w:rFonts w:ascii="Times New Roman" w:hAnsi="Times New Roman"/>
          <w:b/>
          <w:bCs/>
        </w:rPr>
      </w:pPr>
    </w:p>
    <w:p w:rsidR="0078335B" w:rsidRPr="00FD0C70" w:rsidP="00D91CDA">
      <w:pPr>
        <w:autoSpaceDE w:val="0"/>
        <w:autoSpaceDN w:val="0"/>
        <w:bidi w:val="0"/>
        <w:adjustRightInd w:val="0"/>
        <w:jc w:val="both"/>
        <w:rPr>
          <w:rFonts w:ascii="Times New Roman" w:hAnsi="Times New Roman"/>
          <w:b/>
          <w:bCs/>
        </w:rPr>
      </w:pPr>
      <w:r w:rsidRPr="00285481" w:rsidR="00AD7E41">
        <w:rPr>
          <w:rFonts w:ascii="Times New Roman" w:hAnsi="Times New Roman"/>
          <w:b/>
          <w:bCs/>
        </w:rPr>
        <w:t>K</w:t>
      </w:r>
      <w:r w:rsidR="00AD7E41">
        <w:rPr>
          <w:rFonts w:ascii="Times New Roman" w:hAnsi="Times New Roman"/>
          <w:b/>
          <w:bCs/>
        </w:rPr>
        <w:t> </w:t>
      </w:r>
      <w:r w:rsidRPr="00285481" w:rsidR="00AD7E41">
        <w:rPr>
          <w:rFonts w:ascii="Times New Roman" w:hAnsi="Times New Roman"/>
          <w:b/>
          <w:bCs/>
        </w:rPr>
        <w:t>bodu</w:t>
      </w:r>
      <w:r w:rsidR="00AD7E41">
        <w:rPr>
          <w:rFonts w:ascii="Times New Roman" w:hAnsi="Times New Roman"/>
          <w:b/>
          <w:bCs/>
        </w:rPr>
        <w:t xml:space="preserve"> 1</w:t>
      </w:r>
      <w:r w:rsidR="00E1535B">
        <w:rPr>
          <w:rFonts w:ascii="Times New Roman" w:hAnsi="Times New Roman"/>
          <w:b/>
          <w:bCs/>
        </w:rPr>
        <w:t>7</w:t>
      </w:r>
    </w:p>
    <w:p w:rsidR="0078335B" w:rsidRPr="00C4792C" w:rsidP="0078335B">
      <w:pPr>
        <w:autoSpaceDE w:val="0"/>
        <w:autoSpaceDN w:val="0"/>
        <w:bidi w:val="0"/>
        <w:adjustRightInd w:val="0"/>
        <w:jc w:val="both"/>
        <w:rPr>
          <w:rFonts w:ascii="Times New Roman" w:hAnsi="Times New Roman"/>
        </w:rPr>
      </w:pPr>
    </w:p>
    <w:p w:rsidR="000179D8" w:rsidP="000179D8">
      <w:pPr>
        <w:autoSpaceDE w:val="0"/>
        <w:autoSpaceDN w:val="0"/>
        <w:bidi w:val="0"/>
        <w:adjustRightInd w:val="0"/>
        <w:jc w:val="both"/>
        <w:rPr>
          <w:rFonts w:ascii="Times New Roman" w:hAnsi="Times New Roman"/>
        </w:rPr>
      </w:pPr>
      <w:r>
        <w:rPr>
          <w:rFonts w:ascii="Times New Roman" w:hAnsi="Times New Roman"/>
        </w:rPr>
        <w:tab/>
        <w:t>Navrhovanou úpravou v §</w:t>
      </w:r>
      <w:r w:rsidR="000C3685">
        <w:rPr>
          <w:rFonts w:ascii="Times New Roman" w:hAnsi="Times New Roman"/>
        </w:rPr>
        <w:t xml:space="preserve"> </w:t>
      </w:r>
      <w:r>
        <w:rPr>
          <w:rFonts w:ascii="Times New Roman" w:hAnsi="Times New Roman"/>
        </w:rPr>
        <w:t>33e ods. 15 sa vnútorný odkaz na odseky 8 a 14 rozširuje o odkaz na odsek 3.</w:t>
      </w:r>
    </w:p>
    <w:p w:rsidR="00822636" w:rsidP="00FB560F">
      <w:pPr>
        <w:autoSpaceDE w:val="0"/>
        <w:autoSpaceDN w:val="0"/>
        <w:bidi w:val="0"/>
        <w:adjustRightInd w:val="0"/>
        <w:jc w:val="both"/>
        <w:rPr>
          <w:rFonts w:ascii="Times New Roman" w:hAnsi="Times New Roman"/>
        </w:rPr>
      </w:pPr>
    </w:p>
    <w:p w:rsidR="005109F5" w:rsidRPr="00FD0C70" w:rsidP="00FA2DDC">
      <w:pPr>
        <w:autoSpaceDE w:val="0"/>
        <w:autoSpaceDN w:val="0"/>
        <w:bidi w:val="0"/>
        <w:adjustRightInd w:val="0"/>
        <w:jc w:val="both"/>
        <w:rPr>
          <w:rFonts w:ascii="Times New Roman" w:hAnsi="Times New Roman"/>
          <w:b/>
          <w:bCs/>
        </w:rPr>
      </w:pPr>
      <w:r w:rsidRPr="00FD0C70">
        <w:rPr>
          <w:rFonts w:ascii="Times New Roman" w:hAnsi="Times New Roman"/>
          <w:b/>
          <w:bCs/>
        </w:rPr>
        <w:t>K bod</w:t>
      </w:r>
      <w:r w:rsidR="00FE23EB">
        <w:rPr>
          <w:rFonts w:ascii="Times New Roman" w:hAnsi="Times New Roman"/>
          <w:b/>
          <w:bCs/>
        </w:rPr>
        <w:t>om</w:t>
      </w:r>
      <w:r w:rsidRPr="00FD0C70">
        <w:rPr>
          <w:rFonts w:ascii="Times New Roman" w:hAnsi="Times New Roman"/>
          <w:b/>
          <w:bCs/>
        </w:rPr>
        <w:t xml:space="preserve"> </w:t>
      </w:r>
      <w:r w:rsidR="00AD7E41">
        <w:rPr>
          <w:rFonts w:ascii="Times New Roman" w:hAnsi="Times New Roman"/>
          <w:b/>
          <w:bCs/>
        </w:rPr>
        <w:t>1</w:t>
      </w:r>
      <w:r w:rsidR="00E1535B">
        <w:rPr>
          <w:rFonts w:ascii="Times New Roman" w:hAnsi="Times New Roman"/>
          <w:b/>
          <w:bCs/>
        </w:rPr>
        <w:t>8</w:t>
      </w:r>
      <w:r w:rsidR="00B518D7">
        <w:rPr>
          <w:rFonts w:ascii="Times New Roman" w:hAnsi="Times New Roman"/>
          <w:b/>
          <w:bCs/>
        </w:rPr>
        <w:t xml:space="preserve"> a 1</w:t>
      </w:r>
      <w:r w:rsidR="00E1535B">
        <w:rPr>
          <w:rFonts w:ascii="Times New Roman" w:hAnsi="Times New Roman"/>
          <w:b/>
          <w:bCs/>
        </w:rPr>
        <w:t>9</w:t>
      </w:r>
    </w:p>
    <w:p w:rsidR="005109F5" w:rsidRPr="00B268D1" w:rsidP="00FA2DDC">
      <w:pPr>
        <w:autoSpaceDE w:val="0"/>
        <w:autoSpaceDN w:val="0"/>
        <w:bidi w:val="0"/>
        <w:adjustRightInd w:val="0"/>
        <w:jc w:val="both"/>
        <w:rPr>
          <w:rFonts w:ascii="Times New Roman" w:hAnsi="Times New Roman"/>
        </w:rPr>
      </w:pPr>
    </w:p>
    <w:p w:rsidR="005109F5" w:rsidRPr="00B268D1" w:rsidP="00FA2DDC">
      <w:pPr>
        <w:autoSpaceDE w:val="0"/>
        <w:autoSpaceDN w:val="0"/>
        <w:bidi w:val="0"/>
        <w:adjustRightInd w:val="0"/>
        <w:jc w:val="both"/>
        <w:rPr>
          <w:rFonts w:ascii="Times New Roman" w:hAnsi="Times New Roman"/>
        </w:rPr>
      </w:pPr>
      <w:r w:rsidRPr="00B268D1">
        <w:rPr>
          <w:rFonts w:ascii="Times New Roman" w:hAnsi="Times New Roman"/>
        </w:rPr>
        <w:tab/>
      </w:r>
      <w:r w:rsidRPr="00B268D1">
        <w:rPr>
          <w:rFonts w:ascii="Times New Roman" w:hAnsi="Times New Roman"/>
          <w:lang w:eastAsia="sk-SK"/>
        </w:rPr>
        <w:t xml:space="preserve">Úprava </w:t>
      </w:r>
      <w:r w:rsidR="00580BCE">
        <w:rPr>
          <w:rFonts w:ascii="Times New Roman" w:hAnsi="Times New Roman"/>
          <w:lang w:eastAsia="sk-SK"/>
        </w:rPr>
        <w:t>§ 3</w:t>
      </w:r>
      <w:r w:rsidR="00CA0F0A">
        <w:rPr>
          <w:rFonts w:ascii="Times New Roman" w:hAnsi="Times New Roman"/>
          <w:lang w:eastAsia="sk-SK"/>
        </w:rPr>
        <w:t>8</w:t>
      </w:r>
      <w:r w:rsidR="00580BCE">
        <w:rPr>
          <w:rFonts w:ascii="Times New Roman" w:hAnsi="Times New Roman"/>
          <w:lang w:eastAsia="sk-SK"/>
        </w:rPr>
        <w:t xml:space="preserve"> </w:t>
      </w:r>
      <w:r w:rsidRPr="00B268D1">
        <w:rPr>
          <w:rFonts w:ascii="Times New Roman" w:hAnsi="Times New Roman"/>
          <w:lang w:eastAsia="sk-SK"/>
        </w:rPr>
        <w:t xml:space="preserve">odseku 3 a 4 precíznejšie formuluje, že dáta poskytnuté banke podľa odseku 3 môže banka ďalej poskytnúť klientovi, ktorého sa týkajú a že </w:t>
      </w:r>
      <w:r w:rsidR="00AD7E41">
        <w:rPr>
          <w:rFonts w:ascii="Times New Roman" w:hAnsi="Times New Roman"/>
          <w:lang w:eastAsia="sk-SK"/>
        </w:rPr>
        <w:t xml:space="preserve">tieto </w:t>
      </w:r>
      <w:r w:rsidRPr="00B268D1">
        <w:rPr>
          <w:rFonts w:ascii="Times New Roman" w:hAnsi="Times New Roman"/>
          <w:lang w:eastAsia="sk-SK"/>
        </w:rPr>
        <w:t>dáta, ktoré klient o sebe z registra získa, už nie sú predmetom bankového tajomstva.</w:t>
      </w:r>
    </w:p>
    <w:p w:rsidR="009609F4" w:rsidRPr="00736622" w:rsidP="00FA2DDC">
      <w:pPr>
        <w:autoSpaceDE w:val="0"/>
        <w:autoSpaceDN w:val="0"/>
        <w:bidi w:val="0"/>
        <w:adjustRightInd w:val="0"/>
        <w:jc w:val="both"/>
        <w:rPr>
          <w:rFonts w:ascii="Times New Roman" w:hAnsi="Times New Roman"/>
        </w:rPr>
      </w:pPr>
    </w:p>
    <w:p w:rsidR="00E1535B" w:rsidP="00FA2DDC">
      <w:pPr>
        <w:autoSpaceDE w:val="0"/>
        <w:autoSpaceDN w:val="0"/>
        <w:bidi w:val="0"/>
        <w:adjustRightInd w:val="0"/>
        <w:jc w:val="both"/>
        <w:rPr>
          <w:rFonts w:ascii="Times New Roman" w:hAnsi="Times New Roman"/>
          <w:b/>
          <w:bCs/>
        </w:rPr>
      </w:pPr>
      <w:r>
        <w:rPr>
          <w:rFonts w:ascii="Times New Roman" w:hAnsi="Times New Roman"/>
          <w:b/>
          <w:bCs/>
        </w:rPr>
        <w:t>K bodom 20 až 2</w:t>
      </w:r>
      <w:r w:rsidR="003E081A">
        <w:rPr>
          <w:rFonts w:ascii="Times New Roman" w:hAnsi="Times New Roman"/>
          <w:b/>
          <w:bCs/>
        </w:rPr>
        <w:t>3</w:t>
      </w:r>
    </w:p>
    <w:p w:rsidR="00E1535B" w:rsidP="00FA2DDC">
      <w:pPr>
        <w:autoSpaceDE w:val="0"/>
        <w:autoSpaceDN w:val="0"/>
        <w:bidi w:val="0"/>
        <w:adjustRightInd w:val="0"/>
        <w:jc w:val="both"/>
        <w:rPr>
          <w:rFonts w:ascii="Times New Roman" w:hAnsi="Times New Roman"/>
          <w:b/>
          <w:bCs/>
        </w:rPr>
      </w:pPr>
    </w:p>
    <w:p w:rsidR="00E1535B" w:rsidRPr="00E1535B" w:rsidP="00E1535B">
      <w:pPr>
        <w:bidi w:val="0"/>
        <w:ind w:firstLine="720"/>
        <w:jc w:val="both"/>
        <w:rPr>
          <w:rFonts w:ascii="Times New Roman" w:hAnsi="Times New Roman" w:cs="Calibri"/>
        </w:rPr>
      </w:pPr>
      <w:r w:rsidRPr="00E1535B">
        <w:rPr>
          <w:rFonts w:ascii="Times New Roman" w:hAnsi="Times New Roman" w:cs="Calibri"/>
        </w:rPr>
        <w:t>Pri praktickom uplatňovaní ustanovenia § 38a zákona bolo zistené, že toto neobsahuje podmienky na zabezpečenie primeranej bezpečnosti prevádzok bánk a pobočiek zahraničných bánk. Banky aj v prípade nefunkčnosti bezpečnostných opatrení povoľovali vstup verejnosti do priestorov, v ktorých sa uskutočňuje styk s klientmi a súčasne manipulácia s peňažnou hotovosťou, čím bola banka alebo pobočka zahraničnej banky vystavená zvýšenému riziku . Taktiež bola týmto sťažená možnosť objasnenia trestnej činnosti spáchanej konkrétnou osobou.</w:t>
      </w:r>
    </w:p>
    <w:p w:rsidR="00E1535B" w:rsidP="00FA2DDC">
      <w:pPr>
        <w:autoSpaceDE w:val="0"/>
        <w:autoSpaceDN w:val="0"/>
        <w:bidi w:val="0"/>
        <w:adjustRightInd w:val="0"/>
        <w:jc w:val="both"/>
        <w:rPr>
          <w:rFonts w:ascii="Times New Roman" w:hAnsi="Times New Roman"/>
          <w:b/>
          <w:bCs/>
        </w:rPr>
      </w:pPr>
    </w:p>
    <w:p w:rsidR="00E1535B" w:rsidP="00FA2DDC">
      <w:pPr>
        <w:autoSpaceDE w:val="0"/>
        <w:autoSpaceDN w:val="0"/>
        <w:bidi w:val="0"/>
        <w:adjustRightInd w:val="0"/>
        <w:jc w:val="both"/>
        <w:rPr>
          <w:rFonts w:ascii="Times New Roman" w:hAnsi="Times New Roman"/>
          <w:b/>
          <w:bCs/>
        </w:rPr>
      </w:pPr>
      <w:r>
        <w:rPr>
          <w:rFonts w:ascii="Times New Roman" w:hAnsi="Times New Roman"/>
          <w:b/>
          <w:bCs/>
        </w:rPr>
        <w:t>K bodom 2</w:t>
      </w:r>
      <w:r w:rsidR="003E081A">
        <w:rPr>
          <w:rFonts w:ascii="Times New Roman" w:hAnsi="Times New Roman"/>
          <w:b/>
          <w:bCs/>
        </w:rPr>
        <w:t>4</w:t>
      </w:r>
      <w:r>
        <w:rPr>
          <w:rFonts w:ascii="Times New Roman" w:hAnsi="Times New Roman"/>
          <w:b/>
          <w:bCs/>
        </w:rPr>
        <w:t xml:space="preserve"> a 2</w:t>
      </w:r>
      <w:r w:rsidR="003E081A">
        <w:rPr>
          <w:rFonts w:ascii="Times New Roman" w:hAnsi="Times New Roman"/>
          <w:b/>
          <w:bCs/>
        </w:rPr>
        <w:t>5</w:t>
      </w:r>
    </w:p>
    <w:p w:rsidR="00E1535B" w:rsidP="00FA2DDC">
      <w:pPr>
        <w:autoSpaceDE w:val="0"/>
        <w:autoSpaceDN w:val="0"/>
        <w:bidi w:val="0"/>
        <w:adjustRightInd w:val="0"/>
        <w:jc w:val="both"/>
        <w:rPr>
          <w:rFonts w:ascii="Times New Roman" w:hAnsi="Times New Roman"/>
          <w:b/>
          <w:bCs/>
        </w:rPr>
      </w:pPr>
    </w:p>
    <w:p w:rsidR="00DC7728" w:rsidRPr="00DC7728" w:rsidP="00DC7728">
      <w:pPr>
        <w:pStyle w:val="PlainText"/>
        <w:bidi w:val="0"/>
        <w:ind w:firstLine="720"/>
        <w:jc w:val="both"/>
        <w:rPr>
          <w:rFonts w:ascii="Times New Roman" w:hAnsi="Times New Roman" w:cs="Times New Roman"/>
          <w:sz w:val="24"/>
          <w:szCs w:val="24"/>
        </w:rPr>
      </w:pPr>
      <w:r w:rsidRPr="00DC7728" w:rsidR="00E1535B">
        <w:rPr>
          <w:rFonts w:ascii="Times New Roman" w:hAnsi="Times New Roman" w:cs="Times New Roman"/>
          <w:sz w:val="24"/>
          <w:szCs w:val="24"/>
        </w:rPr>
        <w:t>Účel zberu údajov z bánk a zahraničných bánk Ministerstvom financií SR je iný, než účel zberu údajov v Národnej banke Slovenska. Z tohto dôvodu sa riešia oddelene aj splnomocňovacie ustanovenia na vydanie po</w:t>
      </w:r>
      <w:r w:rsidRPr="00DC7728">
        <w:rPr>
          <w:rFonts w:ascii="Times New Roman" w:hAnsi="Times New Roman" w:cs="Times New Roman"/>
          <w:sz w:val="24"/>
          <w:szCs w:val="24"/>
        </w:rPr>
        <w:t>d</w:t>
      </w:r>
      <w:r w:rsidRPr="00DC7728" w:rsidR="00E1535B">
        <w:rPr>
          <w:rFonts w:ascii="Times New Roman" w:hAnsi="Times New Roman" w:cs="Times New Roman"/>
          <w:sz w:val="24"/>
          <w:szCs w:val="24"/>
        </w:rPr>
        <w:t xml:space="preserve">zákonných predpisov, ktoré </w:t>
      </w:r>
      <w:r w:rsidRPr="00DC7728">
        <w:rPr>
          <w:rFonts w:ascii="Times New Roman" w:hAnsi="Times New Roman" w:cs="Times New Roman"/>
          <w:sz w:val="24"/>
          <w:szCs w:val="24"/>
        </w:rPr>
        <w:t>zohľadňujú tieto rozdiely.</w:t>
      </w:r>
    </w:p>
    <w:p w:rsidR="00DC7728" w:rsidP="00FA2DDC">
      <w:pPr>
        <w:autoSpaceDE w:val="0"/>
        <w:autoSpaceDN w:val="0"/>
        <w:bidi w:val="0"/>
        <w:adjustRightInd w:val="0"/>
        <w:jc w:val="both"/>
        <w:rPr>
          <w:rFonts w:ascii="Times New Roman" w:hAnsi="Times New Roman"/>
          <w:b/>
          <w:bCs/>
        </w:rPr>
      </w:pPr>
    </w:p>
    <w:p w:rsidR="00DA4873" w:rsidRPr="00FD0C70" w:rsidP="00FA2DDC">
      <w:pPr>
        <w:autoSpaceDE w:val="0"/>
        <w:autoSpaceDN w:val="0"/>
        <w:bidi w:val="0"/>
        <w:adjustRightInd w:val="0"/>
        <w:jc w:val="both"/>
        <w:rPr>
          <w:rFonts w:ascii="Times New Roman" w:hAnsi="Times New Roman"/>
          <w:b/>
          <w:bCs/>
        </w:rPr>
      </w:pPr>
      <w:r w:rsidRPr="00FD0C70">
        <w:rPr>
          <w:rFonts w:ascii="Times New Roman" w:hAnsi="Times New Roman"/>
          <w:b/>
          <w:bCs/>
        </w:rPr>
        <w:t>K</w:t>
      </w:r>
      <w:r w:rsidRPr="00FD0C70" w:rsidR="00E44368">
        <w:rPr>
          <w:rFonts w:ascii="Times New Roman" w:hAnsi="Times New Roman"/>
          <w:b/>
          <w:bCs/>
        </w:rPr>
        <w:t> bodu</w:t>
      </w:r>
      <w:r w:rsidR="004F1991">
        <w:rPr>
          <w:rFonts w:ascii="Times New Roman" w:hAnsi="Times New Roman"/>
          <w:b/>
          <w:bCs/>
        </w:rPr>
        <w:t xml:space="preserve"> </w:t>
      </w:r>
      <w:r w:rsidR="00DC7728">
        <w:rPr>
          <w:rFonts w:ascii="Times New Roman" w:hAnsi="Times New Roman"/>
          <w:b/>
          <w:bCs/>
        </w:rPr>
        <w:t>26</w:t>
      </w:r>
    </w:p>
    <w:p w:rsidR="00DA4873" w:rsidRPr="00736622" w:rsidP="00FA2DDC">
      <w:pPr>
        <w:autoSpaceDE w:val="0"/>
        <w:autoSpaceDN w:val="0"/>
        <w:bidi w:val="0"/>
        <w:adjustRightInd w:val="0"/>
        <w:jc w:val="both"/>
        <w:rPr>
          <w:rFonts w:ascii="Times New Roman" w:hAnsi="Times New Roman"/>
        </w:rPr>
      </w:pPr>
    </w:p>
    <w:p w:rsidR="00D34CB3" w:rsidRPr="00736622" w:rsidP="00D34CB3">
      <w:pPr>
        <w:bidi w:val="0"/>
        <w:jc w:val="both"/>
        <w:rPr>
          <w:rFonts w:ascii="Times New Roman" w:hAnsi="Times New Roman"/>
        </w:rPr>
      </w:pPr>
      <w:r w:rsidRPr="00736622" w:rsidR="00DA4873">
        <w:rPr>
          <w:rFonts w:ascii="Times New Roman" w:hAnsi="Times New Roman"/>
        </w:rPr>
        <w:tab/>
        <w:t xml:space="preserve">Navrhovaným znením dochádza k transpozícii </w:t>
      </w:r>
      <w:r w:rsidR="007449BF">
        <w:rPr>
          <w:rFonts w:ascii="Times New Roman" w:hAnsi="Times New Roman"/>
        </w:rPr>
        <w:t>s</w:t>
      </w:r>
      <w:r w:rsidRPr="00736622" w:rsidR="00DA4873">
        <w:rPr>
          <w:rFonts w:ascii="Times New Roman" w:hAnsi="Times New Roman"/>
        </w:rPr>
        <w:t xml:space="preserve">mernice 2009/111/ES </w:t>
      </w:r>
      <w:r w:rsidR="00580BCE">
        <w:rPr>
          <w:rFonts w:ascii="Times New Roman" w:hAnsi="Times New Roman"/>
        </w:rPr>
        <w:t xml:space="preserve">článku 1 ods. </w:t>
      </w:r>
      <w:r w:rsidRPr="00736622" w:rsidR="00DA4873">
        <w:rPr>
          <w:rFonts w:ascii="Times New Roman" w:hAnsi="Times New Roman"/>
        </w:rPr>
        <w:t>31, ktorým sa mení článok 129</w:t>
      </w:r>
      <w:r w:rsidRPr="00736622" w:rsidR="00EC5D4D">
        <w:rPr>
          <w:rFonts w:ascii="Times New Roman" w:hAnsi="Times New Roman"/>
        </w:rPr>
        <w:t xml:space="preserve"> smernice 2006/48/ES</w:t>
      </w:r>
      <w:r w:rsidRPr="00736622" w:rsidR="00DA4873">
        <w:rPr>
          <w:rFonts w:ascii="Times New Roman" w:hAnsi="Times New Roman"/>
        </w:rPr>
        <w:t>.</w:t>
      </w:r>
      <w:r w:rsidRPr="00736622">
        <w:rPr>
          <w:rFonts w:ascii="Times New Roman" w:hAnsi="Times New Roman"/>
        </w:rPr>
        <w:t xml:space="preserve"> Predmetom zmeny je rozšírenie činností uvedených v pôvodnom znení článku 124 podliehajúcich plánovaniu a koordinácii činností dohľadu, o ďalšie činnosti uvedené v článkoch 123, 136, v kapitole 5 a v prílohe 5, a to v spolupráci s  príslušnými orgánmi</w:t>
      </w:r>
      <w:r w:rsidRPr="00736622" w:rsidR="00736622">
        <w:rPr>
          <w:rFonts w:ascii="Times New Roman" w:hAnsi="Times New Roman"/>
        </w:rPr>
        <w:t xml:space="preserve"> dohľadu</w:t>
      </w:r>
      <w:r w:rsidRPr="00736622">
        <w:rPr>
          <w:rFonts w:ascii="Times New Roman" w:hAnsi="Times New Roman"/>
        </w:rPr>
        <w:t>.</w:t>
      </w:r>
    </w:p>
    <w:p w:rsidR="00DA4873" w:rsidRPr="00736622" w:rsidP="00FA2DDC">
      <w:pPr>
        <w:autoSpaceDE w:val="0"/>
        <w:autoSpaceDN w:val="0"/>
        <w:bidi w:val="0"/>
        <w:adjustRightInd w:val="0"/>
        <w:jc w:val="both"/>
        <w:rPr>
          <w:rFonts w:ascii="Times New Roman" w:hAnsi="Times New Roman"/>
        </w:rPr>
      </w:pPr>
    </w:p>
    <w:p w:rsidR="00DA4873" w:rsidRPr="00FD0C70" w:rsidP="00FA2DDC">
      <w:pPr>
        <w:autoSpaceDE w:val="0"/>
        <w:autoSpaceDN w:val="0"/>
        <w:bidi w:val="0"/>
        <w:adjustRightInd w:val="0"/>
        <w:jc w:val="both"/>
        <w:rPr>
          <w:rFonts w:ascii="Times New Roman" w:hAnsi="Times New Roman"/>
          <w:b/>
          <w:bCs/>
        </w:rPr>
      </w:pPr>
      <w:r w:rsidRPr="00FD0C70" w:rsidR="00EC5D4D">
        <w:rPr>
          <w:rFonts w:ascii="Times New Roman" w:hAnsi="Times New Roman"/>
          <w:b/>
          <w:bCs/>
        </w:rPr>
        <w:t>K bodu</w:t>
      </w:r>
      <w:r w:rsidR="004F1991">
        <w:rPr>
          <w:rFonts w:ascii="Times New Roman" w:hAnsi="Times New Roman"/>
          <w:b/>
          <w:bCs/>
        </w:rPr>
        <w:t xml:space="preserve"> </w:t>
      </w:r>
      <w:r w:rsidR="00EB1558">
        <w:rPr>
          <w:rFonts w:ascii="Times New Roman" w:hAnsi="Times New Roman"/>
          <w:b/>
          <w:bCs/>
        </w:rPr>
        <w:t>2</w:t>
      </w:r>
      <w:r w:rsidR="00DC7728">
        <w:rPr>
          <w:rFonts w:ascii="Times New Roman" w:hAnsi="Times New Roman"/>
          <w:b/>
          <w:bCs/>
        </w:rPr>
        <w:t>7</w:t>
      </w:r>
    </w:p>
    <w:p w:rsidR="00DA4873" w:rsidRPr="00736622" w:rsidP="00FA2DDC">
      <w:pPr>
        <w:autoSpaceDE w:val="0"/>
        <w:autoSpaceDN w:val="0"/>
        <w:bidi w:val="0"/>
        <w:adjustRightInd w:val="0"/>
        <w:jc w:val="both"/>
        <w:rPr>
          <w:rFonts w:ascii="Times New Roman" w:hAnsi="Times New Roman"/>
        </w:rPr>
      </w:pPr>
    </w:p>
    <w:p w:rsidR="00C03268" w:rsidRPr="00736622" w:rsidP="00C03268">
      <w:pPr>
        <w:bidi w:val="0"/>
        <w:jc w:val="both"/>
        <w:rPr>
          <w:rFonts w:ascii="Times New Roman" w:hAnsi="Times New Roman"/>
        </w:rPr>
      </w:pPr>
      <w:r w:rsidRPr="00736622" w:rsidR="00DA4873">
        <w:rPr>
          <w:rFonts w:ascii="Times New Roman" w:hAnsi="Times New Roman"/>
        </w:rPr>
        <w:tab/>
        <w:t xml:space="preserve">Navrhovaným znením dochádza k transpozícii </w:t>
      </w:r>
      <w:r w:rsidR="007449BF">
        <w:rPr>
          <w:rFonts w:ascii="Times New Roman" w:hAnsi="Times New Roman"/>
        </w:rPr>
        <w:t>s</w:t>
      </w:r>
      <w:r w:rsidRPr="00736622" w:rsidR="00DA4873">
        <w:rPr>
          <w:rFonts w:ascii="Times New Roman" w:hAnsi="Times New Roman"/>
        </w:rPr>
        <w:t xml:space="preserve">mernice 2009/111/ES </w:t>
      </w:r>
      <w:r w:rsidR="00580BCE">
        <w:rPr>
          <w:rFonts w:ascii="Times New Roman" w:hAnsi="Times New Roman"/>
        </w:rPr>
        <w:t xml:space="preserve">článku 1 ods. </w:t>
      </w:r>
      <w:r w:rsidRPr="00736622" w:rsidR="00DA4873">
        <w:rPr>
          <w:rFonts w:ascii="Times New Roman" w:hAnsi="Times New Roman"/>
        </w:rPr>
        <w:t>31, ktorým sa mení článok 129</w:t>
      </w:r>
      <w:r w:rsidRPr="00736622" w:rsidR="00EC5D4D">
        <w:rPr>
          <w:rFonts w:ascii="Times New Roman" w:hAnsi="Times New Roman"/>
        </w:rPr>
        <w:t xml:space="preserve"> smernice 2006/48/ES</w:t>
      </w:r>
      <w:r w:rsidRPr="00736622" w:rsidR="00DA4873">
        <w:rPr>
          <w:rFonts w:ascii="Times New Roman" w:hAnsi="Times New Roman"/>
        </w:rPr>
        <w:t>.</w:t>
      </w:r>
      <w:r w:rsidRPr="00736622">
        <w:rPr>
          <w:rFonts w:ascii="Times New Roman" w:hAnsi="Times New Roman"/>
        </w:rPr>
        <w:t xml:space="preserve"> Predmetom zmeny je najmä zavedenie povinnosti </w:t>
      </w:r>
      <w:r w:rsidRPr="00736622">
        <w:rPr>
          <w:rFonts w:ascii="Times New Roman" w:hAnsi="Times New Roman"/>
          <w:lang w:eastAsia="sk-SK"/>
        </w:rPr>
        <w:t xml:space="preserve">plánovania a koordinácie činností dohľadu v spolupráci s príslušnými orgánmi </w:t>
      </w:r>
      <w:r w:rsidR="00EB1558">
        <w:rPr>
          <w:rFonts w:ascii="Times New Roman" w:hAnsi="Times New Roman"/>
          <w:lang w:eastAsia="sk-SK"/>
        </w:rPr>
        <w:t xml:space="preserve">dohľadu </w:t>
      </w:r>
      <w:r w:rsidRPr="00736622">
        <w:rPr>
          <w:rFonts w:ascii="Times New Roman" w:hAnsi="Times New Roman"/>
          <w:lang w:eastAsia="sk-SK"/>
        </w:rPr>
        <w:t xml:space="preserve">pri príprave na </w:t>
      </w:r>
      <w:r w:rsidR="00EB1558">
        <w:rPr>
          <w:rFonts w:ascii="Times New Roman" w:hAnsi="Times New Roman"/>
          <w:lang w:eastAsia="sk-SK"/>
        </w:rPr>
        <w:t xml:space="preserve">kritické </w:t>
      </w:r>
      <w:r w:rsidRPr="00736622" w:rsidR="00EB1558">
        <w:rPr>
          <w:rFonts w:ascii="Times New Roman" w:hAnsi="Times New Roman"/>
          <w:lang w:eastAsia="sk-SK"/>
        </w:rPr>
        <w:t xml:space="preserve"> </w:t>
      </w:r>
      <w:r w:rsidRPr="00736622">
        <w:rPr>
          <w:rFonts w:ascii="Times New Roman" w:hAnsi="Times New Roman"/>
          <w:lang w:eastAsia="sk-SK"/>
        </w:rPr>
        <w:t>situácie a počas nich</w:t>
      </w:r>
      <w:r w:rsidRPr="00736622" w:rsidR="00774212">
        <w:rPr>
          <w:rFonts w:ascii="Times New Roman" w:hAnsi="Times New Roman"/>
          <w:lang w:eastAsia="sk-SK"/>
        </w:rPr>
        <w:t>.</w:t>
      </w:r>
    </w:p>
    <w:p w:rsidR="007F71B6" w:rsidRPr="00FD0C70" w:rsidP="007F71B6">
      <w:pPr>
        <w:autoSpaceDE w:val="0"/>
        <w:autoSpaceDN w:val="0"/>
        <w:bidi w:val="0"/>
        <w:adjustRightInd w:val="0"/>
        <w:jc w:val="both"/>
        <w:rPr>
          <w:rFonts w:ascii="Times New Roman" w:hAnsi="Times New Roman"/>
          <w:b/>
          <w:bCs/>
        </w:rPr>
      </w:pPr>
      <w:r w:rsidRPr="00FD0C70">
        <w:rPr>
          <w:rFonts w:ascii="Times New Roman" w:hAnsi="Times New Roman"/>
          <w:b/>
          <w:bCs/>
        </w:rPr>
        <w:t>K bodu</w:t>
      </w:r>
      <w:r>
        <w:rPr>
          <w:rFonts w:ascii="Times New Roman" w:hAnsi="Times New Roman"/>
          <w:b/>
          <w:bCs/>
        </w:rPr>
        <w:t xml:space="preserve"> 28 </w:t>
      </w:r>
    </w:p>
    <w:p w:rsidR="007F71B6" w:rsidP="00FA2DDC">
      <w:pPr>
        <w:autoSpaceDE w:val="0"/>
        <w:autoSpaceDN w:val="0"/>
        <w:bidi w:val="0"/>
        <w:adjustRightInd w:val="0"/>
        <w:jc w:val="both"/>
        <w:rPr>
          <w:rFonts w:ascii="Times New Roman" w:hAnsi="Times New Roman"/>
        </w:rPr>
      </w:pPr>
    </w:p>
    <w:p w:rsidR="007F71B6" w:rsidP="007F71B6">
      <w:pPr>
        <w:bidi w:val="0"/>
        <w:ind w:firstLine="720"/>
        <w:jc w:val="both"/>
        <w:rPr>
          <w:rFonts w:ascii="Times New Roman" w:hAnsi="Times New Roman"/>
        </w:rPr>
      </w:pPr>
      <w:r>
        <w:rPr>
          <w:rFonts w:ascii="Times New Roman" w:hAnsi="Times New Roman"/>
        </w:rPr>
        <w:t>Ide o dosiahnutie súladu so smernicou 2006/48/ES a smernicou 2006/49/ES pokiaľ ide nutnosť zabezpečenia, aby orgány dohľadu členských štátov navzájom spolupracovali aj pri prijímaní rozhodnutí o vydaní predchádzajúceho súhlasu na používanie alebo zmenu vlastného modelu merania trhových rizík; doterajšie znenie ustanovenia zabezpečuje spoluprácu v prípade vlastných modelov merania kreditných rizík (napríklad prístup interných ratingov) a vlastných modelov merania operačných rizík (napríklad pokročilý prístup merania).</w:t>
      </w:r>
    </w:p>
    <w:p w:rsidR="007F71B6" w:rsidRPr="00736622" w:rsidP="00FA2DDC">
      <w:pPr>
        <w:autoSpaceDE w:val="0"/>
        <w:autoSpaceDN w:val="0"/>
        <w:bidi w:val="0"/>
        <w:adjustRightInd w:val="0"/>
        <w:jc w:val="both"/>
        <w:rPr>
          <w:rFonts w:ascii="Times New Roman" w:hAnsi="Times New Roman"/>
        </w:rPr>
      </w:pPr>
    </w:p>
    <w:p w:rsidR="004F1991" w:rsidRPr="00FD0C70" w:rsidP="00FA2DDC">
      <w:pPr>
        <w:autoSpaceDE w:val="0"/>
        <w:autoSpaceDN w:val="0"/>
        <w:bidi w:val="0"/>
        <w:adjustRightInd w:val="0"/>
        <w:jc w:val="both"/>
        <w:rPr>
          <w:rFonts w:ascii="Times New Roman" w:hAnsi="Times New Roman"/>
          <w:b/>
          <w:bCs/>
        </w:rPr>
      </w:pPr>
      <w:r w:rsidRPr="00FD0C70" w:rsidR="00EC5D4D">
        <w:rPr>
          <w:rFonts w:ascii="Times New Roman" w:hAnsi="Times New Roman"/>
          <w:b/>
          <w:bCs/>
        </w:rPr>
        <w:t>K bodu</w:t>
      </w:r>
      <w:r>
        <w:rPr>
          <w:rFonts w:ascii="Times New Roman" w:hAnsi="Times New Roman"/>
          <w:b/>
          <w:bCs/>
        </w:rPr>
        <w:t xml:space="preserve"> </w:t>
      </w:r>
      <w:r w:rsidR="00EB1558">
        <w:rPr>
          <w:rFonts w:ascii="Times New Roman" w:hAnsi="Times New Roman"/>
          <w:b/>
          <w:bCs/>
        </w:rPr>
        <w:t>2</w:t>
      </w:r>
      <w:r w:rsidR="007F71B6">
        <w:rPr>
          <w:rFonts w:ascii="Times New Roman" w:hAnsi="Times New Roman"/>
          <w:b/>
          <w:bCs/>
        </w:rPr>
        <w:t>9</w:t>
      </w:r>
      <w:r w:rsidR="00EB1558">
        <w:rPr>
          <w:rFonts w:ascii="Times New Roman" w:hAnsi="Times New Roman"/>
          <w:b/>
          <w:bCs/>
        </w:rPr>
        <w:t xml:space="preserve"> </w:t>
      </w:r>
    </w:p>
    <w:p w:rsidR="001A4419" w:rsidRPr="00736622" w:rsidP="00FA2DDC">
      <w:pPr>
        <w:autoSpaceDE w:val="0"/>
        <w:autoSpaceDN w:val="0"/>
        <w:bidi w:val="0"/>
        <w:adjustRightInd w:val="0"/>
        <w:jc w:val="both"/>
        <w:rPr>
          <w:rFonts w:ascii="Times New Roman" w:hAnsi="Times New Roman"/>
        </w:rPr>
      </w:pPr>
    </w:p>
    <w:p w:rsidR="00825503" w:rsidRPr="00736622" w:rsidP="00FA2DDC">
      <w:pPr>
        <w:pStyle w:val="Default"/>
        <w:bidi w:val="0"/>
        <w:jc w:val="both"/>
        <w:rPr>
          <w:rFonts w:ascii="Times New Roman" w:hAnsi="Times New Roman" w:cs="Times New Roman"/>
          <w:color w:val="auto"/>
        </w:rPr>
      </w:pPr>
      <w:r w:rsidRPr="00736622" w:rsidR="001A4419">
        <w:rPr>
          <w:rFonts w:ascii="Times New Roman" w:hAnsi="Times New Roman" w:cs="Times New Roman"/>
          <w:color w:val="auto"/>
        </w:rPr>
        <w:tab/>
        <w:t xml:space="preserve">Navrhovaným znením dochádza k transpozícii </w:t>
      </w:r>
      <w:r w:rsidR="007449BF">
        <w:rPr>
          <w:rFonts w:ascii="Times New Roman" w:hAnsi="Times New Roman" w:cs="Times New Roman"/>
          <w:color w:val="auto"/>
        </w:rPr>
        <w:t>s</w:t>
      </w:r>
      <w:r w:rsidRPr="00736622" w:rsidR="001A4419">
        <w:rPr>
          <w:rFonts w:ascii="Times New Roman" w:hAnsi="Times New Roman" w:cs="Times New Roman"/>
          <w:color w:val="auto"/>
        </w:rPr>
        <w:t xml:space="preserve">mernice 2009/111/ES </w:t>
      </w:r>
      <w:r w:rsidR="00580BCE">
        <w:rPr>
          <w:rFonts w:ascii="Times New Roman" w:hAnsi="Times New Roman" w:cs="Times New Roman"/>
          <w:color w:val="auto"/>
        </w:rPr>
        <w:t xml:space="preserve">článku 1 ods. </w:t>
      </w:r>
      <w:r w:rsidRPr="00736622" w:rsidR="001A4419">
        <w:rPr>
          <w:rFonts w:ascii="Times New Roman" w:hAnsi="Times New Roman" w:cs="Times New Roman"/>
          <w:color w:val="auto"/>
        </w:rPr>
        <w:t xml:space="preserve">31, ktorým sa dopĺňa </w:t>
      </w:r>
      <w:r w:rsidRPr="00736622" w:rsidR="00580BCE">
        <w:rPr>
          <w:rFonts w:ascii="Times New Roman" w:hAnsi="Times New Roman" w:cs="Times New Roman"/>
          <w:color w:val="auto"/>
        </w:rPr>
        <w:t>odsek</w:t>
      </w:r>
      <w:r w:rsidR="00580BCE">
        <w:rPr>
          <w:rFonts w:ascii="Times New Roman" w:hAnsi="Times New Roman" w:cs="Times New Roman"/>
          <w:color w:val="auto"/>
        </w:rPr>
        <w:t xml:space="preserve"> </w:t>
      </w:r>
      <w:r w:rsidRPr="00736622" w:rsidR="00580BCE">
        <w:rPr>
          <w:rFonts w:ascii="Times New Roman" w:hAnsi="Times New Roman" w:cs="Times New Roman"/>
          <w:color w:val="auto"/>
        </w:rPr>
        <w:t>3</w:t>
      </w:r>
      <w:r w:rsidR="00580BCE">
        <w:rPr>
          <w:rFonts w:ascii="Times New Roman" w:hAnsi="Times New Roman" w:cs="Times New Roman"/>
          <w:color w:val="auto"/>
        </w:rPr>
        <w:t xml:space="preserve"> </w:t>
      </w:r>
      <w:r w:rsidRPr="00736622" w:rsidR="001A4419">
        <w:rPr>
          <w:rFonts w:ascii="Times New Roman" w:hAnsi="Times New Roman" w:cs="Times New Roman"/>
          <w:color w:val="auto"/>
        </w:rPr>
        <w:t>v čl</w:t>
      </w:r>
      <w:r w:rsidRPr="00736622" w:rsidR="00B722F3">
        <w:rPr>
          <w:rFonts w:ascii="Times New Roman" w:hAnsi="Times New Roman" w:cs="Times New Roman"/>
          <w:color w:val="auto"/>
        </w:rPr>
        <w:t>án</w:t>
      </w:r>
      <w:r w:rsidRPr="00736622" w:rsidR="00EE2618">
        <w:rPr>
          <w:rFonts w:ascii="Times New Roman" w:hAnsi="Times New Roman" w:cs="Times New Roman"/>
          <w:color w:val="auto"/>
        </w:rPr>
        <w:t>ku</w:t>
      </w:r>
      <w:r w:rsidRPr="00736622" w:rsidR="001A4419">
        <w:rPr>
          <w:rFonts w:ascii="Times New Roman" w:hAnsi="Times New Roman" w:cs="Times New Roman"/>
          <w:color w:val="auto"/>
        </w:rPr>
        <w:t xml:space="preserve"> 129 </w:t>
      </w:r>
      <w:r w:rsidR="00580BCE">
        <w:rPr>
          <w:rFonts w:ascii="Times New Roman" w:hAnsi="Times New Roman" w:cs="Times New Roman"/>
          <w:color w:val="auto"/>
        </w:rPr>
        <w:t xml:space="preserve">smernice 2006/48/ES. </w:t>
      </w:r>
      <w:r w:rsidRPr="00736622">
        <w:rPr>
          <w:rFonts w:ascii="Times New Roman" w:hAnsi="Times New Roman" w:cs="Times New Roman"/>
          <w:color w:val="auto"/>
        </w:rPr>
        <w:t xml:space="preserve">Kolégiá orgánov dohľadu predstavujú ďalší a významný krok smerom k zefektívňovaniu spolupráce a konvergencie v oblasti dohľadu v Európskej únii. Spolupráca orgánov dohľadu, ktoré sa prostredníctvom kolégií zaoberajú skupinami a holdingovými spoločnosťami, ako aj ich dcérskymi spoločnosťami a pobočkami, predstavuje fázu vo vývoji smerom k ďalšej regulačnej konvergencii a integrácii dohľadu. Vzájomná dôvera medzi orgánmi dohľadu a rešpektovanie ich príslušných právomocí má zásadný význam. V prípade konfliktu medzi členmi kolégia v súvislosti s týmito rozdielnymi právomocami majú zásadný význam nestranné a nezávislé odporúčania, ako aj mechanizmy </w:t>
      </w:r>
      <w:r w:rsidRPr="00736622" w:rsidR="00AA68E2">
        <w:rPr>
          <w:rFonts w:ascii="Times New Roman" w:hAnsi="Times New Roman" w:cs="Times New Roman"/>
          <w:color w:val="auto"/>
        </w:rPr>
        <w:t>zverejňovania</w:t>
      </w:r>
      <w:r w:rsidRPr="00736622">
        <w:rPr>
          <w:rFonts w:ascii="Times New Roman" w:hAnsi="Times New Roman" w:cs="Times New Roman"/>
          <w:color w:val="auto"/>
        </w:rPr>
        <w:t xml:space="preserve"> a riešenia konfliktov na úrovni </w:t>
      </w:r>
      <w:r w:rsidRPr="00736622" w:rsidR="00736622">
        <w:rPr>
          <w:rFonts w:ascii="Times New Roman" w:hAnsi="Times New Roman" w:cs="Times New Roman"/>
          <w:color w:val="auto"/>
        </w:rPr>
        <w:t>Európskej únie</w:t>
      </w:r>
      <w:r w:rsidRPr="00736622">
        <w:rPr>
          <w:rFonts w:ascii="Times New Roman" w:hAnsi="Times New Roman" w:cs="Times New Roman"/>
          <w:color w:val="auto"/>
        </w:rPr>
        <w:t>.</w:t>
      </w:r>
    </w:p>
    <w:p w:rsidR="00EC5D4D" w:rsidRPr="00AD697F" w:rsidP="00FA2DDC">
      <w:pPr>
        <w:pStyle w:val="Default"/>
        <w:bidi w:val="0"/>
        <w:jc w:val="both"/>
        <w:rPr>
          <w:rFonts w:ascii="Times New Roman" w:hAnsi="Times New Roman" w:cs="Times New Roman"/>
          <w:color w:val="auto"/>
        </w:rPr>
      </w:pPr>
    </w:p>
    <w:p w:rsidR="001A4419" w:rsidRPr="00FD0C70" w:rsidP="00FA2DDC">
      <w:pPr>
        <w:autoSpaceDE w:val="0"/>
        <w:autoSpaceDN w:val="0"/>
        <w:bidi w:val="0"/>
        <w:adjustRightInd w:val="0"/>
        <w:jc w:val="both"/>
        <w:rPr>
          <w:rFonts w:ascii="Times New Roman" w:hAnsi="Times New Roman"/>
          <w:b/>
          <w:bCs/>
        </w:rPr>
      </w:pPr>
      <w:r w:rsidRPr="00FD0C70" w:rsidR="00EC5D4D">
        <w:rPr>
          <w:rFonts w:ascii="Times New Roman" w:hAnsi="Times New Roman"/>
          <w:b/>
          <w:bCs/>
        </w:rPr>
        <w:t>K bodu</w:t>
      </w:r>
      <w:r w:rsidR="004F1991">
        <w:rPr>
          <w:rFonts w:ascii="Times New Roman" w:hAnsi="Times New Roman"/>
          <w:b/>
          <w:bCs/>
        </w:rPr>
        <w:t xml:space="preserve"> </w:t>
      </w:r>
      <w:r w:rsidR="007F71B6">
        <w:rPr>
          <w:rFonts w:ascii="Times New Roman" w:hAnsi="Times New Roman"/>
          <w:b/>
          <w:bCs/>
        </w:rPr>
        <w:t>30</w:t>
      </w:r>
    </w:p>
    <w:p w:rsidR="001A4419" w:rsidRPr="00AD697F" w:rsidP="00FA2DDC">
      <w:pPr>
        <w:autoSpaceDE w:val="0"/>
        <w:autoSpaceDN w:val="0"/>
        <w:bidi w:val="0"/>
        <w:adjustRightInd w:val="0"/>
        <w:jc w:val="both"/>
        <w:rPr>
          <w:rFonts w:ascii="Times New Roman" w:hAnsi="Times New Roman"/>
        </w:rPr>
      </w:pPr>
    </w:p>
    <w:p w:rsidR="0011310D" w:rsidRPr="00AD697F" w:rsidP="0011310D">
      <w:pPr>
        <w:bidi w:val="0"/>
        <w:jc w:val="both"/>
        <w:rPr>
          <w:rFonts w:ascii="Times New Roman" w:hAnsi="Times New Roman"/>
        </w:rPr>
      </w:pPr>
      <w:r w:rsidRPr="00AD697F" w:rsidR="001A4419">
        <w:rPr>
          <w:rFonts w:ascii="Times New Roman" w:hAnsi="Times New Roman"/>
        </w:rPr>
        <w:tab/>
        <w:t xml:space="preserve">Navrhovaným znením dochádza k transpozícii </w:t>
      </w:r>
      <w:r w:rsidR="007449BF">
        <w:rPr>
          <w:rFonts w:ascii="Times New Roman" w:hAnsi="Times New Roman"/>
        </w:rPr>
        <w:t>s</w:t>
      </w:r>
      <w:r w:rsidRPr="00AD697F" w:rsidR="001A4419">
        <w:rPr>
          <w:rFonts w:ascii="Times New Roman" w:hAnsi="Times New Roman"/>
        </w:rPr>
        <w:t xml:space="preserve">mernice 2009/111/ES </w:t>
      </w:r>
      <w:r w:rsidR="00580BCE">
        <w:rPr>
          <w:rFonts w:ascii="Times New Roman" w:hAnsi="Times New Roman"/>
        </w:rPr>
        <w:t xml:space="preserve">článku 1 ods. </w:t>
      </w:r>
      <w:r w:rsidRPr="00AD697F" w:rsidR="001A4419">
        <w:rPr>
          <w:rFonts w:ascii="Times New Roman" w:hAnsi="Times New Roman"/>
        </w:rPr>
        <w:t>3</w:t>
      </w:r>
      <w:r w:rsidRPr="00AD697F" w:rsidR="00B722F3">
        <w:rPr>
          <w:rFonts w:ascii="Times New Roman" w:hAnsi="Times New Roman"/>
        </w:rPr>
        <w:t>2</w:t>
      </w:r>
      <w:r w:rsidRPr="00AD697F" w:rsidR="001A4419">
        <w:rPr>
          <w:rFonts w:ascii="Times New Roman" w:hAnsi="Times New Roman"/>
        </w:rPr>
        <w:t xml:space="preserve">, ktorým sa </w:t>
      </w:r>
      <w:r w:rsidRPr="00AD697F" w:rsidR="00B722F3">
        <w:rPr>
          <w:rFonts w:ascii="Times New Roman" w:hAnsi="Times New Roman"/>
        </w:rPr>
        <w:t>mení</w:t>
      </w:r>
      <w:r w:rsidRPr="00AD697F" w:rsidR="001A4419">
        <w:rPr>
          <w:rFonts w:ascii="Times New Roman" w:hAnsi="Times New Roman"/>
        </w:rPr>
        <w:t> č</w:t>
      </w:r>
      <w:r w:rsidRPr="00AD697F" w:rsidR="00B722F3">
        <w:rPr>
          <w:rFonts w:ascii="Times New Roman" w:hAnsi="Times New Roman"/>
        </w:rPr>
        <w:t>lánok</w:t>
      </w:r>
      <w:r w:rsidRPr="00AD697F" w:rsidR="001A4419">
        <w:rPr>
          <w:rFonts w:ascii="Times New Roman" w:hAnsi="Times New Roman"/>
        </w:rPr>
        <w:t xml:space="preserve"> 1</w:t>
      </w:r>
      <w:r w:rsidRPr="00AD697F" w:rsidR="00B722F3">
        <w:rPr>
          <w:rFonts w:ascii="Times New Roman" w:hAnsi="Times New Roman"/>
        </w:rPr>
        <w:t>30</w:t>
      </w:r>
      <w:r w:rsidRPr="00AD697F" w:rsidR="001A4419">
        <w:rPr>
          <w:rFonts w:ascii="Times New Roman" w:hAnsi="Times New Roman"/>
        </w:rPr>
        <w:t xml:space="preserve"> odsek </w:t>
      </w:r>
      <w:r w:rsidRPr="00AD697F" w:rsidR="00B722F3">
        <w:rPr>
          <w:rFonts w:ascii="Times New Roman" w:hAnsi="Times New Roman"/>
        </w:rPr>
        <w:t>1</w:t>
      </w:r>
      <w:r w:rsidRPr="00AD697F" w:rsidR="00E45D21">
        <w:rPr>
          <w:rFonts w:ascii="Times New Roman" w:hAnsi="Times New Roman"/>
        </w:rPr>
        <w:t xml:space="preserve"> smernice 2006/48/ES</w:t>
      </w:r>
      <w:r w:rsidRPr="00AD697F" w:rsidR="00B722F3">
        <w:rPr>
          <w:rFonts w:ascii="Times New Roman" w:hAnsi="Times New Roman"/>
        </w:rPr>
        <w:t xml:space="preserve">, </w:t>
      </w:r>
      <w:r w:rsidR="00AD697F">
        <w:rPr>
          <w:rFonts w:ascii="Times New Roman" w:hAnsi="Times New Roman"/>
        </w:rPr>
        <w:t xml:space="preserve">k transpozícii </w:t>
      </w:r>
      <w:r w:rsidRPr="00AD697F" w:rsidR="00EC5D4D">
        <w:rPr>
          <w:rFonts w:ascii="Times New Roman" w:hAnsi="Times New Roman"/>
        </w:rPr>
        <w:t xml:space="preserve">Smernice 2009/111/ES </w:t>
      </w:r>
      <w:r w:rsidR="007449BF">
        <w:rPr>
          <w:rFonts w:ascii="Times New Roman" w:hAnsi="Times New Roman"/>
        </w:rPr>
        <w:t>čl. 1 ods.</w:t>
      </w:r>
      <w:r w:rsidRPr="00AD697F" w:rsidR="00B722F3">
        <w:rPr>
          <w:rFonts w:ascii="Times New Roman" w:hAnsi="Times New Roman"/>
        </w:rPr>
        <w:t xml:space="preserve"> 5, ktorým sa mení článok 49 </w:t>
      </w:r>
      <w:r w:rsidRPr="00AD697F" w:rsidR="00EC5D4D">
        <w:rPr>
          <w:rFonts w:ascii="Times New Roman" w:hAnsi="Times New Roman"/>
        </w:rPr>
        <w:t xml:space="preserve">smernice 2006/48/ES </w:t>
      </w:r>
      <w:r w:rsidRPr="00AD697F" w:rsidR="00B722F3">
        <w:rPr>
          <w:rFonts w:ascii="Times New Roman" w:hAnsi="Times New Roman"/>
        </w:rPr>
        <w:t>a</w:t>
      </w:r>
      <w:r w:rsidR="00AD697F">
        <w:rPr>
          <w:rFonts w:ascii="Times New Roman" w:hAnsi="Times New Roman"/>
        </w:rPr>
        <w:t xml:space="preserve"> k transpozícii </w:t>
      </w:r>
      <w:r w:rsidRPr="00AD697F" w:rsidR="00EC5D4D">
        <w:rPr>
          <w:rFonts w:ascii="Times New Roman" w:hAnsi="Times New Roman"/>
        </w:rPr>
        <w:t xml:space="preserve">Smernice 2009/111/ES </w:t>
      </w:r>
      <w:r w:rsidR="007449BF">
        <w:rPr>
          <w:rFonts w:ascii="Times New Roman" w:hAnsi="Times New Roman"/>
        </w:rPr>
        <w:t>čl. 1 ods.</w:t>
      </w:r>
      <w:r w:rsidRPr="00AD697F" w:rsidR="00B722F3">
        <w:rPr>
          <w:rFonts w:ascii="Times New Roman" w:hAnsi="Times New Roman"/>
        </w:rPr>
        <w:t xml:space="preserve"> 6,</w:t>
      </w:r>
      <w:r w:rsidRPr="00AD697F" w:rsidR="00E45D21">
        <w:rPr>
          <w:rFonts w:ascii="Times New Roman" w:hAnsi="Times New Roman"/>
        </w:rPr>
        <w:t xml:space="preserve"> </w:t>
      </w:r>
      <w:r w:rsidRPr="00AD697F" w:rsidR="00B722F3">
        <w:rPr>
          <w:rFonts w:ascii="Times New Roman" w:hAnsi="Times New Roman"/>
        </w:rPr>
        <w:t>ktorým sa mení článok 50</w:t>
      </w:r>
      <w:r w:rsidRPr="00AD697F" w:rsidR="00EC5D4D">
        <w:rPr>
          <w:rFonts w:ascii="Times New Roman" w:hAnsi="Times New Roman"/>
        </w:rPr>
        <w:t xml:space="preserve"> smernice 2006/48/ES</w:t>
      </w:r>
      <w:r w:rsidRPr="00AD697F" w:rsidR="00B722F3">
        <w:rPr>
          <w:rFonts w:ascii="Times New Roman" w:hAnsi="Times New Roman"/>
        </w:rPr>
        <w:t>.</w:t>
      </w:r>
      <w:r w:rsidRPr="00AD697F">
        <w:rPr>
          <w:rFonts w:ascii="Times New Roman" w:hAnsi="Times New Roman"/>
        </w:rPr>
        <w:t xml:space="preserve"> Predmetom zmeny je najmä novo koncipovaný článok 130 odsek 1 smernice 2006/48/ES</w:t>
      </w:r>
      <w:r w:rsidRPr="00AD697F" w:rsidR="00114323">
        <w:rPr>
          <w:rFonts w:ascii="Times New Roman" w:hAnsi="Times New Roman"/>
        </w:rPr>
        <w:t xml:space="preserve"> (podporne aj novo koncipované články 49 a 50 smernice 2006/48/ES)</w:t>
      </w:r>
      <w:r w:rsidRPr="00AD697F">
        <w:rPr>
          <w:rFonts w:ascii="Times New Roman" w:hAnsi="Times New Roman"/>
        </w:rPr>
        <w:t>, v ktorom sa jednoznačnejšie určujú povinnosti orgánu dohľadu</w:t>
      </w:r>
      <w:r w:rsidR="00EB1558">
        <w:rPr>
          <w:rFonts w:ascii="Times New Roman" w:hAnsi="Times New Roman"/>
        </w:rPr>
        <w:t xml:space="preserve"> zodpovedného za výkon dohľadu na konsolidovanom základe</w:t>
      </w:r>
      <w:r w:rsidRPr="00AD697F">
        <w:rPr>
          <w:rFonts w:ascii="Times New Roman" w:hAnsi="Times New Roman"/>
        </w:rPr>
        <w:t xml:space="preserve"> v prípade, ak nastane </w:t>
      </w:r>
      <w:r w:rsidR="00EB1558">
        <w:rPr>
          <w:rFonts w:ascii="Times New Roman" w:hAnsi="Times New Roman"/>
        </w:rPr>
        <w:t xml:space="preserve"> kritická</w:t>
      </w:r>
      <w:r w:rsidRPr="00AD697F" w:rsidR="00EB1558">
        <w:rPr>
          <w:rFonts w:ascii="Times New Roman" w:hAnsi="Times New Roman"/>
        </w:rPr>
        <w:t xml:space="preserve"> </w:t>
      </w:r>
      <w:r w:rsidRPr="00AD697F">
        <w:rPr>
          <w:rFonts w:ascii="Times New Roman" w:hAnsi="Times New Roman"/>
        </w:rPr>
        <w:t>situácia vrátane nepriaznivého vývoja na finančných trhoch</w:t>
      </w:r>
      <w:r w:rsidRPr="00AD697F" w:rsidR="00114323">
        <w:rPr>
          <w:rFonts w:ascii="Times New Roman" w:hAnsi="Times New Roman"/>
        </w:rPr>
        <w:t xml:space="preserve"> a u</w:t>
      </w:r>
      <w:r w:rsidRPr="00AD697F">
        <w:rPr>
          <w:rFonts w:ascii="Times New Roman" w:hAnsi="Times New Roman"/>
        </w:rPr>
        <w:t xml:space="preserve">rčujú sa jednoznačne orgány, ktoré musia byť upozornené v prípade vzniku </w:t>
      </w:r>
      <w:r w:rsidRPr="00AD697F" w:rsidR="00114323">
        <w:rPr>
          <w:rFonts w:ascii="Times New Roman" w:hAnsi="Times New Roman"/>
        </w:rPr>
        <w:t>takejto situácie.</w:t>
      </w:r>
    </w:p>
    <w:p w:rsidR="001A4419" w:rsidRPr="00AD697F" w:rsidP="00FA2DDC">
      <w:pPr>
        <w:autoSpaceDE w:val="0"/>
        <w:autoSpaceDN w:val="0"/>
        <w:bidi w:val="0"/>
        <w:adjustRightInd w:val="0"/>
        <w:jc w:val="both"/>
        <w:rPr>
          <w:rFonts w:ascii="Times New Roman" w:hAnsi="Times New Roman"/>
        </w:rPr>
      </w:pPr>
    </w:p>
    <w:p w:rsidR="00B722F3" w:rsidRPr="00FD0C70" w:rsidP="00FA2DDC">
      <w:pPr>
        <w:autoSpaceDE w:val="0"/>
        <w:autoSpaceDN w:val="0"/>
        <w:bidi w:val="0"/>
        <w:adjustRightInd w:val="0"/>
        <w:jc w:val="both"/>
        <w:rPr>
          <w:rFonts w:ascii="Times New Roman" w:hAnsi="Times New Roman"/>
          <w:b/>
          <w:bCs/>
        </w:rPr>
      </w:pPr>
      <w:r w:rsidRPr="00FD0C70" w:rsidR="001641B0">
        <w:rPr>
          <w:rFonts w:ascii="Times New Roman" w:hAnsi="Times New Roman"/>
          <w:b/>
          <w:bCs/>
        </w:rPr>
        <w:t>K bodu</w:t>
      </w:r>
      <w:r w:rsidR="004F1991">
        <w:rPr>
          <w:rFonts w:ascii="Times New Roman" w:hAnsi="Times New Roman"/>
          <w:b/>
          <w:bCs/>
        </w:rPr>
        <w:t xml:space="preserve"> </w:t>
      </w:r>
      <w:r w:rsidR="00DC7728">
        <w:rPr>
          <w:rFonts w:ascii="Times New Roman" w:hAnsi="Times New Roman"/>
          <w:b/>
          <w:bCs/>
        </w:rPr>
        <w:t>3</w:t>
      </w:r>
      <w:r w:rsidR="007F71B6">
        <w:rPr>
          <w:rFonts w:ascii="Times New Roman" w:hAnsi="Times New Roman"/>
          <w:b/>
          <w:bCs/>
        </w:rPr>
        <w:t>1</w:t>
      </w:r>
    </w:p>
    <w:p w:rsidR="00B722F3" w:rsidRPr="007044DD" w:rsidP="00FA2DDC">
      <w:pPr>
        <w:autoSpaceDE w:val="0"/>
        <w:autoSpaceDN w:val="0"/>
        <w:bidi w:val="0"/>
        <w:adjustRightInd w:val="0"/>
        <w:jc w:val="both"/>
        <w:rPr>
          <w:rFonts w:ascii="Times New Roman" w:hAnsi="Times New Roman"/>
        </w:rPr>
      </w:pPr>
    </w:p>
    <w:p w:rsidR="00A75F0E" w:rsidP="00A75F0E">
      <w:pPr>
        <w:bidi w:val="0"/>
        <w:jc w:val="both"/>
        <w:rPr>
          <w:rFonts w:ascii="Times New Roman" w:hAnsi="Times New Roman"/>
        </w:rPr>
      </w:pPr>
      <w:r w:rsidRPr="007044DD" w:rsidR="00B722F3">
        <w:rPr>
          <w:rFonts w:ascii="Times New Roman" w:hAnsi="Times New Roman"/>
        </w:rPr>
        <w:tab/>
        <w:t xml:space="preserve">Navrhovaným znením dochádza k transpozícii Smernice 2009/111/ES </w:t>
      </w:r>
      <w:r w:rsidR="0076201D">
        <w:rPr>
          <w:rFonts w:ascii="Times New Roman" w:hAnsi="Times New Roman"/>
        </w:rPr>
        <w:t xml:space="preserve">článku 1 ods. </w:t>
      </w:r>
      <w:r w:rsidRPr="007044DD" w:rsidR="00B722F3">
        <w:rPr>
          <w:rFonts w:ascii="Times New Roman" w:hAnsi="Times New Roman"/>
        </w:rPr>
        <w:t>33, ktorým sa vkladá článok 131a ods. 1 a 2</w:t>
      </w:r>
      <w:r w:rsidRPr="007044DD" w:rsidR="00E45D21">
        <w:rPr>
          <w:rFonts w:ascii="Times New Roman" w:hAnsi="Times New Roman"/>
        </w:rPr>
        <w:t xml:space="preserve"> smernice 2006/48/ES</w:t>
      </w:r>
      <w:r w:rsidRPr="007044DD" w:rsidR="00B722F3">
        <w:rPr>
          <w:rFonts w:ascii="Times New Roman" w:hAnsi="Times New Roman"/>
        </w:rPr>
        <w:t>.</w:t>
      </w:r>
      <w:r w:rsidRPr="007044DD" w:rsidR="007044DD">
        <w:rPr>
          <w:rFonts w:ascii="Times New Roman" w:hAnsi="Times New Roman"/>
        </w:rPr>
        <w:t xml:space="preserve"> </w:t>
      </w:r>
      <w:r w:rsidRPr="007044DD">
        <w:rPr>
          <w:rFonts w:ascii="Times New Roman" w:hAnsi="Times New Roman"/>
        </w:rPr>
        <w:t>Predmetom doplnenia je nový článok 13</w:t>
      </w:r>
      <w:r w:rsidRPr="007044DD" w:rsidR="006376D0">
        <w:rPr>
          <w:rFonts w:ascii="Times New Roman" w:hAnsi="Times New Roman"/>
        </w:rPr>
        <w:t>1</w:t>
      </w:r>
      <w:r w:rsidRPr="007044DD">
        <w:rPr>
          <w:rFonts w:ascii="Times New Roman" w:hAnsi="Times New Roman"/>
        </w:rPr>
        <w:t xml:space="preserve">a ods. 1 a 2, ktorým sa určujú povinnosti pri zriaďovaní </w:t>
      </w:r>
      <w:r w:rsidRPr="007044DD" w:rsidR="00C63AF7">
        <w:rPr>
          <w:rFonts w:ascii="Times New Roman" w:hAnsi="Times New Roman"/>
        </w:rPr>
        <w:t>kolégií orgánov dohľadu na účely zjednodušenia plnenia úloh uvedených v článku 129 a</w:t>
      </w:r>
      <w:r w:rsidR="007044DD">
        <w:rPr>
          <w:rFonts w:ascii="Times New Roman" w:hAnsi="Times New Roman"/>
        </w:rPr>
        <w:t> </w:t>
      </w:r>
      <w:r w:rsidRPr="007044DD" w:rsidR="00C63AF7">
        <w:rPr>
          <w:rFonts w:ascii="Times New Roman" w:hAnsi="Times New Roman"/>
        </w:rPr>
        <w:t>13</w:t>
      </w:r>
      <w:r w:rsidR="007044DD">
        <w:rPr>
          <w:rFonts w:ascii="Times New Roman" w:hAnsi="Times New Roman"/>
        </w:rPr>
        <w:t>0 odsek 1 smernice 2006/48/ES;</w:t>
      </w:r>
      <w:r w:rsidRPr="007044DD" w:rsidR="00C63AF7">
        <w:rPr>
          <w:rFonts w:ascii="Times New Roman" w:hAnsi="Times New Roman"/>
        </w:rPr>
        <w:t xml:space="preserve"> určujú sa úlohy kolégií orgánov dohľadu, povinnosť spolupráce, možnosť výmeny informácií</w:t>
      </w:r>
      <w:r w:rsidRPr="007044DD" w:rsidR="00313DAE">
        <w:rPr>
          <w:rFonts w:ascii="Times New Roman" w:hAnsi="Times New Roman"/>
        </w:rPr>
        <w:t>, ako povinnosti orgánu dohľadu</w:t>
      </w:r>
      <w:r w:rsidR="002F01F3">
        <w:rPr>
          <w:rFonts w:ascii="Times New Roman" w:hAnsi="Times New Roman"/>
        </w:rPr>
        <w:t xml:space="preserve"> zodpovedného za výkon dohľadu na konsolidovanom základe</w:t>
      </w:r>
      <w:r w:rsidRPr="007044DD" w:rsidR="00313DAE">
        <w:rPr>
          <w:rFonts w:ascii="Times New Roman" w:hAnsi="Times New Roman"/>
        </w:rPr>
        <w:t xml:space="preserve"> v rámci kolégií </w:t>
      </w:r>
      <w:r w:rsidR="00CA0F0A">
        <w:rPr>
          <w:rFonts w:ascii="Times New Roman" w:hAnsi="Times New Roman"/>
        </w:rPr>
        <w:t xml:space="preserve">orgánov </w:t>
      </w:r>
      <w:r w:rsidRPr="007044DD" w:rsidR="00313DAE">
        <w:rPr>
          <w:rFonts w:ascii="Times New Roman" w:hAnsi="Times New Roman"/>
        </w:rPr>
        <w:t>dohľadu.</w:t>
      </w:r>
    </w:p>
    <w:p w:rsidR="005718F2" w:rsidP="00A75F0E">
      <w:pPr>
        <w:bidi w:val="0"/>
        <w:jc w:val="both"/>
        <w:rPr>
          <w:rFonts w:ascii="Times New Roman" w:hAnsi="Times New Roman"/>
        </w:rPr>
      </w:pPr>
    </w:p>
    <w:p w:rsidR="005718F2" w:rsidRPr="005718F2" w:rsidP="00A75F0E">
      <w:pPr>
        <w:bidi w:val="0"/>
        <w:jc w:val="both"/>
        <w:rPr>
          <w:rFonts w:ascii="Times New Roman" w:hAnsi="Times New Roman"/>
          <w:b/>
          <w:bCs/>
        </w:rPr>
      </w:pPr>
      <w:r w:rsidRPr="005718F2">
        <w:rPr>
          <w:rFonts w:ascii="Times New Roman" w:hAnsi="Times New Roman"/>
          <w:b/>
          <w:bCs/>
        </w:rPr>
        <w:t xml:space="preserve">K bodu </w:t>
      </w:r>
      <w:r w:rsidR="00DC7728">
        <w:rPr>
          <w:rFonts w:ascii="Times New Roman" w:hAnsi="Times New Roman"/>
          <w:b/>
          <w:bCs/>
        </w:rPr>
        <w:t>3</w:t>
      </w:r>
      <w:r w:rsidR="007F71B6">
        <w:rPr>
          <w:rFonts w:ascii="Times New Roman" w:hAnsi="Times New Roman"/>
          <w:b/>
          <w:bCs/>
        </w:rPr>
        <w:t>2</w:t>
      </w:r>
    </w:p>
    <w:p w:rsidR="005718F2" w:rsidP="00A75F0E">
      <w:pPr>
        <w:bidi w:val="0"/>
        <w:jc w:val="both"/>
        <w:rPr>
          <w:rFonts w:ascii="Times New Roman" w:hAnsi="Times New Roman"/>
        </w:rPr>
      </w:pPr>
    </w:p>
    <w:p w:rsidR="005718F2" w:rsidRPr="007044DD" w:rsidP="00A75F0E">
      <w:pPr>
        <w:bidi w:val="0"/>
        <w:jc w:val="both"/>
        <w:rPr>
          <w:rFonts w:ascii="Times New Roman" w:hAnsi="Times New Roman"/>
        </w:rPr>
      </w:pPr>
      <w:r>
        <w:rPr>
          <w:rFonts w:ascii="Times New Roman" w:hAnsi="Times New Roman"/>
        </w:rPr>
        <w:tab/>
        <w:t xml:space="preserve">Legislatívno-technická zmena. </w:t>
      </w:r>
      <w:r>
        <w:rPr>
          <w:rFonts w:ascii="Times New Roman" w:hAnsi="Times New Roman"/>
          <w:color w:val="000000"/>
        </w:rPr>
        <w:t>Návrh zmeny súvisí s prečíslovaním odsekov § 6 zákona o bankách podľa tohto návrhu zákona.</w:t>
      </w:r>
    </w:p>
    <w:p w:rsidR="00313DAE" w:rsidP="00FA2DDC">
      <w:pPr>
        <w:bidi w:val="0"/>
        <w:jc w:val="both"/>
        <w:rPr>
          <w:rFonts w:ascii="Times New Roman" w:hAnsi="Times New Roman"/>
        </w:rPr>
      </w:pPr>
    </w:p>
    <w:p w:rsidR="007F7EE9" w:rsidP="00FA2DDC">
      <w:pPr>
        <w:bidi w:val="0"/>
        <w:jc w:val="both"/>
        <w:rPr>
          <w:rFonts w:ascii="Times New Roman" w:hAnsi="Times New Roman"/>
          <w:b/>
          <w:bCs/>
        </w:rPr>
      </w:pPr>
    </w:p>
    <w:p w:rsidR="007F7EE9" w:rsidP="00FA2DDC">
      <w:pPr>
        <w:bidi w:val="0"/>
        <w:jc w:val="both"/>
        <w:rPr>
          <w:rFonts w:ascii="Times New Roman" w:hAnsi="Times New Roman"/>
          <w:b/>
          <w:bCs/>
        </w:rPr>
      </w:pPr>
    </w:p>
    <w:p w:rsidR="007F7EE9" w:rsidP="00FA2DDC">
      <w:pPr>
        <w:bidi w:val="0"/>
        <w:jc w:val="both"/>
        <w:rPr>
          <w:rFonts w:ascii="Times New Roman" w:hAnsi="Times New Roman"/>
          <w:b/>
          <w:bCs/>
        </w:rPr>
      </w:pPr>
    </w:p>
    <w:p w:rsidR="002F01F3" w:rsidP="00FA2DDC">
      <w:pPr>
        <w:bidi w:val="0"/>
        <w:jc w:val="both"/>
        <w:rPr>
          <w:rFonts w:ascii="Times New Roman" w:hAnsi="Times New Roman"/>
          <w:b/>
          <w:bCs/>
        </w:rPr>
      </w:pPr>
      <w:r w:rsidRPr="005718F2">
        <w:rPr>
          <w:rFonts w:ascii="Times New Roman" w:hAnsi="Times New Roman"/>
          <w:b/>
          <w:bCs/>
        </w:rPr>
        <w:t>K</w:t>
      </w:r>
      <w:r>
        <w:rPr>
          <w:rFonts w:ascii="Times New Roman" w:hAnsi="Times New Roman"/>
          <w:b/>
          <w:bCs/>
        </w:rPr>
        <w:t> </w:t>
      </w:r>
      <w:r w:rsidRPr="005718F2">
        <w:rPr>
          <w:rFonts w:ascii="Times New Roman" w:hAnsi="Times New Roman"/>
          <w:b/>
          <w:bCs/>
        </w:rPr>
        <w:t>bodu</w:t>
      </w:r>
      <w:r>
        <w:rPr>
          <w:rFonts w:ascii="Times New Roman" w:hAnsi="Times New Roman"/>
          <w:b/>
          <w:bCs/>
        </w:rPr>
        <w:t xml:space="preserve"> </w:t>
      </w:r>
      <w:r w:rsidR="00DC7728">
        <w:rPr>
          <w:rFonts w:ascii="Times New Roman" w:hAnsi="Times New Roman"/>
          <w:b/>
          <w:bCs/>
        </w:rPr>
        <w:t>3</w:t>
      </w:r>
      <w:r w:rsidR="007F71B6">
        <w:rPr>
          <w:rFonts w:ascii="Times New Roman" w:hAnsi="Times New Roman"/>
          <w:b/>
          <w:bCs/>
        </w:rPr>
        <w:t>3</w:t>
      </w:r>
    </w:p>
    <w:p w:rsidR="002F01F3" w:rsidP="00FA2DDC">
      <w:pPr>
        <w:bidi w:val="0"/>
        <w:jc w:val="both"/>
        <w:rPr>
          <w:rFonts w:ascii="Times New Roman" w:hAnsi="Times New Roman"/>
          <w:b/>
          <w:bCs/>
        </w:rPr>
      </w:pPr>
    </w:p>
    <w:p w:rsidR="002752C4" w:rsidRPr="002752C4" w:rsidP="002752C4">
      <w:pPr>
        <w:bidi w:val="0"/>
        <w:ind w:firstLine="720"/>
        <w:jc w:val="both"/>
        <w:rPr>
          <w:rFonts w:ascii="Times New Roman" w:hAnsi="Times New Roman"/>
          <w:b/>
          <w:bCs/>
        </w:rPr>
      </w:pPr>
      <w:r w:rsidR="002F01F3">
        <w:rPr>
          <w:rFonts w:ascii="Times New Roman" w:hAnsi="Times New Roman"/>
        </w:rPr>
        <w:t>Legislatívno-technická zmena</w:t>
      </w:r>
      <w:r w:rsidR="007449BF">
        <w:rPr>
          <w:rFonts w:ascii="Times New Roman" w:hAnsi="Times New Roman" w:cs="Calibri"/>
        </w:rPr>
        <w:t xml:space="preserve"> v</w:t>
      </w:r>
      <w:r w:rsidRPr="002752C4">
        <w:rPr>
          <w:rFonts w:ascii="Times New Roman" w:hAnsi="Times New Roman" w:cs="Calibri"/>
        </w:rPr>
        <w:t>zhľadom k tomu, že právo Európskych spoločenstiev sa na základe Lisabonskej zmluvy, ktorou sa mení a dopĺňa Zmluva o Európskej únii a Zmluva o založení Európskeho spoločenstva, recipovalo do práva Európskej únie</w:t>
      </w:r>
      <w:r w:rsidR="009E3081">
        <w:rPr>
          <w:rFonts w:ascii="Times New Roman" w:hAnsi="Times New Roman" w:cs="Calibri"/>
        </w:rPr>
        <w:t>.</w:t>
      </w:r>
    </w:p>
    <w:p w:rsidR="002F01F3" w:rsidRPr="003648A9" w:rsidP="00FA2DDC">
      <w:pPr>
        <w:bidi w:val="0"/>
        <w:jc w:val="both"/>
        <w:rPr>
          <w:rFonts w:ascii="Times New Roman" w:hAnsi="Times New Roman"/>
        </w:rPr>
      </w:pPr>
    </w:p>
    <w:p w:rsidR="0044756A" w:rsidP="00FA2DDC">
      <w:pPr>
        <w:bidi w:val="0"/>
        <w:jc w:val="both"/>
        <w:rPr>
          <w:rFonts w:ascii="Times New Roman" w:hAnsi="Times New Roman"/>
          <w:b/>
          <w:bCs/>
        </w:rPr>
      </w:pPr>
      <w:r w:rsidR="002F01F3">
        <w:rPr>
          <w:rFonts w:ascii="Times New Roman" w:hAnsi="Times New Roman"/>
          <w:b/>
          <w:bCs/>
        </w:rPr>
        <w:t>K </w:t>
      </w:r>
      <w:r w:rsidRPr="00FD0C70" w:rsidR="002F01F3">
        <w:rPr>
          <w:rFonts w:ascii="Times New Roman" w:hAnsi="Times New Roman"/>
          <w:b/>
          <w:bCs/>
        </w:rPr>
        <w:t>bodu</w:t>
      </w:r>
      <w:r w:rsidR="002F01F3">
        <w:rPr>
          <w:rFonts w:ascii="Times New Roman" w:hAnsi="Times New Roman"/>
          <w:b/>
          <w:bCs/>
        </w:rPr>
        <w:t xml:space="preserve"> </w:t>
      </w:r>
      <w:r w:rsidR="00DC7728">
        <w:rPr>
          <w:rFonts w:ascii="Times New Roman" w:hAnsi="Times New Roman"/>
          <w:b/>
          <w:bCs/>
        </w:rPr>
        <w:t>3</w:t>
      </w:r>
      <w:r w:rsidR="00A5798D">
        <w:rPr>
          <w:rFonts w:ascii="Times New Roman" w:hAnsi="Times New Roman"/>
          <w:b/>
          <w:bCs/>
        </w:rPr>
        <w:t>4</w:t>
      </w:r>
    </w:p>
    <w:p w:rsidR="002F01F3" w:rsidP="00FA2DDC">
      <w:pPr>
        <w:bidi w:val="0"/>
        <w:jc w:val="both"/>
        <w:rPr>
          <w:rFonts w:ascii="Times New Roman" w:hAnsi="Times New Roman"/>
          <w:b/>
          <w:bCs/>
        </w:rPr>
      </w:pPr>
    </w:p>
    <w:p w:rsidR="002F01F3" w:rsidP="007449BF">
      <w:pPr>
        <w:bidi w:val="0"/>
        <w:ind w:firstLine="720"/>
        <w:jc w:val="both"/>
        <w:rPr>
          <w:rFonts w:ascii="Times New Roman" w:hAnsi="Times New Roman" w:cs="Calibri"/>
        </w:rPr>
      </w:pPr>
      <w:r w:rsidRPr="002F01F3">
        <w:rPr>
          <w:rFonts w:ascii="Times New Roman" w:hAnsi="Times New Roman" w:cs="Calibri"/>
        </w:rPr>
        <w:t xml:space="preserve">Na základe poznatkov z praxe sa navrhuje novelizácia ustanovenia § 50 odseku 10 zákona o bankách tak, aby sa zabezpečila jeho harmonizácia s obsahovo obdobnými ustanoveniami iných zákonov v oblasti finančného trhu (napríklad s § 106 ods. 6 zákona </w:t>
      </w:r>
      <w:r w:rsidRPr="007449BF" w:rsidR="007449BF">
        <w:rPr>
          <w:rFonts w:ascii="Times New Roman" w:hAnsi="Times New Roman" w:cs="Calibri"/>
        </w:rPr>
        <w:t>č.</w:t>
      </w:r>
      <w:r w:rsidR="007449BF">
        <w:rPr>
          <w:rFonts w:ascii="Times New Roman" w:hAnsi="Times New Roman" w:cs="Calibri"/>
        </w:rPr>
        <w:t xml:space="preserve"> </w:t>
      </w:r>
      <w:r w:rsidRPr="007449BF" w:rsidR="007449BF">
        <w:rPr>
          <w:rFonts w:ascii="Times New Roman" w:hAnsi="Times New Roman" w:cs="Calibri"/>
        </w:rPr>
        <w:t>594/2003 Z. z. o kolektívnom investovaní a o zmene a doplnení niektorých zákono</w:t>
      </w:r>
      <w:r w:rsidR="007449BF">
        <w:rPr>
          <w:rFonts w:ascii="Times New Roman" w:hAnsi="Times New Roman" w:cs="Calibri"/>
        </w:rPr>
        <w:t>v v znení neskorších predpisov</w:t>
      </w:r>
      <w:r w:rsidRPr="002F01F3">
        <w:rPr>
          <w:rFonts w:ascii="Times New Roman" w:hAnsi="Times New Roman" w:cs="Calibri"/>
        </w:rPr>
        <w:t>)</w:t>
      </w:r>
      <w:r w:rsidR="007449BF">
        <w:rPr>
          <w:rFonts w:ascii="Times New Roman" w:hAnsi="Times New Roman" w:cs="Calibri"/>
        </w:rPr>
        <w:t>,</w:t>
      </w:r>
      <w:r w:rsidRPr="002F01F3">
        <w:rPr>
          <w:rFonts w:ascii="Times New Roman" w:hAnsi="Times New Roman" w:cs="Calibri"/>
        </w:rPr>
        <w:t xml:space="preserve"> čím sa vytvárajú legislatívne predpoklady na zdokonalenie interpretácie a aplikácie § 50 ods. 10 zákona o bankách v záujme efektívneho výkonu dohľadu.</w:t>
      </w:r>
    </w:p>
    <w:p w:rsidR="002F01F3" w:rsidP="002F01F3">
      <w:pPr>
        <w:bidi w:val="0"/>
        <w:ind w:firstLine="720"/>
        <w:jc w:val="both"/>
        <w:rPr>
          <w:rFonts w:ascii="Times New Roman" w:hAnsi="Times New Roman"/>
          <w:b/>
          <w:bCs/>
        </w:rPr>
      </w:pPr>
    </w:p>
    <w:p w:rsidR="002F01F3" w:rsidP="00FA2DDC">
      <w:pPr>
        <w:bidi w:val="0"/>
        <w:jc w:val="both"/>
        <w:rPr>
          <w:rFonts w:ascii="Times New Roman" w:hAnsi="Times New Roman"/>
          <w:b/>
          <w:bCs/>
        </w:rPr>
      </w:pPr>
      <w:r w:rsidRPr="00FD0C70">
        <w:rPr>
          <w:rFonts w:ascii="Times New Roman" w:hAnsi="Times New Roman"/>
          <w:b/>
          <w:bCs/>
        </w:rPr>
        <w:t>K</w:t>
      </w:r>
      <w:r>
        <w:rPr>
          <w:rFonts w:ascii="Times New Roman" w:hAnsi="Times New Roman"/>
          <w:b/>
          <w:bCs/>
        </w:rPr>
        <w:t> </w:t>
      </w:r>
      <w:r w:rsidRPr="00FD0C70">
        <w:rPr>
          <w:rFonts w:ascii="Times New Roman" w:hAnsi="Times New Roman"/>
          <w:b/>
          <w:bCs/>
        </w:rPr>
        <w:t>bodu</w:t>
      </w:r>
      <w:r>
        <w:rPr>
          <w:rFonts w:ascii="Times New Roman" w:hAnsi="Times New Roman"/>
          <w:b/>
          <w:bCs/>
        </w:rPr>
        <w:t xml:space="preserve"> </w:t>
      </w:r>
      <w:r w:rsidR="00DC7728">
        <w:rPr>
          <w:rFonts w:ascii="Times New Roman" w:hAnsi="Times New Roman"/>
          <w:b/>
          <w:bCs/>
        </w:rPr>
        <w:t>3</w:t>
      </w:r>
      <w:r w:rsidR="00A5798D">
        <w:rPr>
          <w:rFonts w:ascii="Times New Roman" w:hAnsi="Times New Roman"/>
          <w:b/>
          <w:bCs/>
        </w:rPr>
        <w:t>5</w:t>
      </w:r>
    </w:p>
    <w:p w:rsidR="002F01F3" w:rsidP="00FA2DDC">
      <w:pPr>
        <w:bidi w:val="0"/>
        <w:jc w:val="both"/>
        <w:rPr>
          <w:rFonts w:ascii="Times New Roman" w:hAnsi="Times New Roman"/>
          <w:b/>
          <w:bCs/>
        </w:rPr>
      </w:pPr>
    </w:p>
    <w:p w:rsidR="002F01F3" w:rsidP="002F01F3">
      <w:pPr>
        <w:bidi w:val="0"/>
        <w:ind w:firstLine="720"/>
        <w:jc w:val="both"/>
        <w:rPr>
          <w:rFonts w:ascii="Times New Roman" w:hAnsi="Times New Roman"/>
          <w:b/>
          <w:bCs/>
        </w:rPr>
      </w:pPr>
      <w:r w:rsidRPr="002F01F3">
        <w:rPr>
          <w:rFonts w:ascii="Times New Roman" w:hAnsi="Times New Roman" w:cs="Calibri"/>
        </w:rPr>
        <w:t xml:space="preserve">Odkaz na toto ustanovenie je v § 53 ods. 5 zákona o bankách už neaktuálne. § 97 zákona o bankách je zrušený už od 1.1.2006. </w:t>
      </w:r>
    </w:p>
    <w:p w:rsidR="002F01F3" w:rsidP="00FA2DDC">
      <w:pPr>
        <w:bidi w:val="0"/>
        <w:jc w:val="both"/>
        <w:rPr>
          <w:rFonts w:ascii="Times New Roman" w:hAnsi="Times New Roman"/>
          <w:b/>
          <w:bCs/>
        </w:rPr>
      </w:pPr>
      <w:r w:rsidRPr="002F01F3">
        <w:rPr>
          <w:rFonts w:ascii="Times New Roman" w:hAnsi="Times New Roman"/>
          <w:b/>
          <w:bCs/>
        </w:rPr>
        <w:br/>
      </w:r>
      <w:r w:rsidRPr="00FD0C70">
        <w:rPr>
          <w:rFonts w:ascii="Times New Roman" w:hAnsi="Times New Roman"/>
          <w:b/>
          <w:bCs/>
        </w:rPr>
        <w:t>K</w:t>
      </w:r>
      <w:r>
        <w:rPr>
          <w:rFonts w:ascii="Times New Roman" w:hAnsi="Times New Roman"/>
          <w:b/>
          <w:bCs/>
        </w:rPr>
        <w:t> </w:t>
      </w:r>
      <w:r w:rsidRPr="00FD0C70">
        <w:rPr>
          <w:rFonts w:ascii="Times New Roman" w:hAnsi="Times New Roman"/>
          <w:b/>
          <w:bCs/>
        </w:rPr>
        <w:t>bodu</w:t>
      </w:r>
      <w:r>
        <w:rPr>
          <w:rFonts w:ascii="Times New Roman" w:hAnsi="Times New Roman"/>
          <w:b/>
          <w:bCs/>
        </w:rPr>
        <w:t xml:space="preserve"> </w:t>
      </w:r>
      <w:r w:rsidR="00DC7728">
        <w:rPr>
          <w:rFonts w:ascii="Times New Roman" w:hAnsi="Times New Roman"/>
          <w:b/>
          <w:bCs/>
        </w:rPr>
        <w:t>3</w:t>
      </w:r>
      <w:r w:rsidR="00A5798D">
        <w:rPr>
          <w:rFonts w:ascii="Times New Roman" w:hAnsi="Times New Roman"/>
          <w:b/>
          <w:bCs/>
        </w:rPr>
        <w:t>6</w:t>
      </w:r>
    </w:p>
    <w:p w:rsidR="00391164" w:rsidP="00FA2DDC">
      <w:pPr>
        <w:bidi w:val="0"/>
        <w:jc w:val="both"/>
        <w:rPr>
          <w:rFonts w:ascii="Times New Roman" w:hAnsi="Times New Roman"/>
          <w:b/>
          <w:bCs/>
        </w:rPr>
      </w:pPr>
    </w:p>
    <w:p w:rsidR="00391164" w:rsidRPr="00391164" w:rsidP="00391164">
      <w:pPr>
        <w:bidi w:val="0"/>
        <w:ind w:firstLine="720"/>
        <w:jc w:val="both"/>
        <w:rPr>
          <w:rFonts w:ascii="Times New Roman" w:hAnsi="Times New Roman"/>
          <w:b/>
          <w:bCs/>
        </w:rPr>
      </w:pPr>
      <w:r w:rsidRPr="00391164">
        <w:rPr>
          <w:rFonts w:ascii="Times New Roman" w:hAnsi="Times New Roman" w:cs="Calibri"/>
        </w:rPr>
        <w:t xml:space="preserve">Podľa § 60 ods. 1 zákona o bankách podáva NBS návrh na zápis nútenej správy do obchodného registra. V § 60 ods. 2 zákona o bankách sú vymenované údaje, ktoré sa v súvislosti s vyššie uvedeným návrhom, zapisujú do obchodného registra, no len vo vzťahu k správcovi, ktorý je fyzickou osobou. Keďže zákon o bankách umožňuje, aby nútenú správu vykonávala aj právnická osoba, </w:t>
      </w:r>
      <w:r w:rsidR="00A01FD6">
        <w:rPr>
          <w:rFonts w:ascii="Times New Roman" w:hAnsi="Times New Roman" w:cs="Calibri"/>
        </w:rPr>
        <w:t xml:space="preserve">dopĺňajú sa údaje do § 60 ods. 2, </w:t>
      </w:r>
      <w:r w:rsidRPr="00391164">
        <w:rPr>
          <w:rFonts w:ascii="Times New Roman" w:hAnsi="Times New Roman" w:cs="Calibri"/>
        </w:rPr>
        <w:t>ktoré je potrebné zapísať do obchodného registra, ak nútenú správu vykonáva správca – právnická osoba.</w:t>
      </w:r>
    </w:p>
    <w:p w:rsidR="002F01F3" w:rsidP="00FA2DDC">
      <w:pPr>
        <w:bidi w:val="0"/>
        <w:jc w:val="both"/>
        <w:rPr>
          <w:rFonts w:ascii="Times New Roman" w:hAnsi="Times New Roman"/>
          <w:b/>
          <w:bCs/>
        </w:rPr>
      </w:pPr>
    </w:p>
    <w:p w:rsidR="007F71B6" w:rsidP="00FA2DDC">
      <w:pPr>
        <w:bidi w:val="0"/>
        <w:jc w:val="both"/>
        <w:rPr>
          <w:rFonts w:ascii="Times New Roman" w:hAnsi="Times New Roman"/>
          <w:b/>
          <w:bCs/>
        </w:rPr>
      </w:pPr>
      <w:r>
        <w:rPr>
          <w:rFonts w:ascii="Times New Roman" w:hAnsi="Times New Roman"/>
          <w:b/>
          <w:bCs/>
        </w:rPr>
        <w:t>K bodu 3</w:t>
      </w:r>
      <w:r w:rsidR="00A5798D">
        <w:rPr>
          <w:rFonts w:ascii="Times New Roman" w:hAnsi="Times New Roman"/>
          <w:b/>
          <w:bCs/>
        </w:rPr>
        <w:t>7</w:t>
      </w:r>
    </w:p>
    <w:p w:rsidR="007F71B6" w:rsidP="00FA2DDC">
      <w:pPr>
        <w:bidi w:val="0"/>
        <w:jc w:val="both"/>
        <w:rPr>
          <w:rFonts w:ascii="Times New Roman" w:hAnsi="Times New Roman"/>
          <w:b/>
          <w:bCs/>
        </w:rPr>
      </w:pPr>
    </w:p>
    <w:p w:rsidR="007F71B6" w:rsidRPr="007F71B6" w:rsidP="007F71B6">
      <w:pPr>
        <w:bidi w:val="0"/>
        <w:jc w:val="both"/>
        <w:rPr>
          <w:rFonts w:ascii="Times New Roman" w:hAnsi="Times New Roman"/>
        </w:rPr>
      </w:pPr>
      <w:r w:rsidRPr="007F71B6">
        <w:rPr>
          <w:rFonts w:ascii="Times New Roman" w:hAnsi="Times New Roman"/>
          <w:b/>
          <w:bCs/>
        </w:rPr>
        <w:tab/>
      </w:r>
      <w:r w:rsidRPr="007F71B6">
        <w:rPr>
          <w:rFonts w:ascii="Times New Roman" w:hAnsi="Times New Roman"/>
        </w:rPr>
        <w:t>V nadväznosti na novú povinnosť Fondu ochrany vkladov, navrhnutú doplnením odseku 7 v § 12 zákona č. 118/1996 Z. z. o ochrane vkladov a o zmene a doplnení niektorých zákonov v znení neskorších predpisov, a to pravidelne jedenkrát ročne overovať funkčnosť systému vyplácania náhrad za nedostupné vklady, sú banky a pobočky zahraničných bánk povinné fondu poskytovať údaje podľa § 12 ods. 1 tohto zákona. Táto nová povinnosť pre Fond ochrany vkladov vyplýva zo smernice Európskeho parlamentu a Rady 2009/14/ES,  ktorou sa mení a dopĺňa smernica 94/19/ES o systémoch ochrany vkladov, pokiaľ ide o úroveň krytia a výplatnú lehotu. Z navrhovanej úpravy poznámky pod čiarou k odkazu 57 (k § 63 ods. 2 písm. c) zákona o bankách) bude vyplývať, že neplnenie predmetnej povinnosti zo strany banky alebo pobočky zahraničnej banky môže byť dôvodom na odobratie bankového povolenia.   </w:t>
      </w:r>
    </w:p>
    <w:p w:rsidR="007F71B6" w:rsidP="00FA2DDC">
      <w:pPr>
        <w:bidi w:val="0"/>
        <w:jc w:val="both"/>
        <w:rPr>
          <w:rFonts w:ascii="Times New Roman" w:hAnsi="Times New Roman"/>
          <w:b/>
          <w:bCs/>
        </w:rPr>
      </w:pPr>
    </w:p>
    <w:p w:rsidR="007F71B6" w:rsidP="00FA2DDC">
      <w:pPr>
        <w:bidi w:val="0"/>
        <w:jc w:val="both"/>
        <w:rPr>
          <w:rFonts w:ascii="Times New Roman" w:hAnsi="Times New Roman"/>
          <w:b/>
          <w:bCs/>
        </w:rPr>
      </w:pPr>
      <w:r>
        <w:rPr>
          <w:rFonts w:ascii="Times New Roman" w:hAnsi="Times New Roman"/>
          <w:b/>
          <w:bCs/>
        </w:rPr>
        <w:t>K bodom 3</w:t>
      </w:r>
      <w:r w:rsidR="00A5798D">
        <w:rPr>
          <w:rFonts w:ascii="Times New Roman" w:hAnsi="Times New Roman"/>
          <w:b/>
          <w:bCs/>
        </w:rPr>
        <w:t>8</w:t>
      </w:r>
      <w:r>
        <w:rPr>
          <w:rFonts w:ascii="Times New Roman" w:hAnsi="Times New Roman"/>
          <w:b/>
          <w:bCs/>
        </w:rPr>
        <w:t xml:space="preserve"> a </w:t>
      </w:r>
      <w:r w:rsidR="00A5798D">
        <w:rPr>
          <w:rFonts w:ascii="Times New Roman" w:hAnsi="Times New Roman"/>
          <w:b/>
          <w:bCs/>
        </w:rPr>
        <w:t>39</w:t>
      </w:r>
    </w:p>
    <w:p w:rsidR="007F71B6" w:rsidP="00FA2DDC">
      <w:pPr>
        <w:bidi w:val="0"/>
        <w:jc w:val="both"/>
        <w:rPr>
          <w:rFonts w:ascii="Times New Roman" w:hAnsi="Times New Roman"/>
          <w:b/>
          <w:bCs/>
        </w:rPr>
      </w:pPr>
    </w:p>
    <w:p w:rsidR="007F71B6" w:rsidRPr="007F71B6" w:rsidP="007F71B6">
      <w:pPr>
        <w:bidi w:val="0"/>
        <w:ind w:firstLine="720"/>
        <w:jc w:val="both"/>
        <w:rPr>
          <w:rFonts w:ascii="Times New Roman" w:hAnsi="Times New Roman"/>
          <w:b/>
          <w:bCs/>
        </w:rPr>
      </w:pPr>
      <w:r w:rsidRPr="007F71B6">
        <w:rPr>
          <w:rFonts w:ascii="Times New Roman" w:hAnsi="Times New Roman"/>
        </w:rPr>
        <w:t xml:space="preserve">Po narodení dieťaťa sa prudko zvýšia náklady každej mladej rodiny. Cieľom uvedenej legislatívnej  zmeny je rozšíriť povinnú náležitosť zmluvy o hypotekárnom úvere tak, aby mala mladá rodina možnosť odkladu splátok istiny hypotekárneho úveru alebo možnosť zníženia celej anuitnej splátky hypotekárneho úveru až na polovicu jej výšky, a to počas dvoch rokov po narodení dieťaťa. Nakoľko je už dnes možné odloženie splátok istiny hypotekárneho úveru po dobu 5 rokov od poskytnutia a začatia úročenia hypotekárneho úveru, je potrebné legislatívne upraviť, že toto doterajšie ustanovenie (§ 85a ods. 3 písm. b) druhý bod zákona o bankách) nie je touto novou právnou úpravou dotknuté. Novú právnu úpravu je však potrebné zaviesť z dôvodu, že k narodeniu dieťaťa môže dôjsť aj po 5 rokoch od poskytnutia a začatia úročenia hypotekárneho úveru. To znamená, že aj po skončení tohto 5 ročného obdobia bude mať mladý poberateľ hypotekárneho úveru počas trvania úverového vzťahu možnosť dvojročného odkladu splácania istiny alebo zníženia mesačnej anuitnej splátky hypotekárneho úveru pri prvom a pri každom ďalšom narodení dieťaťa, avšak nárok na štátny príspevok pre mladých bude mať len na dobu 5 rokov od začatia úročenia hypotekárneho úveru (§ 85b ods. 9 zákona o bankách). </w:t>
      </w:r>
    </w:p>
    <w:p w:rsidR="007F71B6" w:rsidP="00FA2DDC">
      <w:pPr>
        <w:bidi w:val="0"/>
        <w:jc w:val="both"/>
        <w:rPr>
          <w:rFonts w:ascii="Times New Roman" w:hAnsi="Times New Roman"/>
          <w:b/>
          <w:bCs/>
        </w:rPr>
      </w:pPr>
    </w:p>
    <w:p w:rsidR="007F71B6" w:rsidP="00FA2DDC">
      <w:pPr>
        <w:bidi w:val="0"/>
        <w:jc w:val="both"/>
        <w:rPr>
          <w:rFonts w:ascii="Times New Roman" w:hAnsi="Times New Roman"/>
          <w:b/>
          <w:bCs/>
        </w:rPr>
      </w:pPr>
      <w:r>
        <w:rPr>
          <w:rFonts w:ascii="Times New Roman" w:hAnsi="Times New Roman"/>
          <w:b/>
          <w:bCs/>
        </w:rPr>
        <w:t>K bodu 4</w:t>
      </w:r>
      <w:r w:rsidR="00A5798D">
        <w:rPr>
          <w:rFonts w:ascii="Times New Roman" w:hAnsi="Times New Roman"/>
          <w:b/>
          <w:bCs/>
        </w:rPr>
        <w:t>0</w:t>
      </w:r>
    </w:p>
    <w:p w:rsidR="007F71B6" w:rsidP="00FA2DDC">
      <w:pPr>
        <w:bidi w:val="0"/>
        <w:jc w:val="both"/>
        <w:rPr>
          <w:rFonts w:ascii="Times New Roman" w:hAnsi="Times New Roman"/>
          <w:b/>
          <w:bCs/>
        </w:rPr>
      </w:pPr>
    </w:p>
    <w:p w:rsidR="007F71B6" w:rsidRPr="007F71B6" w:rsidP="007F71B6">
      <w:pPr>
        <w:bidi w:val="0"/>
        <w:ind w:firstLine="720"/>
        <w:jc w:val="both"/>
        <w:rPr>
          <w:rFonts w:ascii="Times New Roman" w:hAnsi="Times New Roman"/>
        </w:rPr>
      </w:pPr>
      <w:r w:rsidRPr="007F71B6">
        <w:rPr>
          <w:rFonts w:ascii="Times New Roman" w:hAnsi="Times New Roman"/>
        </w:rPr>
        <w:t xml:space="preserve">Platná právna úprava zákona o bankách (§ 85a ods. 5, § 85b ods. 3 druhá veta a ods. 6) ustanovuje, že viacerými spoludlžníkmi nemusia byť len manželia, preto je potrebné túto okolnosť upraviť aj v ustanovení § 85a ods. 1, ktoré vymedzuje mladých poberateľov hypotekárneho úveru. </w:t>
      </w:r>
    </w:p>
    <w:p w:rsidR="007F71B6" w:rsidP="00FA2DDC">
      <w:pPr>
        <w:bidi w:val="0"/>
        <w:jc w:val="both"/>
        <w:rPr>
          <w:rFonts w:ascii="Times New Roman" w:hAnsi="Times New Roman"/>
          <w:b/>
          <w:bCs/>
        </w:rPr>
      </w:pPr>
    </w:p>
    <w:p w:rsidR="007F71B6" w:rsidP="00FA2DDC">
      <w:pPr>
        <w:bidi w:val="0"/>
        <w:jc w:val="both"/>
        <w:rPr>
          <w:rFonts w:ascii="Times New Roman" w:hAnsi="Times New Roman"/>
          <w:b/>
          <w:bCs/>
        </w:rPr>
      </w:pPr>
      <w:r>
        <w:rPr>
          <w:rFonts w:ascii="Times New Roman" w:hAnsi="Times New Roman"/>
          <w:b/>
          <w:bCs/>
        </w:rPr>
        <w:t>K bodu 4</w:t>
      </w:r>
      <w:r w:rsidR="00A5798D">
        <w:rPr>
          <w:rFonts w:ascii="Times New Roman" w:hAnsi="Times New Roman"/>
          <w:b/>
          <w:bCs/>
        </w:rPr>
        <w:t>1</w:t>
      </w:r>
    </w:p>
    <w:p w:rsidR="007F71B6" w:rsidRPr="007F71B6" w:rsidP="007F71B6">
      <w:pPr>
        <w:bidi w:val="0"/>
        <w:jc w:val="both"/>
        <w:rPr>
          <w:rFonts w:ascii="Times New Roman" w:hAnsi="Times New Roman"/>
          <w:b/>
          <w:bCs/>
        </w:rPr>
      </w:pPr>
    </w:p>
    <w:p w:rsidR="007F71B6" w:rsidRPr="007F71B6" w:rsidP="007F71B6">
      <w:pPr>
        <w:bidi w:val="0"/>
        <w:ind w:firstLine="720"/>
        <w:jc w:val="both"/>
        <w:rPr>
          <w:rFonts w:ascii="Times New Roman" w:hAnsi="Times New Roman"/>
        </w:rPr>
      </w:pPr>
      <w:r w:rsidRPr="007F71B6">
        <w:rPr>
          <w:rFonts w:ascii="Times New Roman" w:hAnsi="Times New Roman"/>
        </w:rPr>
        <w:t>Navrhovanou právnou úpravou sa zruší podmienka, podľa ktorej musí mať každý z manželov príjem nižší ako 1,3 násobok priem. mesačnej mzdy v nár. hospodárstve (v súčasnosti 942,5 eur) a namiesto toho sa ustanoví, že je postačujúce, aby ich spoločný príjem nepresahoval 2,6 násobok priem. mesačnej mzdy v nár. hospodárstve. To znamená, že bude môcť ísť o rôzne kombinácie príjmov tak, aby v súhrne nepresahovali ustanovený limit. Z dôvodu uveden</w:t>
      </w:r>
      <w:r w:rsidR="008D3931">
        <w:rPr>
          <w:rFonts w:ascii="Times New Roman" w:hAnsi="Times New Roman"/>
        </w:rPr>
        <w:t>ého</w:t>
      </w:r>
      <w:r w:rsidRPr="007F71B6">
        <w:rPr>
          <w:rFonts w:ascii="Times New Roman" w:hAnsi="Times New Roman"/>
        </w:rPr>
        <w:t xml:space="preserve"> v odôvodení k predchádzajúcemu bodu je potrebné ustanoviť takýto limit aj pri iných viacerých spoludlžníkoch ako sú manželia, a to obdobne tak, aby ich príjem spolu nepresahoval 1,3 násobok priem. mesačnej mzdy v nár. hospodárstve vynásobený počtom spoludlžníkov. </w:t>
      </w:r>
    </w:p>
    <w:p w:rsidR="007F71B6" w:rsidP="007F71B6">
      <w:pPr>
        <w:bidi w:val="0"/>
        <w:jc w:val="both"/>
        <w:rPr>
          <w:rFonts w:ascii="Times New Roman" w:hAnsi="Times New Roman"/>
        </w:rPr>
      </w:pPr>
    </w:p>
    <w:p w:rsidR="007F71B6" w:rsidP="007F71B6">
      <w:pPr>
        <w:bidi w:val="0"/>
        <w:jc w:val="both"/>
        <w:rPr>
          <w:rFonts w:ascii="Times New Roman" w:hAnsi="Times New Roman"/>
          <w:b/>
        </w:rPr>
      </w:pPr>
      <w:r w:rsidRPr="007F71B6">
        <w:rPr>
          <w:rFonts w:ascii="Times New Roman" w:hAnsi="Times New Roman"/>
          <w:b/>
        </w:rPr>
        <w:t>K bodu 4</w:t>
      </w:r>
      <w:r w:rsidR="00A5798D">
        <w:rPr>
          <w:rFonts w:ascii="Times New Roman" w:hAnsi="Times New Roman"/>
          <w:b/>
        </w:rPr>
        <w:t>2</w:t>
      </w:r>
    </w:p>
    <w:p w:rsidR="007F71B6" w:rsidP="007F71B6">
      <w:pPr>
        <w:bidi w:val="0"/>
        <w:jc w:val="both"/>
        <w:rPr>
          <w:rFonts w:ascii="Times New Roman" w:hAnsi="Times New Roman"/>
          <w:b/>
        </w:rPr>
      </w:pPr>
    </w:p>
    <w:p w:rsidR="007F71B6" w:rsidRPr="007F71B6" w:rsidP="007F71B6">
      <w:pPr>
        <w:bidi w:val="0"/>
        <w:ind w:firstLine="720"/>
        <w:jc w:val="both"/>
        <w:rPr>
          <w:rFonts w:ascii="Times New Roman" w:hAnsi="Times New Roman"/>
        </w:rPr>
      </w:pPr>
      <w:r w:rsidRPr="007F71B6">
        <w:rPr>
          <w:rFonts w:ascii="Times New Roman" w:hAnsi="Times New Roman"/>
        </w:rPr>
        <w:t>Navrhovanou právnou úpravou sa z dôvodu výkladových problémov v aplikačnej praxi upresňuje, že po zániku nároku na štátny príspevok pre mladých má mladý poberateľ hypotekárneho úveru nárok na štátny príspevok ustanovený v § 84 ods. 1 zákona, avšak tento nárok si môže uplatniť len na jednu zmluvu o hypotekárnom úvere (§ 85 ods. 3 zákona o bankách).</w:t>
      </w:r>
    </w:p>
    <w:p w:rsidR="007F71B6" w:rsidRPr="007F71B6" w:rsidP="007F71B6">
      <w:pPr>
        <w:bidi w:val="0"/>
        <w:jc w:val="both"/>
        <w:rPr>
          <w:rFonts w:ascii="Times New Roman" w:hAnsi="Times New Roman"/>
          <w:b/>
        </w:rPr>
      </w:pPr>
    </w:p>
    <w:p w:rsidR="00DC7728" w:rsidP="00FA2DDC">
      <w:pPr>
        <w:bidi w:val="0"/>
        <w:jc w:val="both"/>
        <w:rPr>
          <w:rFonts w:ascii="Times New Roman" w:hAnsi="Times New Roman"/>
          <w:b/>
          <w:bCs/>
        </w:rPr>
      </w:pPr>
      <w:r>
        <w:rPr>
          <w:rFonts w:ascii="Times New Roman" w:hAnsi="Times New Roman"/>
          <w:b/>
          <w:bCs/>
        </w:rPr>
        <w:t xml:space="preserve">K bodu </w:t>
      </w:r>
      <w:r w:rsidR="007F71B6">
        <w:rPr>
          <w:rFonts w:ascii="Times New Roman" w:hAnsi="Times New Roman"/>
          <w:b/>
          <w:bCs/>
        </w:rPr>
        <w:t>4</w:t>
      </w:r>
      <w:r w:rsidR="00A5798D">
        <w:rPr>
          <w:rFonts w:ascii="Times New Roman" w:hAnsi="Times New Roman"/>
          <w:b/>
          <w:bCs/>
        </w:rPr>
        <w:t>3</w:t>
      </w:r>
    </w:p>
    <w:p w:rsidR="00DC7728" w:rsidP="00FA2DDC">
      <w:pPr>
        <w:bidi w:val="0"/>
        <w:jc w:val="both"/>
        <w:rPr>
          <w:rFonts w:ascii="Times New Roman" w:hAnsi="Times New Roman"/>
          <w:b/>
          <w:bCs/>
        </w:rPr>
      </w:pPr>
    </w:p>
    <w:p w:rsidR="002F01F3" w:rsidP="00FE23EB">
      <w:pPr>
        <w:bidi w:val="0"/>
        <w:ind w:firstLine="720"/>
        <w:jc w:val="both"/>
        <w:rPr>
          <w:rFonts w:ascii="Times New Roman" w:hAnsi="Times New Roman"/>
          <w:b/>
          <w:bCs/>
        </w:rPr>
      </w:pPr>
      <w:r w:rsidR="00DC7728">
        <w:rPr>
          <w:rFonts w:ascii="Times New Roman" w:hAnsi="Times New Roman" w:cs="Calibri"/>
        </w:rPr>
        <w:t>V</w:t>
      </w:r>
      <w:r w:rsidRPr="00DC7728" w:rsidR="00DC7728">
        <w:rPr>
          <w:rFonts w:ascii="Times New Roman" w:hAnsi="Times New Roman" w:cs="Calibri"/>
        </w:rPr>
        <w:t xml:space="preserve"> praxi bolo v poslednom čase zaznamenaných niekoľko prípadov odmietnutia poskytnúť predmetné údaje zo strany banky</w:t>
      </w:r>
      <w:r w:rsidR="00DC7728">
        <w:rPr>
          <w:rFonts w:ascii="Times New Roman" w:hAnsi="Times New Roman" w:cs="Calibri"/>
        </w:rPr>
        <w:t>.</w:t>
      </w:r>
      <w:r w:rsidRPr="00DC7728" w:rsidR="00DC7728">
        <w:rPr>
          <w:rFonts w:ascii="Times New Roman" w:hAnsi="Times New Roman" w:cs="Calibri"/>
        </w:rPr>
        <w:t xml:space="preserve"> Na základe uvedeného </w:t>
      </w:r>
      <w:r w:rsidR="00DC7728">
        <w:rPr>
          <w:rFonts w:ascii="Times New Roman" w:hAnsi="Times New Roman" w:cs="Calibri"/>
        </w:rPr>
        <w:t xml:space="preserve">sa </w:t>
      </w:r>
      <w:r w:rsidRPr="00DC7728" w:rsidR="00DC7728">
        <w:rPr>
          <w:rFonts w:ascii="Times New Roman" w:hAnsi="Times New Roman" w:cs="Calibri"/>
        </w:rPr>
        <w:t xml:space="preserve">navrhuje upraviť ustanovenie § 91 ods. 4 písm. g) zákona č. 483/2001 Z. z. tak, aby sa údaje bankového tajomstva poskytovali službe kriminálnej polície a službe finančnej polície Policajného zboru na účely odhaľovania trestných činov, zisťovanie ich páchateľov a pátranie po nich. Takto formulované ustanovenie v sebe zahŕňa aj možnosť poskytovať údaje v súvislosti s odhaľovaním daňových únikov a nezákonných finančných operácií a financovania terorizmu, čo je v podstate druh trestnej činnosti. Súčasné znenie predmetného ustanovenia spôsobovalo vyššie uvedené problémy. Ide o spresnenie predmetného ustanovenia a odstránenie praktických problémov. </w:t>
      </w:r>
      <w:r w:rsidR="00DC7728">
        <w:rPr>
          <w:rFonts w:ascii="Times New Roman" w:hAnsi="Times New Roman" w:cs="Calibri"/>
        </w:rPr>
        <w:t xml:space="preserve">Zároveň sa navrhuje prelomiť bankové tajomstvo aj vo vzťahu k finančnej polícií na účely plnenia jej úloh podľa novej právnej </w:t>
      </w:r>
      <w:r w:rsidR="00FE23EB">
        <w:rPr>
          <w:rFonts w:ascii="Times New Roman" w:hAnsi="Times New Roman" w:cs="Calibri"/>
        </w:rPr>
        <w:t>ú</w:t>
      </w:r>
      <w:r w:rsidR="00DC7728">
        <w:rPr>
          <w:rFonts w:ascii="Times New Roman" w:hAnsi="Times New Roman" w:cs="Calibri"/>
        </w:rPr>
        <w:t>pravy, ktorou je zákon č. 101/2010 Z.z. o preukazovaní pôvodu majetku.</w:t>
      </w:r>
      <w:r w:rsidRPr="00DC7728" w:rsidR="00DC7728">
        <w:rPr>
          <w:rFonts w:ascii="Times New Roman" w:hAnsi="Times New Roman" w:cs="Calibri"/>
        </w:rPr>
        <w:br/>
      </w:r>
    </w:p>
    <w:p w:rsidR="007F7EE9" w:rsidP="00FA2DDC">
      <w:pPr>
        <w:bidi w:val="0"/>
        <w:jc w:val="both"/>
        <w:rPr>
          <w:rFonts w:ascii="Times New Roman" w:hAnsi="Times New Roman"/>
          <w:b/>
          <w:bCs/>
        </w:rPr>
      </w:pPr>
    </w:p>
    <w:p w:rsidR="002F01F3" w:rsidP="00FA2DDC">
      <w:pPr>
        <w:bidi w:val="0"/>
        <w:jc w:val="both"/>
        <w:rPr>
          <w:rFonts w:ascii="Times New Roman" w:hAnsi="Times New Roman"/>
          <w:b/>
          <w:bCs/>
        </w:rPr>
      </w:pPr>
      <w:r w:rsidRPr="00FD0C70">
        <w:rPr>
          <w:rFonts w:ascii="Times New Roman" w:hAnsi="Times New Roman"/>
          <w:b/>
          <w:bCs/>
        </w:rPr>
        <w:t>K</w:t>
      </w:r>
      <w:r>
        <w:rPr>
          <w:rFonts w:ascii="Times New Roman" w:hAnsi="Times New Roman"/>
          <w:b/>
          <w:bCs/>
        </w:rPr>
        <w:t> </w:t>
      </w:r>
      <w:r w:rsidRPr="00FD0C70">
        <w:rPr>
          <w:rFonts w:ascii="Times New Roman" w:hAnsi="Times New Roman"/>
          <w:b/>
          <w:bCs/>
        </w:rPr>
        <w:t>bod</w:t>
      </w:r>
      <w:r w:rsidR="007F71B6">
        <w:rPr>
          <w:rFonts w:ascii="Times New Roman" w:hAnsi="Times New Roman"/>
          <w:b/>
          <w:bCs/>
        </w:rPr>
        <w:t>om</w:t>
      </w:r>
      <w:r>
        <w:rPr>
          <w:rFonts w:ascii="Times New Roman" w:hAnsi="Times New Roman"/>
          <w:b/>
          <w:bCs/>
        </w:rPr>
        <w:t xml:space="preserve"> </w:t>
      </w:r>
      <w:r w:rsidR="007F71B6">
        <w:rPr>
          <w:rFonts w:ascii="Times New Roman" w:hAnsi="Times New Roman"/>
          <w:b/>
          <w:bCs/>
        </w:rPr>
        <w:t>4</w:t>
      </w:r>
      <w:r w:rsidR="00A5798D">
        <w:rPr>
          <w:rFonts w:ascii="Times New Roman" w:hAnsi="Times New Roman"/>
          <w:b/>
          <w:bCs/>
        </w:rPr>
        <w:t>4</w:t>
      </w:r>
      <w:r w:rsidR="007F71B6">
        <w:rPr>
          <w:rFonts w:ascii="Times New Roman" w:hAnsi="Times New Roman"/>
          <w:b/>
          <w:bCs/>
        </w:rPr>
        <w:t xml:space="preserve"> </w:t>
      </w:r>
      <w:r>
        <w:rPr>
          <w:rFonts w:ascii="Times New Roman" w:hAnsi="Times New Roman"/>
          <w:b/>
          <w:bCs/>
        </w:rPr>
        <w:t>a </w:t>
      </w:r>
      <w:r w:rsidR="007F71B6">
        <w:rPr>
          <w:rFonts w:ascii="Times New Roman" w:hAnsi="Times New Roman"/>
          <w:b/>
          <w:bCs/>
        </w:rPr>
        <w:t>4</w:t>
      </w:r>
      <w:r w:rsidR="00A5798D">
        <w:rPr>
          <w:rFonts w:ascii="Times New Roman" w:hAnsi="Times New Roman"/>
          <w:b/>
          <w:bCs/>
        </w:rPr>
        <w:t>5</w:t>
      </w:r>
    </w:p>
    <w:p w:rsidR="002F01F3" w:rsidP="00FA2DDC">
      <w:pPr>
        <w:bidi w:val="0"/>
        <w:jc w:val="both"/>
        <w:rPr>
          <w:rFonts w:ascii="Times New Roman" w:hAnsi="Times New Roman"/>
          <w:b/>
          <w:bCs/>
        </w:rPr>
      </w:pPr>
    </w:p>
    <w:p w:rsidR="00F45D01" w:rsidP="00F45D01">
      <w:pPr>
        <w:bidi w:val="0"/>
        <w:ind w:firstLine="720"/>
        <w:jc w:val="both"/>
        <w:rPr>
          <w:rFonts w:ascii="Times New Roman" w:hAnsi="Times New Roman" w:cs="Calibri"/>
        </w:rPr>
      </w:pPr>
      <w:r w:rsidRPr="00F45D01">
        <w:rPr>
          <w:rFonts w:ascii="Times New Roman" w:hAnsi="Times New Roman" w:cs="Calibri"/>
        </w:rPr>
        <w:t xml:space="preserve">Navrhuje sa novelizovať ustanovenia § 92a odsekov 3 a 5 zákona o bankách tak, aby novelizované ustanovenia zohľadňovali skutočnosť, že čoraz viac narastá vzájomné prepojenie medzi jednotlivými sektormi finančného trhu, permanentne sa rozširujú hybridné finančné produkty a narastá úloha finančných konglomerátov. Pritom sa zároveň navrhuje spresniť ustanovenia zabezpečujúce ochranu práva klientov bánk alebo pobočiek zahraničných bánk. </w:t>
      </w:r>
    </w:p>
    <w:p w:rsidR="00F45D01" w:rsidP="00F45D01">
      <w:pPr>
        <w:bidi w:val="0"/>
        <w:jc w:val="both"/>
        <w:rPr>
          <w:rFonts w:ascii="Times New Roman" w:hAnsi="Times New Roman"/>
          <w:b/>
          <w:bCs/>
        </w:rPr>
      </w:pPr>
    </w:p>
    <w:p w:rsidR="00F45D01" w:rsidP="00F45D01">
      <w:pPr>
        <w:bidi w:val="0"/>
        <w:jc w:val="both"/>
        <w:rPr>
          <w:rFonts w:ascii="Times New Roman" w:hAnsi="Times New Roman"/>
          <w:b/>
          <w:bCs/>
        </w:rPr>
      </w:pPr>
      <w:r w:rsidRPr="00FD0C70">
        <w:rPr>
          <w:rFonts w:ascii="Times New Roman" w:hAnsi="Times New Roman"/>
          <w:b/>
          <w:bCs/>
        </w:rPr>
        <w:t>K</w:t>
      </w:r>
      <w:r>
        <w:rPr>
          <w:rFonts w:ascii="Times New Roman" w:hAnsi="Times New Roman"/>
          <w:b/>
          <w:bCs/>
        </w:rPr>
        <w:t> </w:t>
      </w:r>
      <w:r w:rsidRPr="00FD0C70">
        <w:rPr>
          <w:rFonts w:ascii="Times New Roman" w:hAnsi="Times New Roman"/>
          <w:b/>
          <w:bCs/>
        </w:rPr>
        <w:t>bodu</w:t>
      </w:r>
      <w:r>
        <w:rPr>
          <w:rFonts w:ascii="Times New Roman" w:hAnsi="Times New Roman"/>
          <w:b/>
          <w:bCs/>
        </w:rPr>
        <w:t xml:space="preserve"> </w:t>
      </w:r>
      <w:r w:rsidR="00DC7728">
        <w:rPr>
          <w:rFonts w:ascii="Times New Roman" w:hAnsi="Times New Roman"/>
          <w:b/>
          <w:bCs/>
        </w:rPr>
        <w:t>4</w:t>
      </w:r>
      <w:r w:rsidR="00A5798D">
        <w:rPr>
          <w:rFonts w:ascii="Times New Roman" w:hAnsi="Times New Roman"/>
          <w:b/>
          <w:bCs/>
        </w:rPr>
        <w:t>6</w:t>
      </w:r>
      <w:r>
        <w:rPr>
          <w:rFonts w:ascii="Times New Roman" w:hAnsi="Times New Roman"/>
          <w:b/>
          <w:bCs/>
        </w:rPr>
        <w:t xml:space="preserve"> </w:t>
      </w:r>
    </w:p>
    <w:p w:rsidR="00F45D01" w:rsidP="00F45D01">
      <w:pPr>
        <w:bidi w:val="0"/>
        <w:jc w:val="both"/>
        <w:rPr>
          <w:rFonts w:ascii="Times New Roman" w:hAnsi="Times New Roman"/>
          <w:b/>
          <w:bCs/>
        </w:rPr>
      </w:pPr>
    </w:p>
    <w:p w:rsidR="00F45D01" w:rsidP="00F45D01">
      <w:pPr>
        <w:bidi w:val="0"/>
        <w:ind w:firstLine="720"/>
        <w:jc w:val="both"/>
        <w:rPr>
          <w:rFonts w:ascii="Times New Roman" w:hAnsi="Times New Roman" w:cs="Calibri"/>
        </w:rPr>
      </w:pPr>
      <w:r w:rsidRPr="00F45D01">
        <w:rPr>
          <w:rFonts w:ascii="Times New Roman" w:hAnsi="Times New Roman" w:cs="Calibri"/>
        </w:rPr>
        <w:t>Navrhuje sa doplniť ustanovenia § 94 ods. 2 zákona o bankách tak, aby sa zabezpečila harmonizácia novelizovaného § 94 ods. 2 jednak s § 9 ods. 4 zákona o bankách (pokiaľ ide o doplnenie slov do doterajšej vety v § 94 ods. 2) a jednak s obdobnými ustanoveniami iných zákonov v oblasti finančného trhu (pokiaľ ide o doplnenie novej vety do § 94 ods. 2 zákona o bankách).</w:t>
      </w:r>
    </w:p>
    <w:p w:rsidR="00F45D01" w:rsidP="00F45D01">
      <w:pPr>
        <w:bidi w:val="0"/>
        <w:jc w:val="both"/>
        <w:rPr>
          <w:rFonts w:ascii="Times New Roman" w:hAnsi="Times New Roman" w:cs="Calibri"/>
        </w:rPr>
      </w:pPr>
    </w:p>
    <w:p w:rsidR="007F71B6" w:rsidP="00F45D01">
      <w:pPr>
        <w:bidi w:val="0"/>
        <w:jc w:val="both"/>
        <w:rPr>
          <w:rFonts w:ascii="Times New Roman" w:hAnsi="Times New Roman" w:cs="Calibri"/>
          <w:b/>
        </w:rPr>
      </w:pPr>
      <w:r w:rsidRPr="007F71B6">
        <w:rPr>
          <w:rFonts w:ascii="Times New Roman" w:hAnsi="Times New Roman" w:cs="Calibri"/>
          <w:b/>
        </w:rPr>
        <w:t>K bodu 4</w:t>
      </w:r>
      <w:r w:rsidR="00A5798D">
        <w:rPr>
          <w:rFonts w:ascii="Times New Roman" w:hAnsi="Times New Roman" w:cs="Calibri"/>
          <w:b/>
        </w:rPr>
        <w:t>7</w:t>
      </w:r>
    </w:p>
    <w:p w:rsidR="007F71B6" w:rsidP="00F45D01">
      <w:pPr>
        <w:bidi w:val="0"/>
        <w:jc w:val="both"/>
        <w:rPr>
          <w:rFonts w:ascii="Times New Roman" w:hAnsi="Times New Roman" w:cs="Calibri"/>
          <w:b/>
        </w:rPr>
      </w:pPr>
    </w:p>
    <w:p w:rsidR="007F71B6" w:rsidP="007F71B6">
      <w:pPr>
        <w:bidi w:val="0"/>
        <w:jc w:val="both"/>
        <w:rPr>
          <w:rFonts w:ascii="Times New Roman" w:hAnsi="Times New Roman"/>
        </w:rPr>
      </w:pPr>
      <w:r>
        <w:rPr>
          <w:rFonts w:ascii="Times New Roman" w:hAnsi="Times New Roman"/>
        </w:rPr>
        <w:tab/>
        <w:t>Posudzovanie modelov pre výpočet kapitálových požiadaviek si vyžaduje osobitný postup v konaní, pre ktorý nepostačujú inštitúty, ktoré je možné využiť podľa zákona č. 747/2004 Z. z. o dohľade nad finančným trhom a o zmene a doplnení niektorých zákonov v znení neskorších predpisov najmä z dôvodu, že v týchto prípadoch Národná banka Slovenska participuje na skupinovom posudzovaní týchto modelov podľa § 47 zákona o bankách. Preto je potrebné stanoviť špecifický postup posudzovania modelov pre výpočet kapitálových požiadaviek v konaniach, ktoré Národná banka Slovenska vedie na žiadosť účastníka konania, v tomto prípade banky.</w:t>
      </w:r>
    </w:p>
    <w:p w:rsidR="007F71B6" w:rsidP="007F71B6">
      <w:pPr>
        <w:autoSpaceDE w:val="0"/>
        <w:autoSpaceDN w:val="0"/>
        <w:bidi w:val="0"/>
        <w:adjustRightInd w:val="0"/>
        <w:jc w:val="both"/>
        <w:rPr>
          <w:rFonts w:ascii="Times New Roman" w:hAnsi="Times New Roman"/>
          <w:color w:val="000000"/>
        </w:rPr>
      </w:pPr>
      <w:r>
        <w:rPr>
          <w:rFonts w:ascii="Times New Roman" w:hAnsi="Times New Roman"/>
        </w:rPr>
        <w:tab/>
        <w:t>Vzhľadom na tento osobitný proces, ktorý sa vyžaduje len v bankovom sektore, sa táto úprava navrhuje v zákone o bankách a nie v zákone o dohľade, v záujme zachovania jednotnosti procesných postupov.</w:t>
      </w:r>
    </w:p>
    <w:p w:rsidR="007F71B6" w:rsidRPr="007F71B6" w:rsidP="00F45D01">
      <w:pPr>
        <w:bidi w:val="0"/>
        <w:jc w:val="both"/>
        <w:rPr>
          <w:rFonts w:ascii="Times New Roman" w:hAnsi="Times New Roman" w:cs="Calibri"/>
          <w:b/>
        </w:rPr>
      </w:pPr>
    </w:p>
    <w:p w:rsidR="00F45D01" w:rsidP="00F45D01">
      <w:pPr>
        <w:bidi w:val="0"/>
        <w:jc w:val="both"/>
        <w:rPr>
          <w:rFonts w:ascii="Times New Roman" w:hAnsi="Times New Roman"/>
          <w:b/>
          <w:bCs/>
        </w:rPr>
      </w:pPr>
      <w:r w:rsidRPr="00FD0C70">
        <w:rPr>
          <w:rFonts w:ascii="Times New Roman" w:hAnsi="Times New Roman"/>
          <w:b/>
          <w:bCs/>
        </w:rPr>
        <w:t>K</w:t>
      </w:r>
      <w:r>
        <w:rPr>
          <w:rFonts w:ascii="Times New Roman" w:hAnsi="Times New Roman"/>
          <w:b/>
          <w:bCs/>
        </w:rPr>
        <w:t> </w:t>
      </w:r>
      <w:r w:rsidRPr="00FD0C70">
        <w:rPr>
          <w:rFonts w:ascii="Times New Roman" w:hAnsi="Times New Roman"/>
          <w:b/>
          <w:bCs/>
        </w:rPr>
        <w:t>bodu</w:t>
      </w:r>
      <w:r>
        <w:rPr>
          <w:rFonts w:ascii="Times New Roman" w:hAnsi="Times New Roman"/>
          <w:b/>
          <w:bCs/>
        </w:rPr>
        <w:t xml:space="preserve"> </w:t>
      </w:r>
      <w:r w:rsidR="00DC7728">
        <w:rPr>
          <w:rFonts w:ascii="Times New Roman" w:hAnsi="Times New Roman"/>
          <w:b/>
          <w:bCs/>
        </w:rPr>
        <w:t>4</w:t>
      </w:r>
      <w:r w:rsidR="00A5798D">
        <w:rPr>
          <w:rFonts w:ascii="Times New Roman" w:hAnsi="Times New Roman"/>
          <w:b/>
          <w:bCs/>
        </w:rPr>
        <w:t>8</w:t>
      </w:r>
      <w:r>
        <w:rPr>
          <w:rFonts w:ascii="Times New Roman" w:hAnsi="Times New Roman"/>
          <w:b/>
          <w:bCs/>
        </w:rPr>
        <w:t xml:space="preserve"> a</w:t>
      </w:r>
      <w:r w:rsidR="002752C4">
        <w:rPr>
          <w:rFonts w:ascii="Times New Roman" w:hAnsi="Times New Roman"/>
          <w:b/>
          <w:bCs/>
        </w:rPr>
        <w:t> </w:t>
      </w:r>
      <w:r w:rsidR="00A5798D">
        <w:rPr>
          <w:rFonts w:ascii="Times New Roman" w:hAnsi="Times New Roman"/>
          <w:b/>
          <w:bCs/>
        </w:rPr>
        <w:t>49</w:t>
      </w:r>
    </w:p>
    <w:p w:rsidR="002752C4" w:rsidP="00F45D01">
      <w:pPr>
        <w:bidi w:val="0"/>
        <w:jc w:val="both"/>
        <w:rPr>
          <w:rFonts w:ascii="Times New Roman" w:hAnsi="Times New Roman"/>
          <w:b/>
          <w:bCs/>
        </w:rPr>
      </w:pPr>
    </w:p>
    <w:p w:rsidR="002752C4" w:rsidRPr="002752C4" w:rsidP="002752C4">
      <w:pPr>
        <w:bidi w:val="0"/>
        <w:ind w:firstLine="720"/>
        <w:jc w:val="both"/>
        <w:rPr>
          <w:rFonts w:ascii="Times New Roman" w:hAnsi="Times New Roman"/>
          <w:b/>
          <w:bCs/>
        </w:rPr>
      </w:pPr>
      <w:r>
        <w:rPr>
          <w:rFonts w:ascii="Times New Roman" w:hAnsi="Times New Roman"/>
        </w:rPr>
        <w:t>Legislatívno-technická zmena</w:t>
      </w:r>
      <w:r w:rsidR="007449BF">
        <w:rPr>
          <w:rFonts w:ascii="Times New Roman" w:hAnsi="Times New Roman" w:cs="Calibri"/>
        </w:rPr>
        <w:t xml:space="preserve"> vz</w:t>
      </w:r>
      <w:r w:rsidRPr="002752C4">
        <w:rPr>
          <w:rFonts w:ascii="Times New Roman" w:hAnsi="Times New Roman" w:cs="Calibri"/>
        </w:rPr>
        <w:t>hľadom k tomu, že právo Európskych spoločenstiev sa na základe Lisabonskej zmluvy, ktorou sa mení a dopĺňa Zmluva o Európskej únii a Zmluva o založení Európskeho spoločenstva, recipovalo do práva Európskej únie</w:t>
      </w:r>
      <w:r w:rsidR="009E3081">
        <w:rPr>
          <w:rFonts w:ascii="Times New Roman" w:hAnsi="Times New Roman" w:cs="Calibri"/>
        </w:rPr>
        <w:t>.</w:t>
      </w:r>
    </w:p>
    <w:p w:rsidR="00F45D01" w:rsidP="00F45D01">
      <w:pPr>
        <w:bidi w:val="0"/>
        <w:jc w:val="both"/>
        <w:rPr>
          <w:rFonts w:ascii="Times New Roman" w:hAnsi="Times New Roman"/>
          <w:b/>
          <w:bCs/>
        </w:rPr>
      </w:pPr>
    </w:p>
    <w:p w:rsidR="00B86491" w:rsidP="00F45D01">
      <w:pPr>
        <w:bidi w:val="0"/>
        <w:jc w:val="both"/>
        <w:rPr>
          <w:rFonts w:ascii="Times New Roman" w:hAnsi="Times New Roman"/>
          <w:b/>
          <w:bCs/>
        </w:rPr>
      </w:pPr>
      <w:r>
        <w:rPr>
          <w:rFonts w:ascii="Times New Roman" w:hAnsi="Times New Roman"/>
          <w:b/>
          <w:bCs/>
        </w:rPr>
        <w:t>K bodu 5</w:t>
      </w:r>
      <w:r w:rsidR="00A5798D">
        <w:rPr>
          <w:rFonts w:ascii="Times New Roman" w:hAnsi="Times New Roman"/>
          <w:b/>
          <w:bCs/>
        </w:rPr>
        <w:t>0</w:t>
      </w:r>
    </w:p>
    <w:p w:rsidR="00B86491" w:rsidP="00F45D01">
      <w:pPr>
        <w:bidi w:val="0"/>
        <w:jc w:val="both"/>
        <w:rPr>
          <w:rFonts w:ascii="Times New Roman" w:hAnsi="Times New Roman"/>
          <w:b/>
          <w:bCs/>
        </w:rPr>
      </w:pPr>
    </w:p>
    <w:p w:rsidR="00B86491" w:rsidRPr="00B86491" w:rsidP="00F45D01">
      <w:pPr>
        <w:bidi w:val="0"/>
        <w:jc w:val="both"/>
        <w:rPr>
          <w:rFonts w:ascii="Times New Roman" w:hAnsi="Times New Roman"/>
          <w:bCs/>
        </w:rPr>
      </w:pPr>
      <w:r>
        <w:rPr>
          <w:rFonts w:ascii="Times New Roman" w:hAnsi="Times New Roman"/>
          <w:b/>
          <w:bCs/>
        </w:rPr>
        <w:tab/>
      </w:r>
      <w:r w:rsidRPr="00B86491">
        <w:rPr>
          <w:rFonts w:ascii="Times New Roman" w:hAnsi="Times New Roman"/>
          <w:bCs/>
        </w:rPr>
        <w:t>Ide o prechodné ustanovenie k úpravám účinným od účinnosti tohto zákona.</w:t>
      </w:r>
    </w:p>
    <w:p w:rsidR="00B86491" w:rsidP="00F45D01">
      <w:pPr>
        <w:bidi w:val="0"/>
        <w:jc w:val="both"/>
        <w:rPr>
          <w:rFonts w:ascii="Times New Roman" w:hAnsi="Times New Roman"/>
          <w:b/>
          <w:bCs/>
        </w:rPr>
      </w:pPr>
    </w:p>
    <w:p w:rsidR="00F45D01" w:rsidP="00F45D01">
      <w:pPr>
        <w:bidi w:val="0"/>
        <w:jc w:val="both"/>
        <w:rPr>
          <w:rFonts w:ascii="Times New Roman" w:hAnsi="Times New Roman"/>
          <w:b/>
          <w:bCs/>
        </w:rPr>
      </w:pPr>
      <w:r w:rsidRPr="00FD0C70">
        <w:rPr>
          <w:rFonts w:ascii="Times New Roman" w:hAnsi="Times New Roman"/>
          <w:b/>
          <w:bCs/>
        </w:rPr>
        <w:t>K</w:t>
      </w:r>
      <w:r>
        <w:rPr>
          <w:rFonts w:ascii="Times New Roman" w:hAnsi="Times New Roman"/>
          <w:b/>
          <w:bCs/>
        </w:rPr>
        <w:t> </w:t>
      </w:r>
      <w:r w:rsidRPr="00FD0C70">
        <w:rPr>
          <w:rFonts w:ascii="Times New Roman" w:hAnsi="Times New Roman"/>
          <w:b/>
          <w:bCs/>
        </w:rPr>
        <w:t>bodu</w:t>
      </w:r>
      <w:r>
        <w:rPr>
          <w:rFonts w:ascii="Times New Roman" w:hAnsi="Times New Roman"/>
          <w:b/>
          <w:bCs/>
        </w:rPr>
        <w:t xml:space="preserve"> </w:t>
      </w:r>
      <w:r w:rsidR="007F71B6">
        <w:rPr>
          <w:rFonts w:ascii="Times New Roman" w:hAnsi="Times New Roman"/>
          <w:b/>
          <w:bCs/>
        </w:rPr>
        <w:t>5</w:t>
      </w:r>
      <w:r w:rsidR="00A5798D">
        <w:rPr>
          <w:rFonts w:ascii="Times New Roman" w:hAnsi="Times New Roman"/>
          <w:b/>
          <w:bCs/>
        </w:rPr>
        <w:t>1</w:t>
      </w:r>
    </w:p>
    <w:p w:rsidR="00F45D01" w:rsidRPr="00F45D01" w:rsidP="00F45D01">
      <w:pPr>
        <w:bidi w:val="0"/>
        <w:jc w:val="both"/>
        <w:rPr>
          <w:rFonts w:ascii="Times New Roman" w:hAnsi="Times New Roman"/>
          <w:b/>
          <w:bCs/>
        </w:rPr>
      </w:pPr>
    </w:p>
    <w:p w:rsidR="008E6F63" w:rsidP="008E6F63">
      <w:pPr>
        <w:bidi w:val="0"/>
        <w:ind w:firstLine="720"/>
        <w:jc w:val="both"/>
        <w:rPr>
          <w:rFonts w:ascii="Times New Roman" w:hAnsi="Times New Roman" w:cs="Calibri"/>
          <w:b/>
        </w:rPr>
      </w:pPr>
      <w:r w:rsidR="007B1461">
        <w:rPr>
          <w:rFonts w:ascii="Times New Roman" w:hAnsi="Times New Roman" w:cs="Calibri"/>
        </w:rPr>
        <w:t> P</w:t>
      </w:r>
      <w:r>
        <w:rPr>
          <w:rFonts w:ascii="Times New Roman" w:hAnsi="Times New Roman" w:cs="Calibri"/>
        </w:rPr>
        <w:t>ríloh</w:t>
      </w:r>
      <w:r w:rsidR="007B1461">
        <w:rPr>
          <w:rFonts w:ascii="Times New Roman" w:hAnsi="Times New Roman" w:cs="Calibri"/>
        </w:rPr>
        <w:t xml:space="preserve">a zákona o bankách </w:t>
      </w:r>
      <w:r>
        <w:rPr>
          <w:rFonts w:ascii="Times New Roman" w:hAnsi="Times New Roman" w:cs="Calibri"/>
        </w:rPr>
        <w:t>sa dopĺňa o smernicu Európskeho parlamentu a Rady 2009/111/ES zo 16. septembra 2010, ktorou sa dopĺňajú smernice 2006/48/ES, 2006/49/ES a 2007/64/ES.</w:t>
      </w:r>
    </w:p>
    <w:p w:rsidR="002F01F3" w:rsidRPr="003648A9" w:rsidP="00FA2DDC">
      <w:pPr>
        <w:bidi w:val="0"/>
        <w:jc w:val="both"/>
        <w:rPr>
          <w:rFonts w:ascii="Times New Roman" w:hAnsi="Times New Roman"/>
        </w:rPr>
      </w:pPr>
    </w:p>
    <w:p w:rsidR="0044756A" w:rsidRPr="003648A9" w:rsidP="00FA2DDC">
      <w:pPr>
        <w:bidi w:val="0"/>
        <w:jc w:val="both"/>
        <w:rPr>
          <w:rFonts w:ascii="Times New Roman" w:hAnsi="Times New Roman"/>
        </w:rPr>
      </w:pPr>
    </w:p>
    <w:p w:rsidR="0044756A" w:rsidRPr="003648A9" w:rsidP="00FA2DDC">
      <w:pPr>
        <w:bidi w:val="0"/>
        <w:jc w:val="both"/>
        <w:rPr>
          <w:rFonts w:ascii="Times New Roman" w:hAnsi="Times New Roman"/>
        </w:rPr>
      </w:pPr>
    </w:p>
    <w:p w:rsidR="0044756A" w:rsidRPr="003648A9" w:rsidP="00FA2DDC">
      <w:pPr>
        <w:bidi w:val="0"/>
        <w:jc w:val="both"/>
        <w:rPr>
          <w:rFonts w:ascii="Times New Roman" w:hAnsi="Times New Roman"/>
        </w:rPr>
        <w:sectPr w:rsidSect="00FA2DDC">
          <w:pgSz w:w="11906" w:h="16838"/>
          <w:pgMar w:top="1134" w:right="1134" w:bottom="1134" w:left="1134" w:header="709" w:footer="709" w:gutter="0"/>
          <w:lnNumType w:distance="0"/>
          <w:cols w:space="708"/>
          <w:noEndnote w:val="0"/>
          <w:bidi w:val="0"/>
          <w:docGrid w:linePitch="360"/>
        </w:sectPr>
      </w:pPr>
    </w:p>
    <w:p w:rsidR="00E45D21" w:rsidRPr="002653B7" w:rsidP="00FA2DDC">
      <w:pPr>
        <w:bidi w:val="0"/>
        <w:jc w:val="both"/>
        <w:rPr>
          <w:rFonts w:ascii="Times New Roman" w:hAnsi="Times New Roman"/>
          <w:b/>
          <w:bCs/>
        </w:rPr>
      </w:pPr>
      <w:r w:rsidRPr="002653B7" w:rsidR="00CF64E3">
        <w:rPr>
          <w:rFonts w:ascii="Times New Roman" w:hAnsi="Times New Roman"/>
          <w:b/>
          <w:bCs/>
        </w:rPr>
        <w:t>K ustanoveniam článku II</w:t>
      </w:r>
    </w:p>
    <w:p w:rsidR="00CF64E3" w:rsidRPr="002653B7" w:rsidP="00FA2DDC">
      <w:pPr>
        <w:bidi w:val="0"/>
        <w:jc w:val="both"/>
        <w:rPr>
          <w:rFonts w:ascii="Times New Roman" w:hAnsi="Times New Roman"/>
        </w:rPr>
      </w:pPr>
    </w:p>
    <w:p w:rsidR="00B1746A" w:rsidP="00FA2DDC">
      <w:pPr>
        <w:bidi w:val="0"/>
        <w:jc w:val="both"/>
        <w:rPr>
          <w:rFonts w:ascii="Times New Roman" w:hAnsi="Times New Roman"/>
          <w:b/>
          <w:bCs/>
        </w:rPr>
      </w:pPr>
      <w:r w:rsidRPr="005D29DC">
        <w:rPr>
          <w:rFonts w:ascii="Times New Roman" w:hAnsi="Times New Roman"/>
          <w:b/>
          <w:bCs/>
        </w:rPr>
        <w:t>K bodu 1</w:t>
      </w:r>
      <w:r w:rsidR="002876C2">
        <w:rPr>
          <w:rFonts w:ascii="Times New Roman" w:hAnsi="Times New Roman"/>
          <w:b/>
          <w:bCs/>
        </w:rPr>
        <w:t> </w:t>
      </w:r>
    </w:p>
    <w:p w:rsidR="002876C2" w:rsidP="002876C2">
      <w:pPr>
        <w:bidi w:val="0"/>
        <w:jc w:val="both"/>
        <w:rPr>
          <w:rFonts w:ascii="Times New Roman" w:hAnsi="Times New Roman"/>
        </w:rPr>
      </w:pPr>
    </w:p>
    <w:p w:rsidR="002876C2" w:rsidP="002876C2">
      <w:pPr>
        <w:bidi w:val="0"/>
        <w:ind w:firstLine="720"/>
        <w:jc w:val="both"/>
        <w:rPr>
          <w:rFonts w:ascii="Times New Roman" w:hAnsi="Times New Roman"/>
        </w:rPr>
      </w:pPr>
      <w:r w:rsidRPr="003648A9">
        <w:rPr>
          <w:rFonts w:ascii="Times New Roman" w:hAnsi="Times New Roman"/>
        </w:rPr>
        <w:t>Navrhovaným znením dochádza</w:t>
      </w:r>
      <w:r w:rsidR="00D10AF1">
        <w:rPr>
          <w:rFonts w:ascii="Times New Roman" w:hAnsi="Times New Roman"/>
        </w:rPr>
        <w:t xml:space="preserve"> k zosúladeniu znenia zákona so znením zákona o bankách a </w:t>
      </w:r>
      <w:r w:rsidRPr="003648A9">
        <w:rPr>
          <w:rFonts w:ascii="Times New Roman" w:hAnsi="Times New Roman"/>
        </w:rPr>
        <w:t xml:space="preserve"> k oprave technicko-legislatívnej chyby, ktorá vznikla pri predchádzajúcej novele zákona</w:t>
      </w:r>
      <w:r w:rsidR="00D10AF1">
        <w:rPr>
          <w:rFonts w:ascii="Times New Roman" w:hAnsi="Times New Roman"/>
        </w:rPr>
        <w:t xml:space="preserve"> o bankách</w:t>
      </w:r>
      <w:r w:rsidRPr="003648A9">
        <w:rPr>
          <w:rFonts w:ascii="Times New Roman" w:hAnsi="Times New Roman"/>
        </w:rPr>
        <w:t xml:space="preserve"> v súvislosti s definíciou finančnej holdingovej spoločnosti v § 44 ods. 13 písm. a)</w:t>
      </w:r>
      <w:r>
        <w:rPr>
          <w:rFonts w:ascii="Times New Roman" w:hAnsi="Times New Roman"/>
        </w:rPr>
        <w:t xml:space="preserve"> zákona o bankách</w:t>
      </w:r>
      <w:r w:rsidRPr="003648A9">
        <w:rPr>
          <w:rFonts w:ascii="Times New Roman" w:hAnsi="Times New Roman"/>
        </w:rPr>
        <w:t>.</w:t>
      </w:r>
      <w:r w:rsidR="00D10AF1">
        <w:rPr>
          <w:rFonts w:ascii="Times New Roman" w:hAnsi="Times New Roman"/>
        </w:rPr>
        <w:t xml:space="preserve"> Zákon o cenných papieroch používa pojem „finančná holdingová inštitúcia“ vo viacerých ustanoveniach. </w:t>
      </w:r>
    </w:p>
    <w:p w:rsidR="002752C4" w:rsidP="002876C2">
      <w:pPr>
        <w:bidi w:val="0"/>
        <w:ind w:firstLine="720"/>
        <w:jc w:val="both"/>
        <w:rPr>
          <w:rFonts w:ascii="Times New Roman" w:hAnsi="Times New Roman"/>
        </w:rPr>
      </w:pPr>
    </w:p>
    <w:p w:rsidR="002876C2" w:rsidP="002876C2">
      <w:pPr>
        <w:bidi w:val="0"/>
        <w:jc w:val="both"/>
        <w:rPr>
          <w:rFonts w:ascii="Times New Roman" w:hAnsi="Times New Roman"/>
          <w:b/>
          <w:bCs/>
        </w:rPr>
      </w:pPr>
      <w:r w:rsidR="00D10AF1">
        <w:rPr>
          <w:rFonts w:ascii="Times New Roman" w:hAnsi="Times New Roman"/>
          <w:b/>
          <w:bCs/>
        </w:rPr>
        <w:t>K</w:t>
      </w:r>
      <w:r>
        <w:rPr>
          <w:rFonts w:ascii="Times New Roman" w:hAnsi="Times New Roman"/>
          <w:b/>
          <w:bCs/>
        </w:rPr>
        <w:t> </w:t>
      </w:r>
      <w:r w:rsidRPr="005D29DC">
        <w:rPr>
          <w:rFonts w:ascii="Times New Roman" w:hAnsi="Times New Roman"/>
          <w:b/>
          <w:bCs/>
        </w:rPr>
        <w:t>bodu</w:t>
      </w:r>
      <w:r>
        <w:rPr>
          <w:rFonts w:ascii="Times New Roman" w:hAnsi="Times New Roman"/>
          <w:b/>
          <w:bCs/>
        </w:rPr>
        <w:t xml:space="preserve"> 2</w:t>
      </w:r>
    </w:p>
    <w:p w:rsidR="00D10AF1" w:rsidP="002876C2">
      <w:pPr>
        <w:bidi w:val="0"/>
        <w:jc w:val="both"/>
        <w:rPr>
          <w:rFonts w:ascii="Times New Roman" w:hAnsi="Times New Roman"/>
          <w:b/>
          <w:bCs/>
        </w:rPr>
      </w:pPr>
    </w:p>
    <w:p w:rsidR="00D10AF1" w:rsidP="00D10AF1">
      <w:pPr>
        <w:bidi w:val="0"/>
        <w:ind w:firstLine="720"/>
        <w:jc w:val="both"/>
        <w:rPr>
          <w:rFonts w:ascii="Times New Roman" w:hAnsi="Times New Roman" w:cs="Calibri"/>
        </w:rPr>
      </w:pPr>
      <w:r w:rsidRPr="00D10AF1">
        <w:rPr>
          <w:rFonts w:ascii="Times New Roman" w:hAnsi="Times New Roman" w:cs="Calibri"/>
        </w:rPr>
        <w:t xml:space="preserve">Z pôvodného znenia tohto ustanovenia sa vypúšťa slovo „právnická“, pričom pôvodná formulácia vyraďovala fyzické osoby z okruhu osôb vykonávajúcich nepriamy podiel, hoci by sa ani fyzickej osobe nemalo brániť nadobudnúť takúto formu podielu. Navrhovaná úprava je v súlade s analogickou úpravou v zákone o poisťovníctve </w:t>
      </w:r>
      <w:r>
        <w:rPr>
          <w:rFonts w:ascii="Times New Roman" w:hAnsi="Times New Roman" w:cs="Calibri"/>
        </w:rPr>
        <w:t>(§ 3 písm. e)</w:t>
      </w:r>
      <w:r w:rsidRPr="00D10AF1">
        <w:rPr>
          <w:rFonts w:ascii="Times New Roman" w:hAnsi="Times New Roman" w:cs="Calibri"/>
        </w:rPr>
        <w:t>.</w:t>
      </w:r>
    </w:p>
    <w:p w:rsidR="00CF379D" w:rsidP="005F1446">
      <w:pPr>
        <w:bidi w:val="0"/>
        <w:ind w:firstLine="720"/>
        <w:jc w:val="both"/>
        <w:rPr>
          <w:rFonts w:ascii="Times New Roman" w:hAnsi="Times New Roman" w:cs="Calibri"/>
        </w:rPr>
      </w:pPr>
    </w:p>
    <w:p w:rsidR="00CF379D" w:rsidP="00CF379D">
      <w:pPr>
        <w:bidi w:val="0"/>
        <w:rPr>
          <w:rFonts w:ascii="Times New Roman" w:hAnsi="Times New Roman" w:cs="Calibri"/>
          <w:b/>
        </w:rPr>
      </w:pPr>
      <w:r w:rsidRPr="00CF379D">
        <w:rPr>
          <w:rFonts w:ascii="Times New Roman" w:hAnsi="Times New Roman" w:cs="Calibri"/>
          <w:b/>
        </w:rPr>
        <w:t>K bodu 3</w:t>
      </w:r>
    </w:p>
    <w:p w:rsidR="00CF379D" w:rsidP="00CF379D">
      <w:pPr>
        <w:bidi w:val="0"/>
        <w:rPr>
          <w:rFonts w:ascii="Times New Roman" w:hAnsi="Times New Roman" w:cs="Calibri"/>
          <w:b/>
        </w:rPr>
      </w:pPr>
    </w:p>
    <w:p w:rsidR="00F15F59" w:rsidP="00F15F59">
      <w:pPr>
        <w:bidi w:val="0"/>
        <w:ind w:firstLine="567"/>
        <w:jc w:val="both"/>
        <w:rPr>
          <w:rFonts w:ascii="Times New Roman" w:hAnsi="Times New Roman"/>
        </w:rPr>
      </w:pPr>
      <w:r>
        <w:rPr>
          <w:rFonts w:ascii="Times New Roman" w:hAnsi="Times New Roman"/>
        </w:rPr>
        <w:t>Navrhnutou úpravou ustanovenia §</w:t>
      </w:r>
      <w:r>
        <w:rPr>
          <w:rFonts w:ascii="Times New Roman" w:eastAsia="Times New Roman" w:hAnsi="Times New Roman" w:cs="Times New Roman"/>
          <w:color w:val="000000"/>
          <w:rtl w:val="0"/>
        </w:rPr>
        <w:sym w:font="Times New Roman" w:char="F0A0"/>
      </w:r>
      <w:r>
        <w:rPr>
          <w:rFonts w:ascii="Times New Roman" w:hAnsi="Times New Roman"/>
        </w:rPr>
        <w:t>10 ods.</w:t>
      </w:r>
      <w:r>
        <w:rPr>
          <w:rFonts w:ascii="Times New Roman" w:hAnsi="Times New Roman"/>
          <w:color w:val="000000"/>
          <w:szCs w:val="22"/>
        </w:rPr>
        <w:t xml:space="preserve"> </w:t>
      </w:r>
      <w:r>
        <w:rPr>
          <w:rFonts w:ascii="Times New Roman" w:eastAsia="Times New Roman" w:hAnsi="Times New Roman" w:cs="Times New Roman"/>
          <w:color w:val="000000"/>
          <w:rtl w:val="0"/>
        </w:rPr>
        <w:sym w:font="Times New Roman" w:char="F0A0"/>
      </w:r>
      <w:r>
        <w:rPr>
          <w:rFonts w:ascii="Times New Roman" w:hAnsi="Times New Roman"/>
        </w:rPr>
        <w:t>3 zákona o cenných papieroch a investičných službách sa zabezpečuje jeho zosúladenie s aktuálnym znením ustanovení §</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3</w:t>
      </w:r>
      <w:r>
        <w:rPr>
          <w:rFonts w:ascii="Times New Roman" w:hAnsi="Times New Roman"/>
        </w:rPr>
        <w:t xml:space="preserve"> ods.</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1 písm.</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i) a §</w:t>
      </w:r>
      <w:r>
        <w:rPr>
          <w:rFonts w:ascii="Times New Roman" w:eastAsia="Times New Roman" w:hAnsi="Times New Roman" w:cs="Times New Roman"/>
          <w:color w:val="000000"/>
          <w:rtl w:val="0"/>
        </w:rPr>
        <w:sym w:font="Times New Roman" w:char="F0A0"/>
      </w:r>
      <w:r>
        <w:rPr>
          <w:rFonts w:ascii="Times New Roman" w:hAnsi="Times New Roman"/>
        </w:rPr>
        <w:t>3 ods.</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6 zákona č.</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530/1990</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 xml:space="preserve">Zb. o dlhopisoch v znení neskorších predpisov, podľa ktorých možno dlhopis na meno vydať aj v listinnej podobe. </w:t>
      </w:r>
    </w:p>
    <w:p w:rsidR="00F15F59" w:rsidP="00F15F59">
      <w:pPr>
        <w:bidi w:val="0"/>
        <w:jc w:val="both"/>
        <w:rPr>
          <w:rFonts w:ascii="Times New Roman" w:hAnsi="Times New Roman"/>
        </w:rPr>
      </w:pPr>
    </w:p>
    <w:p w:rsidR="00CF379D" w:rsidRPr="00CF379D" w:rsidP="00CF379D">
      <w:pPr>
        <w:bidi w:val="0"/>
        <w:rPr>
          <w:rFonts w:ascii="Times New Roman" w:hAnsi="Times New Roman" w:cs="Calibri"/>
          <w:b/>
        </w:rPr>
      </w:pPr>
      <w:r>
        <w:rPr>
          <w:rFonts w:ascii="Times New Roman" w:hAnsi="Times New Roman" w:cs="Calibri"/>
          <w:b/>
        </w:rPr>
        <w:t>K bodu 4</w:t>
      </w:r>
    </w:p>
    <w:p w:rsidR="00F15F59" w:rsidP="00CF379D">
      <w:pPr>
        <w:bidi w:val="0"/>
        <w:rPr>
          <w:rFonts w:ascii="Times New Roman" w:hAnsi="Times New Roman" w:cs="Calibri"/>
        </w:rPr>
      </w:pPr>
      <w:r w:rsidRPr="00D10AF1" w:rsidR="00D10AF1">
        <w:rPr>
          <w:rFonts w:ascii="Times New Roman" w:hAnsi="Times New Roman" w:cs="Calibri"/>
        </w:rPr>
        <w:t xml:space="preserve"> </w:t>
      </w:r>
    </w:p>
    <w:p w:rsidR="00F15F59" w:rsidP="00F15F59">
      <w:pPr>
        <w:bidi w:val="0"/>
        <w:ind w:firstLine="567"/>
        <w:jc w:val="both"/>
        <w:rPr>
          <w:rFonts w:ascii="Times New Roman" w:hAnsi="Times New Roman"/>
          <w:color w:val="000000"/>
          <w:szCs w:val="22"/>
        </w:rPr>
      </w:pPr>
      <w:r>
        <w:rPr>
          <w:rFonts w:ascii="Times New Roman" w:hAnsi="Times New Roman"/>
        </w:rPr>
        <w:t>Úprava ustanovenia §</w:t>
      </w:r>
      <w:r>
        <w:rPr>
          <w:rFonts w:ascii="Times New Roman" w:eastAsia="Times New Roman" w:hAnsi="Times New Roman" w:cs="Times New Roman"/>
          <w:color w:val="000000"/>
          <w:rtl w:val="0"/>
        </w:rPr>
        <w:sym w:font="Times New Roman" w:char="F0A0"/>
      </w:r>
      <w:r>
        <w:rPr>
          <w:rFonts w:ascii="Times New Roman" w:hAnsi="Times New Roman"/>
        </w:rPr>
        <w:t>12 ods.</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1</w:t>
      </w:r>
      <w:r>
        <w:rPr>
          <w:rFonts w:ascii="Times New Roman" w:hAnsi="Times New Roman"/>
        </w:rPr>
        <w:t xml:space="preserve"> legislatívne nadväzuje na navrhnutú úpravu §</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3</w:t>
      </w:r>
      <w:r>
        <w:rPr>
          <w:rFonts w:ascii="Times New Roman" w:hAnsi="Times New Roman"/>
        </w:rPr>
        <w:t xml:space="preserve"> ods.</w:t>
      </w:r>
      <w:r>
        <w:rPr>
          <w:rFonts w:ascii="Times New Roman" w:eastAsia="Times New Roman" w:hAnsi="Times New Roman" w:cs="Times New Roman"/>
          <w:color w:val="000000"/>
          <w:rtl w:val="0"/>
        </w:rPr>
        <w:sym w:font="Times New Roman" w:char="F0A0"/>
      </w:r>
      <w:r>
        <w:rPr>
          <w:rFonts w:ascii="Times New Roman" w:hAnsi="Times New Roman"/>
          <w:color w:val="000000"/>
          <w:szCs w:val="22"/>
        </w:rPr>
        <w:t xml:space="preserve">1 </w:t>
      </w:r>
      <w:r>
        <w:rPr>
          <w:rFonts w:ascii="Times New Roman" w:hAnsi="Times New Roman"/>
        </w:rPr>
        <w:t>zákona o cenných papieroch a investičných službách</w:t>
      </w:r>
      <w:r>
        <w:rPr>
          <w:rFonts w:ascii="Times New Roman" w:hAnsi="Times New Roman"/>
          <w:color w:val="000000"/>
          <w:szCs w:val="22"/>
        </w:rPr>
        <w:t xml:space="preserve">. </w:t>
      </w:r>
    </w:p>
    <w:p w:rsidR="002876C2" w:rsidP="00CF379D">
      <w:pPr>
        <w:bidi w:val="0"/>
        <w:rPr>
          <w:rFonts w:ascii="Times New Roman" w:hAnsi="Times New Roman"/>
          <w:b/>
          <w:bCs/>
        </w:rPr>
      </w:pPr>
      <w:r w:rsidRPr="00D10AF1" w:rsidR="00D10AF1">
        <w:rPr>
          <w:rFonts w:ascii="Times New Roman" w:hAnsi="Times New Roman" w:cs="Calibri"/>
        </w:rPr>
        <w:br/>
      </w:r>
      <w:r w:rsidRPr="005D29DC">
        <w:rPr>
          <w:rFonts w:ascii="Times New Roman" w:hAnsi="Times New Roman"/>
          <w:b/>
          <w:bCs/>
        </w:rPr>
        <w:t>K</w:t>
      </w:r>
      <w:r>
        <w:rPr>
          <w:rFonts w:ascii="Times New Roman" w:hAnsi="Times New Roman"/>
          <w:b/>
          <w:bCs/>
        </w:rPr>
        <w:t> </w:t>
      </w:r>
      <w:r w:rsidRPr="005D29DC">
        <w:rPr>
          <w:rFonts w:ascii="Times New Roman" w:hAnsi="Times New Roman"/>
          <w:b/>
          <w:bCs/>
        </w:rPr>
        <w:t>bodu</w:t>
      </w:r>
      <w:r>
        <w:rPr>
          <w:rFonts w:ascii="Times New Roman" w:hAnsi="Times New Roman"/>
          <w:b/>
          <w:bCs/>
        </w:rPr>
        <w:t xml:space="preserve"> </w:t>
      </w:r>
      <w:r w:rsidR="00CF379D">
        <w:rPr>
          <w:rFonts w:ascii="Times New Roman" w:hAnsi="Times New Roman"/>
          <w:b/>
          <w:bCs/>
        </w:rPr>
        <w:t>5</w:t>
      </w:r>
    </w:p>
    <w:p w:rsidR="00AA1939" w:rsidP="005F1446">
      <w:pPr>
        <w:bidi w:val="0"/>
        <w:ind w:firstLine="720"/>
        <w:jc w:val="both"/>
        <w:rPr>
          <w:rFonts w:ascii="Times New Roman" w:hAnsi="Times New Roman"/>
          <w:b/>
          <w:bCs/>
        </w:rPr>
      </w:pPr>
    </w:p>
    <w:p w:rsidR="00AA1939" w:rsidP="005F1446">
      <w:pPr>
        <w:bidi w:val="0"/>
        <w:ind w:firstLine="720"/>
        <w:jc w:val="both"/>
        <w:rPr>
          <w:rFonts w:ascii="Times New Roman" w:hAnsi="Times New Roman"/>
          <w:b/>
          <w:bCs/>
        </w:rPr>
      </w:pPr>
      <w:r w:rsidR="006C516D">
        <w:rPr>
          <w:rFonts w:ascii="Times New Roman" w:hAnsi="Times New Roman"/>
        </w:rPr>
        <w:t xml:space="preserve">Navrhovanou </w:t>
      </w:r>
      <w:r w:rsidR="007449BF">
        <w:rPr>
          <w:rFonts w:ascii="Times New Roman" w:hAnsi="Times New Roman"/>
        </w:rPr>
        <w:t>znením</w:t>
      </w:r>
      <w:r w:rsidR="006C516D">
        <w:rPr>
          <w:rFonts w:ascii="Times New Roman" w:hAnsi="Times New Roman"/>
        </w:rPr>
        <w:t xml:space="preserve"> dochádza k</w:t>
      </w:r>
      <w:r w:rsidR="006C516D">
        <w:rPr>
          <w:rFonts w:ascii="Times New Roman" w:hAnsi="Times New Roman" w:cs="Calibri"/>
        </w:rPr>
        <w:t xml:space="preserve"> úprave názvu Európskej komisie. </w:t>
      </w:r>
    </w:p>
    <w:p w:rsidR="002876C2" w:rsidP="002876C2">
      <w:pPr>
        <w:bidi w:val="0"/>
        <w:jc w:val="both"/>
        <w:rPr>
          <w:rFonts w:ascii="Times New Roman" w:hAnsi="Times New Roman"/>
          <w:b/>
          <w:bCs/>
        </w:rPr>
      </w:pPr>
    </w:p>
    <w:p w:rsidR="002876C2" w:rsidP="002876C2">
      <w:pPr>
        <w:bidi w:val="0"/>
        <w:jc w:val="both"/>
        <w:rPr>
          <w:rFonts w:ascii="Times New Roman" w:hAnsi="Times New Roman"/>
          <w:b/>
          <w:bCs/>
        </w:rPr>
      </w:pPr>
      <w:r w:rsidRPr="005D29DC">
        <w:rPr>
          <w:rFonts w:ascii="Times New Roman" w:hAnsi="Times New Roman"/>
          <w:b/>
          <w:bCs/>
        </w:rPr>
        <w:t>K</w:t>
      </w:r>
      <w:r>
        <w:rPr>
          <w:rFonts w:ascii="Times New Roman" w:hAnsi="Times New Roman"/>
          <w:b/>
          <w:bCs/>
        </w:rPr>
        <w:t> </w:t>
      </w:r>
      <w:r w:rsidRPr="005D29DC">
        <w:rPr>
          <w:rFonts w:ascii="Times New Roman" w:hAnsi="Times New Roman"/>
          <w:b/>
          <w:bCs/>
        </w:rPr>
        <w:t>bodu</w:t>
      </w:r>
      <w:r>
        <w:rPr>
          <w:rFonts w:ascii="Times New Roman" w:hAnsi="Times New Roman"/>
          <w:b/>
          <w:bCs/>
        </w:rPr>
        <w:t xml:space="preserve"> </w:t>
      </w:r>
      <w:r w:rsidR="00CF379D">
        <w:rPr>
          <w:rFonts w:ascii="Times New Roman" w:hAnsi="Times New Roman"/>
          <w:b/>
          <w:bCs/>
        </w:rPr>
        <w:t>6</w:t>
      </w:r>
      <w:r w:rsidR="004F1991">
        <w:rPr>
          <w:rFonts w:ascii="Times New Roman" w:hAnsi="Times New Roman"/>
          <w:b/>
          <w:bCs/>
        </w:rPr>
        <w:t xml:space="preserve"> </w:t>
      </w:r>
    </w:p>
    <w:p w:rsidR="004F1991" w:rsidP="002876C2">
      <w:pPr>
        <w:bidi w:val="0"/>
        <w:jc w:val="both"/>
        <w:rPr>
          <w:rFonts w:ascii="Times New Roman" w:hAnsi="Times New Roman"/>
          <w:b/>
          <w:bCs/>
        </w:rPr>
      </w:pPr>
    </w:p>
    <w:p w:rsidR="005D29DC" w:rsidRPr="005D29DC" w:rsidP="00FA2DDC">
      <w:pPr>
        <w:bidi w:val="0"/>
        <w:jc w:val="both"/>
        <w:rPr>
          <w:rFonts w:ascii="Times New Roman" w:hAnsi="Times New Roman"/>
          <w:u w:val="single"/>
        </w:rPr>
      </w:pPr>
      <w:r w:rsidRPr="005D29DC">
        <w:rPr>
          <w:rFonts w:ascii="Times New Roman" w:hAnsi="Times New Roman"/>
          <w:u w:val="single"/>
        </w:rPr>
        <w:t>K § 74</w:t>
      </w:r>
      <w:r w:rsidR="006C516D">
        <w:rPr>
          <w:rFonts w:ascii="Times New Roman" w:hAnsi="Times New Roman"/>
          <w:u w:val="single"/>
        </w:rPr>
        <w:t>a</w:t>
      </w:r>
      <w:r w:rsidRPr="005D29DC">
        <w:rPr>
          <w:rFonts w:ascii="Times New Roman" w:hAnsi="Times New Roman"/>
          <w:u w:val="single"/>
        </w:rPr>
        <w:t xml:space="preserve"> ods. 1, 2 a 3</w:t>
      </w:r>
    </w:p>
    <w:p w:rsidR="00B1746A" w:rsidRPr="002653B7" w:rsidP="0044756A">
      <w:pPr>
        <w:bidi w:val="0"/>
        <w:jc w:val="both"/>
        <w:rPr>
          <w:rFonts w:ascii="Times New Roman" w:hAnsi="Times New Roman"/>
        </w:rPr>
      </w:pPr>
      <w:r w:rsidRPr="002653B7" w:rsidR="0044756A">
        <w:rPr>
          <w:rFonts w:ascii="Times New Roman" w:hAnsi="Times New Roman"/>
        </w:rPr>
        <w:tab/>
        <w:t>Navrhovaným ustanovením § 74a ods. 1</w:t>
      </w:r>
      <w:r w:rsidRPr="002653B7" w:rsidR="00E73C26">
        <w:rPr>
          <w:rFonts w:ascii="Times New Roman" w:hAnsi="Times New Roman"/>
        </w:rPr>
        <w:t xml:space="preserve">, </w:t>
      </w:r>
      <w:r w:rsidRPr="002653B7" w:rsidR="0044756A">
        <w:rPr>
          <w:rFonts w:ascii="Times New Roman" w:hAnsi="Times New Roman"/>
        </w:rPr>
        <w:t xml:space="preserve">2 </w:t>
      </w:r>
      <w:r w:rsidRPr="002653B7" w:rsidR="00E73C26">
        <w:rPr>
          <w:rFonts w:ascii="Times New Roman" w:hAnsi="Times New Roman"/>
        </w:rPr>
        <w:t xml:space="preserve">a 3 </w:t>
      </w:r>
      <w:r w:rsidR="00135A23">
        <w:rPr>
          <w:rFonts w:ascii="Times New Roman" w:hAnsi="Times New Roman"/>
        </w:rPr>
        <w:t xml:space="preserve">zákona o cenných papieroch </w:t>
      </w:r>
      <w:r w:rsidRPr="002653B7" w:rsidR="0044756A">
        <w:rPr>
          <w:rFonts w:ascii="Times New Roman" w:hAnsi="Times New Roman"/>
        </w:rPr>
        <w:t xml:space="preserve">sa transponuje smernica 2009/111/ES </w:t>
      </w:r>
      <w:r w:rsidR="00135A23">
        <w:rPr>
          <w:rFonts w:ascii="Times New Roman" w:hAnsi="Times New Roman"/>
        </w:rPr>
        <w:t xml:space="preserve">článku 2 ods. </w:t>
      </w:r>
      <w:r w:rsidRPr="002653B7" w:rsidR="0044756A">
        <w:rPr>
          <w:rFonts w:ascii="Times New Roman" w:hAnsi="Times New Roman"/>
        </w:rPr>
        <w:t>2 časti pozmeňujúcej smernicu 2006/49/ES, pokiaľ ide o zmeny v čl. 28 ods. 1 tejto smernice o obmedzeniach majetkových angažovaností inštitúcií v súlade s článkami 106 až 118 smernice 2006/48/ES.</w:t>
      </w:r>
    </w:p>
    <w:p w:rsidR="0044756A" w:rsidRPr="00710C0A" w:rsidP="00710C0A">
      <w:pPr>
        <w:bidi w:val="0"/>
        <w:jc w:val="both"/>
        <w:rPr>
          <w:rFonts w:ascii="Times New Roman" w:hAnsi="Times New Roman"/>
        </w:rPr>
      </w:pPr>
      <w:r w:rsidRPr="002653B7">
        <w:rPr>
          <w:rFonts w:ascii="Times New Roman" w:hAnsi="Times New Roman"/>
        </w:rPr>
        <w:tab/>
        <w:t xml:space="preserve">Ustanovuje sa výnimka z angažovaností pre niektoré investičné spoločnosti. To má za následok nutnosť upraviť výpočet majetkových angažovaností pre obchodníkov s cennými papiermi podľa zákona o cenných papieroch v § 74a. Ide o paralelný spôsob úpravy § 74a ods. 1 v závislosti od definitívneho znenia § 33e ods. 1 zákona o bankách. Výnimku z angažovaností pre obchodníka s cennými papiermi predstavuje následne kategória podľa § 74 ods. 12 zákona o cenných papieroch, </w:t>
      </w:r>
      <w:r w:rsidRPr="00710C0A">
        <w:rPr>
          <w:rFonts w:ascii="Times New Roman" w:hAnsi="Times New Roman"/>
        </w:rPr>
        <w:t xml:space="preserve">ktorým je transponovaný čl. 20 ods. 2 smernice 2006/49/ES; čl. 20 ods. 3 smernice nie je ako národné oprávnenie </w:t>
      </w:r>
      <w:r w:rsidR="00710C0A">
        <w:rPr>
          <w:rFonts w:ascii="Times New Roman" w:hAnsi="Times New Roman"/>
        </w:rPr>
        <w:t xml:space="preserve">doteraz </w:t>
      </w:r>
      <w:r w:rsidRPr="00710C0A">
        <w:rPr>
          <w:rFonts w:ascii="Times New Roman" w:hAnsi="Times New Roman"/>
        </w:rPr>
        <w:t xml:space="preserve">transponovaný, </w:t>
      </w:r>
      <w:r w:rsidR="00710C0A">
        <w:rPr>
          <w:rFonts w:ascii="Times New Roman" w:hAnsi="Times New Roman"/>
        </w:rPr>
        <w:t xml:space="preserve">považujeme ale za potrebné </w:t>
      </w:r>
      <w:r w:rsidRPr="00710C0A">
        <w:rPr>
          <w:rFonts w:ascii="Times New Roman" w:hAnsi="Times New Roman"/>
        </w:rPr>
        <w:t>v tejto súvislosti</w:t>
      </w:r>
      <w:r w:rsidR="00710C0A">
        <w:rPr>
          <w:rFonts w:ascii="Times New Roman" w:hAnsi="Times New Roman"/>
        </w:rPr>
        <w:t xml:space="preserve"> </w:t>
      </w:r>
      <w:r w:rsidR="0075746C">
        <w:rPr>
          <w:rFonts w:ascii="Times New Roman" w:hAnsi="Times New Roman"/>
        </w:rPr>
        <w:t xml:space="preserve">sa ním </w:t>
      </w:r>
      <w:r w:rsidRPr="00710C0A">
        <w:rPr>
          <w:rFonts w:ascii="Times New Roman" w:hAnsi="Times New Roman"/>
        </w:rPr>
        <w:t>zaoberať.</w:t>
      </w:r>
    </w:p>
    <w:p w:rsidR="00710C0A" w:rsidRPr="00710C0A" w:rsidP="00710C0A">
      <w:pPr>
        <w:bidi w:val="0"/>
        <w:jc w:val="both"/>
        <w:rPr>
          <w:rFonts w:ascii="Times New Roman" w:hAnsi="Times New Roman"/>
        </w:rPr>
      </w:pPr>
      <w:r w:rsidRPr="00710C0A">
        <w:rPr>
          <w:rFonts w:ascii="Times New Roman" w:hAnsi="Times New Roman"/>
        </w:rPr>
        <w:tab/>
        <w:t>Článok 28 odsek 1 smernice 2006/49/ES v nadväznosti na článok 20 odseku 3 smernice 2006/49/ES pripúšťa udeliť výnimku z majetkovej angažovanosti aj subjektom, ktoré sú podľa zákona o cenných papieroch nepriamo definované v § 54 ods. 13 a 14, teda tým obchodníkom s</w:t>
      </w:r>
      <w:r>
        <w:rPr>
          <w:rFonts w:ascii="Times New Roman" w:hAnsi="Times New Roman"/>
        </w:rPr>
        <w:t> </w:t>
      </w:r>
      <w:r w:rsidRPr="00710C0A">
        <w:rPr>
          <w:rFonts w:ascii="Times New Roman" w:hAnsi="Times New Roman"/>
        </w:rPr>
        <w:t>cennými</w:t>
      </w:r>
      <w:r>
        <w:rPr>
          <w:rFonts w:ascii="Times New Roman" w:hAnsi="Times New Roman"/>
        </w:rPr>
        <w:t xml:space="preserve"> </w:t>
      </w:r>
      <w:r w:rsidRPr="00710C0A">
        <w:rPr>
          <w:rFonts w:ascii="Times New Roman" w:hAnsi="Times New Roman"/>
        </w:rPr>
        <w:t xml:space="preserve">papiermi, ktorí nie sú pri poskytovaní investičných služieb oprávnení držať peňažné prostriedky alebo finančné nástroje klienta a obchodníkom s cennými papiermi, ktorí poskytujú len investičné služby podľa § 6 ods. 1 písm. a) alebo e) zákona o cenných papieroch a nie sú pri ich poskytovaní oprávnení držať peňažné prostriedky klienta alebo finančné nástroje klienta. </w:t>
      </w:r>
    </w:p>
    <w:p w:rsidR="0044756A" w:rsidRPr="002653B7" w:rsidP="00710C0A">
      <w:pPr>
        <w:bidi w:val="0"/>
        <w:jc w:val="both"/>
        <w:rPr>
          <w:rFonts w:ascii="Times New Roman" w:hAnsi="Times New Roman"/>
        </w:rPr>
      </w:pPr>
      <w:r w:rsidRPr="00710C0A" w:rsidR="00E73C26">
        <w:rPr>
          <w:rFonts w:ascii="Times New Roman" w:hAnsi="Times New Roman"/>
        </w:rPr>
        <w:tab/>
        <w:t>Rovnako ako v prípade úpravy pre banky, zaniká aj možnosť ustanovovať celkový limit</w:t>
      </w:r>
      <w:r w:rsidRPr="002653B7" w:rsidR="00E73C26">
        <w:rPr>
          <w:rFonts w:ascii="Times New Roman" w:hAnsi="Times New Roman"/>
        </w:rPr>
        <w:t xml:space="preserve"> angažovaností na úrovni 800% vlastných zdrojov obchodníka s cennými papiermi, čím definitívne zaniká doterajší obsah § 74a ods. 2 zákona o cenných papieroch.</w:t>
      </w:r>
    </w:p>
    <w:p w:rsidR="00E73C26" w:rsidRPr="002653B7" w:rsidP="0044756A">
      <w:pPr>
        <w:bidi w:val="0"/>
        <w:jc w:val="both"/>
        <w:rPr>
          <w:rFonts w:ascii="Times New Roman" w:hAnsi="Times New Roman"/>
        </w:rPr>
      </w:pPr>
      <w:r w:rsidRPr="002653B7">
        <w:rPr>
          <w:rFonts w:ascii="Times New Roman" w:hAnsi="Times New Roman"/>
        </w:rPr>
        <w:tab/>
        <w:t>Princíp oznamovacej povinnosti obchodníka s cennými papiermi voči Národnej banky Slovenska v prípade porušovania obmedzení majetkových angažovaností sa nemení.</w:t>
      </w:r>
    </w:p>
    <w:p w:rsidR="00E73C26" w:rsidRPr="002653B7" w:rsidP="0044756A">
      <w:pPr>
        <w:bidi w:val="0"/>
        <w:jc w:val="both"/>
        <w:rPr>
          <w:rFonts w:ascii="Times New Roman" w:hAnsi="Times New Roman"/>
        </w:rPr>
      </w:pPr>
    </w:p>
    <w:p w:rsidR="00E73C26" w:rsidRPr="005D29DC" w:rsidP="002067B4">
      <w:pPr>
        <w:bidi w:val="0"/>
        <w:jc w:val="both"/>
        <w:rPr>
          <w:rFonts w:ascii="Times New Roman" w:hAnsi="Times New Roman"/>
          <w:u w:val="single"/>
        </w:rPr>
      </w:pPr>
      <w:r w:rsidRPr="005D29DC" w:rsidR="005D29DC">
        <w:rPr>
          <w:rFonts w:ascii="Times New Roman" w:hAnsi="Times New Roman"/>
          <w:u w:val="single"/>
        </w:rPr>
        <w:t>K § 74</w:t>
      </w:r>
      <w:r w:rsidR="006A47CC">
        <w:rPr>
          <w:rFonts w:ascii="Times New Roman" w:hAnsi="Times New Roman"/>
          <w:u w:val="single"/>
        </w:rPr>
        <w:t>a</w:t>
      </w:r>
      <w:r w:rsidRPr="005D29DC" w:rsidR="005D29DC">
        <w:rPr>
          <w:rFonts w:ascii="Times New Roman" w:hAnsi="Times New Roman"/>
          <w:u w:val="single"/>
        </w:rPr>
        <w:t xml:space="preserve"> ods. 4</w:t>
      </w:r>
    </w:p>
    <w:p w:rsidR="00E73C26" w:rsidRPr="002653B7" w:rsidP="002067B4">
      <w:pPr>
        <w:bidi w:val="0"/>
        <w:jc w:val="both"/>
        <w:rPr>
          <w:rFonts w:ascii="Times New Roman" w:hAnsi="Times New Roman"/>
        </w:rPr>
      </w:pPr>
      <w:r w:rsidRPr="002653B7" w:rsidR="002067B4">
        <w:rPr>
          <w:rFonts w:ascii="Times New Roman" w:hAnsi="Times New Roman"/>
        </w:rPr>
        <w:tab/>
        <w:t xml:space="preserve">Pokiaľ ide o nepozmeňované znenie čl. 28 ods. 2 smernice 2006/49/ES, treba pripomenúť, že má stále generálny vplyv na definíciu majetkovej angažovanosti z pohľadu členenia na neobchodnú a obchodnú knihu aj pre obchodníkov s cennými papiermi, ako aj na plnenie limitov angažovaností z pohľadu členenia na tieto knihy a umožnenie ich prekračovania. Vychádza, že paralelné ustanovenia § 33e ods. 4 </w:t>
      </w:r>
      <w:r w:rsidRPr="002653B7" w:rsidR="00BF3EAF">
        <w:rPr>
          <w:rFonts w:ascii="Times New Roman" w:hAnsi="Times New Roman"/>
        </w:rPr>
        <w:t xml:space="preserve">zákona o bankách </w:t>
      </w:r>
      <w:r w:rsidRPr="002653B7" w:rsidR="002067B4">
        <w:rPr>
          <w:rFonts w:ascii="Times New Roman" w:hAnsi="Times New Roman"/>
        </w:rPr>
        <w:t xml:space="preserve">a § 74a ods. 4 </w:t>
      </w:r>
      <w:r w:rsidRPr="002653B7" w:rsidR="00BF3EAF">
        <w:rPr>
          <w:rFonts w:ascii="Times New Roman" w:hAnsi="Times New Roman"/>
        </w:rPr>
        <w:t xml:space="preserve">zákona o cenných papieroch </w:t>
      </w:r>
      <w:r w:rsidRPr="002653B7" w:rsidR="002067B4">
        <w:rPr>
          <w:rFonts w:ascii="Times New Roman" w:hAnsi="Times New Roman"/>
        </w:rPr>
        <w:t xml:space="preserve">po malých úpravách majú byť zachované, nakoľko základná filozofia nasledujúcich článkov 29 až 32 </w:t>
      </w:r>
      <w:r w:rsidRPr="002653B7" w:rsidR="00BF3EAF">
        <w:rPr>
          <w:rFonts w:ascii="Times New Roman" w:hAnsi="Times New Roman"/>
        </w:rPr>
        <w:t xml:space="preserve">smernice 2006/49/ES </w:t>
      </w:r>
      <w:r w:rsidRPr="002653B7" w:rsidR="002067B4">
        <w:rPr>
          <w:rFonts w:ascii="Times New Roman" w:hAnsi="Times New Roman"/>
        </w:rPr>
        <w:t>sa nemení.</w:t>
      </w:r>
    </w:p>
    <w:p w:rsidR="00BF3EAF" w:rsidP="002067B4">
      <w:pPr>
        <w:bidi w:val="0"/>
        <w:jc w:val="both"/>
        <w:rPr>
          <w:rFonts w:ascii="Times New Roman" w:hAnsi="Times New Roman"/>
        </w:rPr>
      </w:pPr>
      <w:r w:rsidRPr="002653B7">
        <w:rPr>
          <w:rFonts w:ascii="Times New Roman" w:hAnsi="Times New Roman"/>
        </w:rPr>
        <w:tab/>
        <w:t xml:space="preserve">Navrhovaným znením § 74a ods. 4 </w:t>
      </w:r>
      <w:r w:rsidR="00135A23">
        <w:rPr>
          <w:rFonts w:ascii="Times New Roman" w:hAnsi="Times New Roman"/>
        </w:rPr>
        <w:t xml:space="preserve">zákona o cenných papieroch </w:t>
      </w:r>
      <w:r w:rsidRPr="002653B7">
        <w:rPr>
          <w:rFonts w:ascii="Times New Roman" w:hAnsi="Times New Roman"/>
        </w:rPr>
        <w:t xml:space="preserve">ide o transpozíciu smernice 2009/111/ES </w:t>
      </w:r>
      <w:r w:rsidR="00135A23">
        <w:rPr>
          <w:rFonts w:ascii="Times New Roman" w:hAnsi="Times New Roman"/>
        </w:rPr>
        <w:t xml:space="preserve">článku 2 ods. </w:t>
      </w:r>
      <w:r w:rsidRPr="002653B7">
        <w:rPr>
          <w:rFonts w:ascii="Times New Roman" w:hAnsi="Times New Roman"/>
        </w:rPr>
        <w:t>4 zmien a doplnení smernice 2006/49/ES, ktorým sa mení a dopĺňa článok 31 smernice 2006/49/ES.</w:t>
      </w:r>
    </w:p>
    <w:p w:rsidR="004F1991" w:rsidRPr="002653B7" w:rsidP="002067B4">
      <w:pPr>
        <w:bidi w:val="0"/>
        <w:jc w:val="both"/>
        <w:rPr>
          <w:rFonts w:ascii="Times New Roman" w:hAnsi="Times New Roman"/>
        </w:rPr>
      </w:pPr>
    </w:p>
    <w:p w:rsidR="00EF37A3" w:rsidRPr="005D29DC" w:rsidP="002067B4">
      <w:pPr>
        <w:bidi w:val="0"/>
        <w:jc w:val="both"/>
        <w:rPr>
          <w:rFonts w:ascii="Times New Roman" w:hAnsi="Times New Roman"/>
          <w:b/>
          <w:bCs/>
        </w:rPr>
      </w:pPr>
      <w:r w:rsidRPr="005D29DC">
        <w:rPr>
          <w:rFonts w:ascii="Times New Roman" w:hAnsi="Times New Roman"/>
          <w:b/>
          <w:bCs/>
        </w:rPr>
        <w:t xml:space="preserve">K bodu </w:t>
      </w:r>
      <w:r w:rsidR="00D9260D">
        <w:rPr>
          <w:rFonts w:ascii="Times New Roman" w:hAnsi="Times New Roman"/>
          <w:b/>
          <w:bCs/>
        </w:rPr>
        <w:t xml:space="preserve"> </w:t>
      </w:r>
      <w:r w:rsidR="00CF379D">
        <w:rPr>
          <w:rFonts w:ascii="Times New Roman" w:hAnsi="Times New Roman"/>
          <w:b/>
          <w:bCs/>
        </w:rPr>
        <w:t>7</w:t>
      </w:r>
    </w:p>
    <w:p w:rsidR="00EF37A3" w:rsidRPr="002653B7" w:rsidP="002067B4">
      <w:pPr>
        <w:bidi w:val="0"/>
        <w:jc w:val="both"/>
        <w:rPr>
          <w:rFonts w:ascii="Times New Roman" w:hAnsi="Times New Roman"/>
        </w:rPr>
      </w:pPr>
    </w:p>
    <w:p w:rsidR="0075746C" w:rsidP="0075746C">
      <w:pPr>
        <w:bidi w:val="0"/>
        <w:jc w:val="both"/>
        <w:rPr>
          <w:rFonts w:ascii="Times New Roman" w:hAnsi="Times New Roman"/>
        </w:rPr>
      </w:pPr>
      <w:r w:rsidRPr="002653B7" w:rsidR="008260F3">
        <w:rPr>
          <w:rFonts w:ascii="Times New Roman" w:hAnsi="Times New Roman"/>
        </w:rPr>
        <w:tab/>
      </w:r>
      <w:r>
        <w:rPr>
          <w:rFonts w:ascii="Times New Roman" w:hAnsi="Times New Roman"/>
        </w:rPr>
        <w:t>Navrhovaným znením zmien ide o úplnú transpozíciu smernice 2009/111/ES článku 1 ods. 2 písm. b), ktorým sa mení čl. 4 bod 45 písm. b) smernice 2006/48/ES, ak sa jedna z predmetných osôb dostane do finančných ťažkostí, najmä do ťažkostí s financovaním alebo splácaním, je pravdepodobné, že sa do ťažkostí s financovaním alebo splácaním dostane aj druhá z osôb, resp. všetky ostatné.</w:t>
      </w:r>
    </w:p>
    <w:p w:rsidR="00591629" w:rsidP="0075746C">
      <w:pPr>
        <w:bidi w:val="0"/>
        <w:jc w:val="both"/>
        <w:rPr>
          <w:rFonts w:ascii="Times New Roman" w:hAnsi="Times New Roman"/>
        </w:rPr>
      </w:pPr>
    </w:p>
    <w:p w:rsidR="00D9260D" w:rsidP="00D9260D">
      <w:pPr>
        <w:bidi w:val="0"/>
        <w:jc w:val="both"/>
        <w:rPr>
          <w:rFonts w:ascii="Times New Roman" w:hAnsi="Times New Roman"/>
          <w:b/>
          <w:bCs/>
        </w:rPr>
      </w:pPr>
      <w:r w:rsidRPr="005D29DC">
        <w:rPr>
          <w:rFonts w:ascii="Times New Roman" w:hAnsi="Times New Roman"/>
          <w:b/>
          <w:bCs/>
        </w:rPr>
        <w:t xml:space="preserve">K bodu </w:t>
      </w:r>
      <w:r w:rsidR="00CF379D">
        <w:rPr>
          <w:rFonts w:ascii="Times New Roman" w:hAnsi="Times New Roman"/>
          <w:b/>
          <w:bCs/>
        </w:rPr>
        <w:t>8</w:t>
      </w:r>
    </w:p>
    <w:p w:rsidR="00E77484" w:rsidP="00D9260D">
      <w:pPr>
        <w:bidi w:val="0"/>
        <w:jc w:val="both"/>
        <w:rPr>
          <w:rFonts w:ascii="Times New Roman" w:hAnsi="Times New Roman"/>
          <w:b/>
          <w:bCs/>
        </w:rPr>
      </w:pPr>
    </w:p>
    <w:p w:rsidR="0075746C" w:rsidP="0075746C">
      <w:pPr>
        <w:bidi w:val="0"/>
        <w:ind w:firstLine="720"/>
        <w:jc w:val="both"/>
        <w:rPr>
          <w:rFonts w:ascii="Times New Roman" w:hAnsi="Times New Roman"/>
          <w:bCs/>
        </w:rPr>
      </w:pPr>
      <w:r w:rsidRPr="0075746C">
        <w:rPr>
          <w:rFonts w:ascii="Times New Roman" w:hAnsi="Times New Roman"/>
          <w:bCs/>
        </w:rPr>
        <w:t xml:space="preserve">Navrhované znenie je analogické voči úprave v § 33e ods. 15 </w:t>
      </w:r>
      <w:r>
        <w:rPr>
          <w:rFonts w:ascii="Times New Roman" w:hAnsi="Times New Roman"/>
          <w:bCs/>
        </w:rPr>
        <w:t>z</w:t>
      </w:r>
      <w:r w:rsidRPr="0075746C">
        <w:rPr>
          <w:rFonts w:ascii="Times New Roman" w:hAnsi="Times New Roman"/>
          <w:bCs/>
        </w:rPr>
        <w:t>ákona o bankách.</w:t>
      </w:r>
    </w:p>
    <w:p w:rsidR="00D9260D" w:rsidP="002067B4">
      <w:pPr>
        <w:bidi w:val="0"/>
        <w:jc w:val="both"/>
        <w:rPr>
          <w:rFonts w:ascii="Times New Roman" w:hAnsi="Times New Roman"/>
        </w:rPr>
      </w:pPr>
    </w:p>
    <w:p w:rsidR="00591629" w:rsidRPr="00591629" w:rsidP="002067B4">
      <w:pPr>
        <w:bidi w:val="0"/>
        <w:jc w:val="both"/>
        <w:rPr>
          <w:rFonts w:ascii="Times New Roman" w:hAnsi="Times New Roman"/>
          <w:b/>
          <w:bCs/>
        </w:rPr>
      </w:pPr>
      <w:r w:rsidRPr="00591629">
        <w:rPr>
          <w:rFonts w:ascii="Times New Roman" w:hAnsi="Times New Roman"/>
          <w:b/>
          <w:bCs/>
        </w:rPr>
        <w:t xml:space="preserve">K bodu </w:t>
      </w:r>
      <w:r w:rsidR="00CF379D">
        <w:rPr>
          <w:rFonts w:ascii="Times New Roman" w:hAnsi="Times New Roman"/>
          <w:b/>
          <w:bCs/>
        </w:rPr>
        <w:t>9</w:t>
      </w:r>
    </w:p>
    <w:p w:rsidR="00591629" w:rsidRPr="00591629" w:rsidP="00591629">
      <w:pPr>
        <w:bidi w:val="0"/>
        <w:jc w:val="both"/>
        <w:rPr>
          <w:rFonts w:ascii="Times New Roman" w:hAnsi="Times New Roman"/>
        </w:rPr>
      </w:pPr>
    </w:p>
    <w:p w:rsidR="00591629" w:rsidRPr="00591629" w:rsidP="00591629">
      <w:pPr>
        <w:bidi w:val="0"/>
        <w:jc w:val="both"/>
        <w:rPr>
          <w:rFonts w:ascii="Times New Roman" w:hAnsi="Times New Roman"/>
          <w:color w:val="000000"/>
        </w:rPr>
      </w:pPr>
      <w:r w:rsidRPr="00591629">
        <w:rPr>
          <w:rFonts w:ascii="Times New Roman" w:hAnsi="Times New Roman"/>
        </w:rPr>
        <w:tab/>
        <w:t>Pokiaľ ide o § 74b ods. 2</w:t>
      </w:r>
      <w:r w:rsidR="00135A23">
        <w:rPr>
          <w:rFonts w:ascii="Times New Roman" w:hAnsi="Times New Roman"/>
        </w:rPr>
        <w:t xml:space="preserve"> zákona o cenných papieroch</w:t>
      </w:r>
      <w:r w:rsidRPr="00591629">
        <w:rPr>
          <w:rFonts w:ascii="Times New Roman" w:hAnsi="Times New Roman"/>
        </w:rPr>
        <w:t>, d</w:t>
      </w:r>
      <w:r w:rsidRPr="00591629">
        <w:rPr>
          <w:rFonts w:ascii="Times New Roman" w:hAnsi="Times New Roman"/>
          <w:color w:val="000000"/>
        </w:rPr>
        <w:t>ochádza ku prenosu povinnosti pobočky zahraničného obchodníka s cennými papiermi priamo do tohto ustanovenia, nakoľko § 74b ods. 3 sa mení.</w:t>
      </w:r>
    </w:p>
    <w:p w:rsidR="004F1991" w:rsidP="00591629">
      <w:pPr>
        <w:bidi w:val="0"/>
        <w:jc w:val="both"/>
        <w:rPr>
          <w:rFonts w:ascii="Times New Roman" w:hAnsi="Times New Roman"/>
          <w:color w:val="000000"/>
        </w:rPr>
      </w:pPr>
      <w:r w:rsidRPr="00591629" w:rsidR="00591629">
        <w:rPr>
          <w:rFonts w:ascii="Times New Roman" w:hAnsi="Times New Roman"/>
          <w:color w:val="000000"/>
        </w:rPr>
        <w:tab/>
      </w:r>
      <w:r w:rsidR="00591629">
        <w:rPr>
          <w:rFonts w:ascii="Times New Roman" w:hAnsi="Times New Roman"/>
          <w:color w:val="000000"/>
        </w:rPr>
        <w:t>V § 74b ods. 3</w:t>
      </w:r>
      <w:r w:rsidR="00C80226">
        <w:rPr>
          <w:rFonts w:ascii="Times New Roman" w:hAnsi="Times New Roman"/>
          <w:color w:val="000000"/>
        </w:rPr>
        <w:t xml:space="preserve"> </w:t>
      </w:r>
      <w:r w:rsidR="00AA1939">
        <w:rPr>
          <w:rFonts w:ascii="Times New Roman" w:hAnsi="Times New Roman"/>
          <w:color w:val="000000"/>
        </w:rPr>
        <w:t>zákona o cenných papieroch</w:t>
      </w:r>
      <w:r w:rsidR="00E77484">
        <w:rPr>
          <w:rFonts w:ascii="Times New Roman" w:hAnsi="Times New Roman"/>
          <w:color w:val="000000"/>
        </w:rPr>
        <w:t xml:space="preserve"> </w:t>
      </w:r>
      <w:r w:rsidR="00591629">
        <w:rPr>
          <w:rFonts w:ascii="Times New Roman" w:hAnsi="Times New Roman"/>
          <w:color w:val="000000"/>
        </w:rPr>
        <w:t>i</w:t>
      </w:r>
      <w:r w:rsidRPr="00591629" w:rsidR="00591629">
        <w:rPr>
          <w:rFonts w:ascii="Times New Roman" w:hAnsi="Times New Roman"/>
          <w:color w:val="000000"/>
        </w:rPr>
        <w:t xml:space="preserve">de o spresnenie </w:t>
      </w:r>
      <w:r w:rsidR="00591629">
        <w:rPr>
          <w:rFonts w:ascii="Times New Roman" w:hAnsi="Times New Roman"/>
          <w:color w:val="000000"/>
        </w:rPr>
        <w:t xml:space="preserve">(zúženie) </w:t>
      </w:r>
      <w:r w:rsidRPr="00591629" w:rsidR="00591629">
        <w:rPr>
          <w:rFonts w:ascii="Times New Roman" w:hAnsi="Times New Roman"/>
          <w:color w:val="000000"/>
        </w:rPr>
        <w:t>súčasného ustanovenia. Nositeľom povinnosti uverejňovania informácií je v tomto prípade</w:t>
      </w:r>
      <w:r w:rsidR="00BF5E6E">
        <w:rPr>
          <w:rFonts w:ascii="Times New Roman" w:hAnsi="Times New Roman"/>
          <w:color w:val="000000"/>
        </w:rPr>
        <w:t xml:space="preserve"> </w:t>
      </w:r>
      <w:r w:rsidRPr="00591629" w:rsidR="00591629">
        <w:rPr>
          <w:rFonts w:ascii="Times New Roman" w:hAnsi="Times New Roman"/>
          <w:color w:val="000000"/>
        </w:rPr>
        <w:t>pobočka zahraničného obchodníka s cennými papiermi a rozsah jej zverejňovacích povinností je výrazne zúžený oproti požiadavkám na obchodníkov s cennými papiermi</w:t>
      </w:r>
      <w:r w:rsidR="00591629">
        <w:rPr>
          <w:rFonts w:ascii="Times New Roman" w:hAnsi="Times New Roman"/>
          <w:color w:val="000000"/>
        </w:rPr>
        <w:t xml:space="preserve">, ako </w:t>
      </w:r>
      <w:r w:rsidR="00BF5E6E">
        <w:rPr>
          <w:rFonts w:ascii="Times New Roman" w:hAnsi="Times New Roman"/>
          <w:color w:val="000000"/>
        </w:rPr>
        <w:t xml:space="preserve">im </w:t>
      </w:r>
      <w:r w:rsidR="00591629">
        <w:rPr>
          <w:rFonts w:ascii="Times New Roman" w:hAnsi="Times New Roman"/>
          <w:color w:val="000000"/>
        </w:rPr>
        <w:t xml:space="preserve">vyplýva z § 74b ods. 1 </w:t>
      </w:r>
      <w:r w:rsidRPr="00591629" w:rsidR="00591629">
        <w:rPr>
          <w:rFonts w:ascii="Times New Roman" w:hAnsi="Times New Roman"/>
          <w:color w:val="000000"/>
        </w:rPr>
        <w:t xml:space="preserve">(najmä </w:t>
      </w:r>
      <w:r w:rsidR="00591629">
        <w:rPr>
          <w:rFonts w:ascii="Times New Roman" w:hAnsi="Times New Roman"/>
          <w:color w:val="000000"/>
        </w:rPr>
        <w:t xml:space="preserve">v oblasti </w:t>
      </w:r>
      <w:r w:rsidRPr="00591629" w:rsidR="00591629">
        <w:rPr>
          <w:rFonts w:ascii="Times New Roman" w:hAnsi="Times New Roman"/>
          <w:color w:val="000000"/>
        </w:rPr>
        <w:t>požiadav</w:t>
      </w:r>
      <w:r w:rsidR="00591629">
        <w:rPr>
          <w:rFonts w:ascii="Times New Roman" w:hAnsi="Times New Roman"/>
          <w:color w:val="000000"/>
        </w:rPr>
        <w:t>ie</w:t>
      </w:r>
      <w:r w:rsidRPr="00591629" w:rsidR="00591629">
        <w:rPr>
          <w:rFonts w:ascii="Times New Roman" w:hAnsi="Times New Roman"/>
          <w:color w:val="000000"/>
        </w:rPr>
        <w:t>k</w:t>
      </w:r>
      <w:r w:rsidR="00591629">
        <w:rPr>
          <w:rFonts w:ascii="Times New Roman" w:hAnsi="Times New Roman"/>
          <w:color w:val="000000"/>
        </w:rPr>
        <w:t xml:space="preserve"> na vlastné zdroje</w:t>
      </w:r>
      <w:r w:rsidRPr="00591629" w:rsidR="00591629">
        <w:rPr>
          <w:rFonts w:ascii="Times New Roman" w:hAnsi="Times New Roman"/>
          <w:color w:val="000000"/>
        </w:rPr>
        <w:t xml:space="preserve">). </w:t>
      </w:r>
    </w:p>
    <w:p w:rsidR="0075595D" w:rsidP="00591629">
      <w:pPr>
        <w:bidi w:val="0"/>
        <w:jc w:val="both"/>
        <w:rPr>
          <w:rFonts w:ascii="Times New Roman" w:hAnsi="Times New Roman"/>
          <w:color w:val="000000"/>
        </w:rPr>
      </w:pPr>
    </w:p>
    <w:p w:rsidR="004F1991" w:rsidRPr="003D7278" w:rsidP="003D7278">
      <w:pPr>
        <w:bidi w:val="0"/>
        <w:jc w:val="both"/>
        <w:rPr>
          <w:rFonts w:ascii="Times New Roman" w:hAnsi="Times New Roman"/>
          <w:b/>
          <w:bCs/>
          <w:color w:val="000000"/>
        </w:rPr>
      </w:pPr>
      <w:r w:rsidRPr="003D7278" w:rsidR="003D7278">
        <w:rPr>
          <w:rFonts w:ascii="Times New Roman" w:hAnsi="Times New Roman"/>
          <w:b/>
          <w:bCs/>
          <w:color w:val="000000"/>
        </w:rPr>
        <w:t xml:space="preserve">K bodu </w:t>
      </w:r>
      <w:r w:rsidR="00CF379D">
        <w:rPr>
          <w:rFonts w:ascii="Times New Roman" w:hAnsi="Times New Roman"/>
          <w:b/>
          <w:bCs/>
          <w:color w:val="000000"/>
        </w:rPr>
        <w:t>10</w:t>
      </w:r>
    </w:p>
    <w:p w:rsidR="003D7278" w:rsidRPr="003D7278" w:rsidP="003D7278">
      <w:pPr>
        <w:bidi w:val="0"/>
        <w:jc w:val="both"/>
        <w:rPr>
          <w:rFonts w:ascii="Times New Roman" w:hAnsi="Times New Roman"/>
          <w:color w:val="000000"/>
        </w:rPr>
      </w:pPr>
    </w:p>
    <w:p w:rsidR="003D7278" w:rsidP="003D7278">
      <w:pPr>
        <w:bidi w:val="0"/>
        <w:jc w:val="both"/>
        <w:rPr>
          <w:rFonts w:ascii="Times New Roman" w:hAnsi="Times New Roman"/>
          <w:color w:val="000000"/>
        </w:rPr>
      </w:pPr>
      <w:r>
        <w:rPr>
          <w:rFonts w:ascii="Times New Roman" w:hAnsi="Times New Roman"/>
          <w:color w:val="000000"/>
        </w:rPr>
        <w:tab/>
        <w:t>Týmto u</w:t>
      </w:r>
      <w:r w:rsidRPr="003D7278">
        <w:rPr>
          <w:rFonts w:ascii="Times New Roman" w:hAnsi="Times New Roman"/>
          <w:color w:val="000000"/>
        </w:rPr>
        <w:t>stanovením sa dopĺňa rozsah splnomocňovacieho ustanovenia pre obchodníkov s cennými papiermi</w:t>
      </w:r>
      <w:r>
        <w:rPr>
          <w:rFonts w:ascii="Times New Roman" w:hAnsi="Times New Roman"/>
          <w:color w:val="000000"/>
        </w:rPr>
        <w:t xml:space="preserve"> </w:t>
      </w:r>
      <w:r w:rsidRPr="003D7278">
        <w:rPr>
          <w:rFonts w:ascii="Times New Roman" w:hAnsi="Times New Roman"/>
          <w:color w:val="000000"/>
        </w:rPr>
        <w:t>tak</w:t>
      </w:r>
      <w:r>
        <w:rPr>
          <w:rFonts w:ascii="Times New Roman" w:hAnsi="Times New Roman"/>
          <w:color w:val="000000"/>
        </w:rPr>
        <w:t>,</w:t>
      </w:r>
      <w:r w:rsidRPr="003D7278">
        <w:rPr>
          <w:rFonts w:ascii="Times New Roman" w:hAnsi="Times New Roman"/>
          <w:color w:val="000000"/>
        </w:rPr>
        <w:t xml:space="preserve"> ako je to ustanovené </w:t>
      </w:r>
      <w:r>
        <w:rPr>
          <w:rFonts w:ascii="Times New Roman" w:hAnsi="Times New Roman"/>
          <w:color w:val="000000"/>
        </w:rPr>
        <w:t xml:space="preserve">pre banky </w:t>
      </w:r>
      <w:r w:rsidRPr="003D7278">
        <w:rPr>
          <w:rFonts w:ascii="Times New Roman" w:hAnsi="Times New Roman"/>
          <w:color w:val="000000"/>
        </w:rPr>
        <w:t>v zákone o</w:t>
      </w:r>
      <w:r>
        <w:rPr>
          <w:rFonts w:ascii="Times New Roman" w:hAnsi="Times New Roman"/>
          <w:color w:val="000000"/>
        </w:rPr>
        <w:t> </w:t>
      </w:r>
      <w:r w:rsidRPr="003D7278">
        <w:rPr>
          <w:rFonts w:ascii="Times New Roman" w:hAnsi="Times New Roman"/>
          <w:color w:val="000000"/>
        </w:rPr>
        <w:t>bankách</w:t>
      </w:r>
      <w:r>
        <w:rPr>
          <w:rFonts w:ascii="Times New Roman" w:hAnsi="Times New Roman"/>
          <w:color w:val="000000"/>
        </w:rPr>
        <w:t xml:space="preserve"> (§ 37)</w:t>
      </w:r>
      <w:r w:rsidRPr="003D7278">
        <w:rPr>
          <w:rFonts w:ascii="Times New Roman" w:hAnsi="Times New Roman"/>
          <w:color w:val="000000"/>
        </w:rPr>
        <w:t>.</w:t>
      </w:r>
    </w:p>
    <w:p w:rsidR="007C1D4B" w:rsidP="003F3A33">
      <w:pPr>
        <w:bidi w:val="0"/>
        <w:jc w:val="both"/>
        <w:rPr>
          <w:rFonts w:ascii="Times New Roman" w:hAnsi="Times New Roman"/>
          <w:b/>
          <w:bCs/>
          <w:color w:val="000000"/>
        </w:rPr>
      </w:pPr>
    </w:p>
    <w:p w:rsidR="0075595D" w:rsidP="003F3A33">
      <w:pPr>
        <w:bidi w:val="0"/>
        <w:jc w:val="both"/>
        <w:rPr>
          <w:rFonts w:ascii="Times New Roman" w:hAnsi="Times New Roman"/>
          <w:b/>
          <w:bCs/>
          <w:color w:val="000000"/>
        </w:rPr>
      </w:pPr>
    </w:p>
    <w:p w:rsidR="0075595D" w:rsidP="003F3A33">
      <w:pPr>
        <w:bidi w:val="0"/>
        <w:jc w:val="both"/>
        <w:rPr>
          <w:rFonts w:ascii="Times New Roman" w:hAnsi="Times New Roman"/>
          <w:b/>
          <w:bCs/>
          <w:color w:val="000000"/>
        </w:rPr>
      </w:pPr>
    </w:p>
    <w:p w:rsidR="007C1D4B" w:rsidP="003F3A33">
      <w:pPr>
        <w:bidi w:val="0"/>
        <w:jc w:val="both"/>
        <w:rPr>
          <w:rFonts w:ascii="Times New Roman" w:hAnsi="Times New Roman"/>
          <w:b/>
          <w:bCs/>
          <w:color w:val="000000"/>
        </w:rPr>
      </w:pPr>
    </w:p>
    <w:p w:rsidR="003F3A33" w:rsidRPr="003F3A33" w:rsidP="003F3A33">
      <w:pPr>
        <w:bidi w:val="0"/>
        <w:jc w:val="both"/>
        <w:rPr>
          <w:rFonts w:ascii="Times New Roman" w:hAnsi="Times New Roman"/>
          <w:b/>
          <w:bCs/>
          <w:color w:val="000000"/>
        </w:rPr>
      </w:pPr>
      <w:r w:rsidRPr="003F3A33">
        <w:rPr>
          <w:rFonts w:ascii="Times New Roman" w:hAnsi="Times New Roman"/>
          <w:b/>
          <w:bCs/>
          <w:color w:val="000000"/>
        </w:rPr>
        <w:t xml:space="preserve">K bodu </w:t>
      </w:r>
      <w:r w:rsidR="008F5368">
        <w:rPr>
          <w:rFonts w:ascii="Times New Roman" w:hAnsi="Times New Roman"/>
          <w:b/>
          <w:bCs/>
          <w:color w:val="000000"/>
        </w:rPr>
        <w:t>11</w:t>
      </w:r>
    </w:p>
    <w:p w:rsidR="003F3A33" w:rsidRPr="003F3A33" w:rsidP="003F3A33">
      <w:pPr>
        <w:bidi w:val="0"/>
        <w:jc w:val="both"/>
        <w:rPr>
          <w:rFonts w:ascii="Times New Roman" w:hAnsi="Times New Roman"/>
          <w:color w:val="000000"/>
        </w:rPr>
      </w:pPr>
    </w:p>
    <w:p w:rsidR="003F3A33" w:rsidRPr="003F3A33" w:rsidP="003F3A33">
      <w:pPr>
        <w:bidi w:val="0"/>
        <w:jc w:val="both"/>
        <w:rPr>
          <w:rFonts w:ascii="Times New Roman" w:hAnsi="Times New Roman"/>
        </w:rPr>
      </w:pPr>
      <w:r w:rsidRPr="003F3A33">
        <w:rPr>
          <w:rFonts w:ascii="Times New Roman" w:hAnsi="Times New Roman"/>
          <w:color w:val="000000"/>
        </w:rPr>
        <w:tab/>
      </w:r>
      <w:r w:rsidR="007F7EE9">
        <w:rPr>
          <w:rFonts w:ascii="Times New Roman" w:hAnsi="Times New Roman"/>
        </w:rPr>
        <w:t xml:space="preserve">Ide o opravu gramatickej chyby. Vždy išlo alebo malo ísť o vzťah kontroly alebo majetkovej účasti voči obchodníkovi s cennými papiermi. </w:t>
      </w:r>
      <w:r>
        <w:rPr>
          <w:rFonts w:ascii="Times New Roman" w:hAnsi="Times New Roman"/>
          <w:color w:val="000000"/>
        </w:rPr>
        <w:t xml:space="preserve">Požadované </w:t>
      </w:r>
      <w:r w:rsidRPr="003F3A33">
        <w:rPr>
          <w:rFonts w:ascii="Times New Roman" w:hAnsi="Times New Roman"/>
          <w:color w:val="000000"/>
        </w:rPr>
        <w:t xml:space="preserve">informácie sú zahrnuté iba v </w:t>
      </w:r>
      <w:r w:rsidR="00135A23">
        <w:rPr>
          <w:rFonts w:ascii="Times New Roman" w:hAnsi="Times New Roman"/>
          <w:color w:val="000000"/>
        </w:rPr>
        <w:t xml:space="preserve">§ 74b </w:t>
      </w:r>
      <w:r w:rsidRPr="003F3A33">
        <w:rPr>
          <w:rFonts w:ascii="Times New Roman" w:hAnsi="Times New Roman"/>
          <w:color w:val="000000"/>
        </w:rPr>
        <w:t>odsekoch 1 a</w:t>
      </w:r>
      <w:r w:rsidR="00E77484">
        <w:rPr>
          <w:rFonts w:ascii="Times New Roman" w:hAnsi="Times New Roman"/>
          <w:color w:val="000000"/>
        </w:rPr>
        <w:t> </w:t>
      </w:r>
      <w:r w:rsidRPr="003F3A33">
        <w:rPr>
          <w:rFonts w:ascii="Times New Roman" w:hAnsi="Times New Roman"/>
          <w:color w:val="000000"/>
        </w:rPr>
        <w:t>2</w:t>
      </w:r>
      <w:r w:rsidR="00E77484">
        <w:rPr>
          <w:rFonts w:ascii="Times New Roman" w:hAnsi="Times New Roman"/>
          <w:color w:val="000000"/>
        </w:rPr>
        <w:t xml:space="preserve"> zákon</w:t>
      </w:r>
      <w:r w:rsidR="0075746C">
        <w:rPr>
          <w:rFonts w:ascii="Times New Roman" w:hAnsi="Times New Roman"/>
          <w:color w:val="000000"/>
        </w:rPr>
        <w:t>a</w:t>
      </w:r>
      <w:r w:rsidR="00E77484">
        <w:rPr>
          <w:rFonts w:ascii="Times New Roman" w:hAnsi="Times New Roman"/>
          <w:color w:val="000000"/>
        </w:rPr>
        <w:t xml:space="preserve"> o cenných papieroch</w:t>
      </w:r>
      <w:r w:rsidRPr="003F3A33">
        <w:rPr>
          <w:rFonts w:ascii="Times New Roman" w:hAnsi="Times New Roman"/>
          <w:color w:val="000000"/>
        </w:rPr>
        <w:t>. Informácie podľa odseku 3 sa týkajú iba pobočky zahraničného obchodníka s cennými papiermi a ustanovenie odseku 4 je splnomocňovacie ustanovenie pre NBS na vydanie príslušného opatrenia.</w:t>
      </w:r>
    </w:p>
    <w:p w:rsidR="000D6B0B" w:rsidRPr="003F3A33" w:rsidP="003F3A33">
      <w:pPr>
        <w:bidi w:val="0"/>
        <w:jc w:val="both"/>
        <w:rPr>
          <w:rFonts w:ascii="Times New Roman" w:hAnsi="Times New Roman"/>
        </w:rPr>
      </w:pPr>
    </w:p>
    <w:p w:rsidR="000D6B0B" w:rsidRPr="005D29DC" w:rsidP="002067B4">
      <w:pPr>
        <w:bidi w:val="0"/>
        <w:jc w:val="both"/>
        <w:rPr>
          <w:rFonts w:ascii="Times New Roman" w:hAnsi="Times New Roman"/>
          <w:b/>
          <w:bCs/>
        </w:rPr>
      </w:pPr>
      <w:r w:rsidRPr="005D29DC">
        <w:rPr>
          <w:rFonts w:ascii="Times New Roman" w:hAnsi="Times New Roman"/>
          <w:b/>
          <w:bCs/>
        </w:rPr>
        <w:t xml:space="preserve">K bodu </w:t>
      </w:r>
      <w:r w:rsidR="00D9260D">
        <w:rPr>
          <w:rFonts w:ascii="Times New Roman" w:hAnsi="Times New Roman"/>
          <w:b/>
          <w:bCs/>
        </w:rPr>
        <w:t>1</w:t>
      </w:r>
      <w:r w:rsidR="008F5368">
        <w:rPr>
          <w:rFonts w:ascii="Times New Roman" w:hAnsi="Times New Roman"/>
          <w:b/>
          <w:bCs/>
        </w:rPr>
        <w:t>2</w:t>
      </w:r>
    </w:p>
    <w:p w:rsidR="00142759" w:rsidP="002067B4">
      <w:pPr>
        <w:bidi w:val="0"/>
        <w:jc w:val="both"/>
        <w:rPr>
          <w:rFonts w:ascii="Times New Roman" w:hAnsi="Times New Roman"/>
        </w:rPr>
      </w:pPr>
    </w:p>
    <w:p w:rsidR="0043301F" w:rsidRPr="0043301F" w:rsidP="002067B4">
      <w:pPr>
        <w:bidi w:val="0"/>
        <w:jc w:val="both"/>
        <w:rPr>
          <w:rFonts w:ascii="Times New Roman" w:hAnsi="Times New Roman"/>
          <w:u w:val="single"/>
        </w:rPr>
      </w:pPr>
      <w:r w:rsidRPr="0043301F">
        <w:rPr>
          <w:rFonts w:ascii="Times New Roman" w:hAnsi="Times New Roman"/>
          <w:u w:val="single"/>
        </w:rPr>
        <w:t>K § 74b ods. 9</w:t>
      </w:r>
    </w:p>
    <w:p w:rsidR="00142759" w:rsidRPr="00B125FB" w:rsidP="00142759">
      <w:pPr>
        <w:bidi w:val="0"/>
        <w:jc w:val="both"/>
        <w:rPr>
          <w:rFonts w:ascii="Times New Roman" w:hAnsi="Times New Roman"/>
        </w:rPr>
      </w:pPr>
      <w:r>
        <w:rPr>
          <w:rFonts w:ascii="Times New Roman" w:hAnsi="Times New Roman"/>
        </w:rPr>
        <w:tab/>
        <w:t>Vypúšťa sa text pôvodného § 74b ods. 9</w:t>
      </w:r>
      <w:r w:rsidR="00135A23">
        <w:rPr>
          <w:rFonts w:ascii="Times New Roman" w:hAnsi="Times New Roman"/>
        </w:rPr>
        <w:t xml:space="preserve"> zákona o cenných papieroch</w:t>
      </w:r>
      <w:r>
        <w:rPr>
          <w:rFonts w:ascii="Times New Roman" w:hAnsi="Times New Roman"/>
        </w:rPr>
        <w:t xml:space="preserve">; ide o vecne príbuzné ustanovenie, ktoré bolo zo zákona o bankách (§ 37 ods. 18) vypustené zákonom č. 209/2007 Z. z., nakoľko sa táto výnimka pre banky ukázala ako neopodstatnená, resp. sa o nej ani pôvodne pri transpozícii smerníc </w:t>
      </w:r>
      <w:r w:rsidRPr="00B125FB">
        <w:rPr>
          <w:rFonts w:ascii="Times New Roman" w:hAnsi="Times New Roman"/>
        </w:rPr>
        <w:t>2006/48/ES a 2006/49/ES neuvažovalo.</w:t>
      </w:r>
    </w:p>
    <w:p w:rsidR="00142759" w:rsidP="00142759">
      <w:pPr>
        <w:bidi w:val="0"/>
        <w:jc w:val="both"/>
        <w:rPr>
          <w:rFonts w:ascii="Times New Roman" w:hAnsi="Times New Roman"/>
        </w:rPr>
      </w:pPr>
      <w:r>
        <w:rPr>
          <w:rFonts w:ascii="Times New Roman" w:hAnsi="Times New Roman"/>
        </w:rPr>
        <w:tab/>
      </w:r>
      <w:r w:rsidRPr="00B125FB">
        <w:rPr>
          <w:rFonts w:ascii="Times New Roman" w:hAnsi="Times New Roman"/>
        </w:rPr>
        <w:t>Nakoľko možnosť vyňať určité banky pri zverejňovaní informácií za konsolidovaný celok</w:t>
      </w:r>
      <w:r>
        <w:rPr>
          <w:rFonts w:ascii="Times New Roman" w:hAnsi="Times New Roman"/>
        </w:rPr>
        <w:t>,</w:t>
      </w:r>
      <w:r w:rsidRPr="00B125FB">
        <w:rPr>
          <w:rFonts w:ascii="Times New Roman" w:hAnsi="Times New Roman"/>
        </w:rPr>
        <w:t xml:space="preserve"> resp. poskytnúť pritom súčinnosť</w:t>
      </w:r>
      <w:r>
        <w:rPr>
          <w:rFonts w:ascii="Times New Roman" w:hAnsi="Times New Roman"/>
        </w:rPr>
        <w:t>,</w:t>
      </w:r>
      <w:r w:rsidRPr="00B125FB">
        <w:rPr>
          <w:rFonts w:ascii="Times New Roman" w:hAnsi="Times New Roman"/>
        </w:rPr>
        <w:t xml:space="preserve"> zanikla už v minulosti, rovnaký postup má byť zvolený aj u obchodníkov s cennými papiermi, a to podľa navrhovaného zosúladenia zákona o cenných papieroch so zákonom o bankách.</w:t>
      </w:r>
    </w:p>
    <w:p w:rsidR="000D6B0B" w:rsidP="007B1461">
      <w:pPr>
        <w:bidi w:val="0"/>
        <w:jc w:val="both"/>
        <w:rPr>
          <w:rFonts w:ascii="Times New Roman" w:hAnsi="Times New Roman"/>
        </w:rPr>
      </w:pPr>
      <w:r w:rsidRPr="00142759" w:rsidR="00142759">
        <w:rPr>
          <w:rFonts w:ascii="Times New Roman" w:hAnsi="Times New Roman"/>
        </w:rPr>
        <w:tab/>
        <w:t xml:space="preserve">Novo navrhovaným znením § 74b ods. 9 </w:t>
      </w:r>
      <w:r w:rsidR="00AA1939">
        <w:rPr>
          <w:rFonts w:ascii="Times New Roman" w:hAnsi="Times New Roman"/>
        </w:rPr>
        <w:t xml:space="preserve">zákona o cenných papieroch </w:t>
      </w:r>
      <w:r w:rsidRPr="00142759" w:rsidR="00142759">
        <w:rPr>
          <w:rFonts w:ascii="Times New Roman" w:hAnsi="Times New Roman"/>
        </w:rPr>
        <w:t xml:space="preserve">dochádza k transpozícii </w:t>
      </w:r>
      <w:r w:rsidR="00C80226">
        <w:rPr>
          <w:rFonts w:ascii="Times New Roman" w:hAnsi="Times New Roman"/>
        </w:rPr>
        <w:t>s</w:t>
      </w:r>
      <w:r w:rsidRPr="00142759" w:rsidR="00142759">
        <w:rPr>
          <w:rFonts w:ascii="Times New Roman" w:hAnsi="Times New Roman"/>
        </w:rPr>
        <w:t>mernice 2006/48/ES článku 145 odseku 4. Zároveň dochádza týmto návrhom k zosúladeniu postupu, aký je už v súčasnosti uplatňovaný u bánk a pobočiek zahraničných bánk v tejto veci, nakoľko podľa článku</w:t>
      </w:r>
      <w:r w:rsidRPr="00D345BC" w:rsidR="00142759">
        <w:rPr>
          <w:rFonts w:ascii="Times New Roman" w:hAnsi="Times New Roman"/>
        </w:rPr>
        <w:t xml:space="preserve"> 39 smernice 2006/49/ES sa majú uplatňovať rovnaké požiadavky na investičné spoločnosti, aké sú uplatňované na úverové inštitúcie.</w:t>
      </w:r>
      <w:r w:rsidR="007B1461">
        <w:rPr>
          <w:rFonts w:ascii="Times New Roman" w:hAnsi="Times New Roman"/>
        </w:rPr>
        <w:t xml:space="preserve"> </w:t>
      </w:r>
      <w:r w:rsidR="00C80226">
        <w:rPr>
          <w:rFonts w:ascii="Times New Roman" w:hAnsi="Times New Roman"/>
        </w:rPr>
        <w:t xml:space="preserve">Taktiež sa navrhovaným znením </w:t>
      </w:r>
      <w:r w:rsidR="007B1461">
        <w:rPr>
          <w:rFonts w:ascii="Times New Roman" w:hAnsi="Times New Roman"/>
        </w:rPr>
        <w:t xml:space="preserve">definuje na účely zákona o cenných papieroch pojem malá a stredne veľká právnická osoba. </w:t>
      </w:r>
    </w:p>
    <w:p w:rsidR="00C80226" w:rsidP="00C80226">
      <w:pPr>
        <w:bidi w:val="0"/>
        <w:ind w:firstLine="720"/>
        <w:jc w:val="both"/>
        <w:rPr>
          <w:rFonts w:ascii="Times New Roman" w:hAnsi="Times New Roman"/>
        </w:rPr>
      </w:pPr>
    </w:p>
    <w:p w:rsidR="00434A57" w:rsidRPr="0043301F" w:rsidP="002067B4">
      <w:pPr>
        <w:bidi w:val="0"/>
        <w:jc w:val="both"/>
        <w:rPr>
          <w:rFonts w:ascii="Times New Roman" w:hAnsi="Times New Roman"/>
          <w:u w:val="single"/>
        </w:rPr>
      </w:pPr>
      <w:r w:rsidRPr="0043301F" w:rsidR="0043301F">
        <w:rPr>
          <w:rFonts w:ascii="Times New Roman" w:hAnsi="Times New Roman"/>
          <w:u w:val="single"/>
        </w:rPr>
        <w:t>K § 74b ods. 10</w:t>
      </w:r>
    </w:p>
    <w:p w:rsidR="00434A57" w:rsidRPr="00781E8C" w:rsidP="002067B4">
      <w:pPr>
        <w:bidi w:val="0"/>
        <w:jc w:val="both"/>
        <w:rPr>
          <w:rFonts w:ascii="Times New Roman" w:hAnsi="Times New Roman"/>
        </w:rPr>
      </w:pPr>
      <w:r w:rsidRPr="00781E8C">
        <w:rPr>
          <w:rFonts w:ascii="Times New Roman" w:hAnsi="Times New Roman"/>
        </w:rPr>
        <w:tab/>
        <w:t>Navrhovaným znením dochádza k zosúladeniu postupu, aký je už v súčasnosti uplatňovaný u bánk a pobočiek zahraničných bánk vo veci umožnenia neuverejňovania niektorých citlivých informácií, nakoľko podľa článku 39 smernice 2006/49/ES sa majú uplatňovať rovnaké požiadavky na investičné spoločnosti, aké sú uplatňované na úverové inštitúcie.</w:t>
      </w:r>
    </w:p>
    <w:p w:rsidR="00781E8C" w:rsidP="002067B4">
      <w:pPr>
        <w:bidi w:val="0"/>
        <w:jc w:val="both"/>
        <w:rPr>
          <w:rFonts w:ascii="Times New Roman" w:hAnsi="Times New Roman"/>
        </w:rPr>
      </w:pPr>
      <w:r w:rsidRPr="00781E8C">
        <w:rPr>
          <w:rFonts w:ascii="Times New Roman" w:hAnsi="Times New Roman"/>
        </w:rPr>
        <w:tab/>
        <w:t xml:space="preserve">Navrhované znenie ustanovenia § 74b ods. </w:t>
      </w:r>
      <w:r w:rsidR="00142759">
        <w:rPr>
          <w:rFonts w:ascii="Times New Roman" w:hAnsi="Times New Roman"/>
        </w:rPr>
        <w:t xml:space="preserve">10 </w:t>
      </w:r>
      <w:r w:rsidR="00135A23">
        <w:rPr>
          <w:rFonts w:ascii="Times New Roman" w:hAnsi="Times New Roman"/>
        </w:rPr>
        <w:t xml:space="preserve">zákona o cenných papieroch </w:t>
      </w:r>
      <w:r w:rsidRPr="00781E8C">
        <w:rPr>
          <w:rFonts w:ascii="Times New Roman" w:hAnsi="Times New Roman"/>
        </w:rPr>
        <w:t xml:space="preserve">je gramaticky a obsahovo plne v súlade s aktuálnym znením § 37 ods. 11 zákona o bankách, ako vyplýva zo zmeny </w:t>
      </w:r>
      <w:r>
        <w:rPr>
          <w:rFonts w:ascii="Times New Roman" w:hAnsi="Times New Roman"/>
        </w:rPr>
        <w:t xml:space="preserve">prijatej </w:t>
      </w:r>
      <w:r w:rsidRPr="00781E8C">
        <w:rPr>
          <w:rFonts w:ascii="Times New Roman" w:hAnsi="Times New Roman"/>
        </w:rPr>
        <w:t>zákon</w:t>
      </w:r>
      <w:r>
        <w:rPr>
          <w:rFonts w:ascii="Times New Roman" w:hAnsi="Times New Roman"/>
        </w:rPr>
        <w:t xml:space="preserve">om </w:t>
      </w:r>
      <w:r w:rsidRPr="00781E8C">
        <w:rPr>
          <w:rFonts w:ascii="Times New Roman" w:hAnsi="Times New Roman"/>
        </w:rPr>
        <w:t>č. 129/2010 Z. z.</w:t>
      </w:r>
      <w:r>
        <w:rPr>
          <w:rFonts w:ascii="Times New Roman" w:hAnsi="Times New Roman"/>
        </w:rPr>
        <w:t xml:space="preserve"> s účinnosťou k 1. júnu 2010.</w:t>
      </w:r>
    </w:p>
    <w:p w:rsidR="00781E8C" w:rsidP="002067B4">
      <w:pPr>
        <w:bidi w:val="0"/>
        <w:jc w:val="both"/>
        <w:rPr>
          <w:rFonts w:ascii="Times New Roman" w:hAnsi="Times New Roman"/>
        </w:rPr>
      </w:pPr>
      <w:r>
        <w:rPr>
          <w:rFonts w:ascii="Times New Roman" w:hAnsi="Times New Roman"/>
        </w:rPr>
        <w:tab/>
        <w:t>Nakoľko samo toto zákonné ustanovenie upravuje formu oznámenia (písomnú), nie je ďalej potrebné túto podrobnosť upraviť vykonávacím predpisom Národnej banky Slovenska, ktorým sa ustanovujú podrobnosti o výkazoch, hláseniach a iných správach podľa zákona o bankách a podľa zákona o cenných papieroch (to bol jeden z dôvodov spresnenia § 37 ods. 11 zákona o bankách v minulosti).</w:t>
      </w:r>
    </w:p>
    <w:p w:rsidR="009535B3" w:rsidP="002067B4">
      <w:pPr>
        <w:bidi w:val="0"/>
        <w:jc w:val="both"/>
        <w:rPr>
          <w:rFonts w:ascii="Times New Roman" w:hAnsi="Times New Roman"/>
        </w:rPr>
      </w:pPr>
      <w:r>
        <w:rPr>
          <w:rFonts w:ascii="Times New Roman" w:hAnsi="Times New Roman"/>
        </w:rPr>
        <w:tab/>
        <w:t>To je napokon aj dôvod, pre ktorý je možné pri najbližšej revízii opatrenia Národnej banky Slovenska č. 6/2009 vypustiť § 4 tohto opatrenia.</w:t>
      </w:r>
    </w:p>
    <w:p w:rsidR="00042421" w:rsidRPr="00D345BC" w:rsidP="002067B4">
      <w:pPr>
        <w:bidi w:val="0"/>
        <w:jc w:val="both"/>
        <w:rPr>
          <w:rFonts w:ascii="Times New Roman" w:hAnsi="Times New Roman"/>
        </w:rPr>
      </w:pPr>
    </w:p>
    <w:p w:rsidR="00FA572F" w:rsidRPr="005D29DC" w:rsidP="002067B4">
      <w:pPr>
        <w:bidi w:val="0"/>
        <w:jc w:val="both"/>
        <w:rPr>
          <w:rFonts w:ascii="Times New Roman" w:hAnsi="Times New Roman"/>
          <w:b/>
          <w:bCs/>
        </w:rPr>
      </w:pPr>
      <w:r w:rsidRPr="005D29DC" w:rsidR="00D345BC">
        <w:rPr>
          <w:rFonts w:ascii="Times New Roman" w:hAnsi="Times New Roman"/>
          <w:b/>
          <w:bCs/>
        </w:rPr>
        <w:t>K</w:t>
      </w:r>
      <w:r w:rsidRPr="005D29DC" w:rsidR="00142759">
        <w:rPr>
          <w:rFonts w:ascii="Times New Roman" w:hAnsi="Times New Roman"/>
          <w:b/>
          <w:bCs/>
        </w:rPr>
        <w:t> </w:t>
      </w:r>
      <w:r w:rsidRPr="005D29DC" w:rsidR="00D345BC">
        <w:rPr>
          <w:rFonts w:ascii="Times New Roman" w:hAnsi="Times New Roman"/>
          <w:b/>
          <w:bCs/>
        </w:rPr>
        <w:t>bodu</w:t>
      </w:r>
      <w:r w:rsidRPr="005D29DC" w:rsidR="00142759">
        <w:rPr>
          <w:rFonts w:ascii="Times New Roman" w:hAnsi="Times New Roman"/>
          <w:b/>
          <w:bCs/>
        </w:rPr>
        <w:t xml:space="preserve"> </w:t>
      </w:r>
      <w:r w:rsidR="00A468E1">
        <w:rPr>
          <w:rFonts w:ascii="Times New Roman" w:hAnsi="Times New Roman"/>
          <w:b/>
          <w:bCs/>
        </w:rPr>
        <w:t>1</w:t>
      </w:r>
      <w:r w:rsidR="007F7EE9">
        <w:rPr>
          <w:rFonts w:ascii="Times New Roman" w:hAnsi="Times New Roman"/>
          <w:b/>
          <w:bCs/>
        </w:rPr>
        <w:t>3</w:t>
      </w:r>
    </w:p>
    <w:p w:rsidR="00FA572F" w:rsidRPr="00D345BC" w:rsidP="002067B4">
      <w:pPr>
        <w:bidi w:val="0"/>
        <w:jc w:val="both"/>
        <w:rPr>
          <w:rFonts w:ascii="Times New Roman" w:hAnsi="Times New Roman"/>
        </w:rPr>
      </w:pPr>
    </w:p>
    <w:p w:rsidR="00FA572F" w:rsidP="002067B4">
      <w:pPr>
        <w:bidi w:val="0"/>
        <w:jc w:val="both"/>
        <w:rPr>
          <w:rFonts w:ascii="Times New Roman" w:hAnsi="Times New Roman"/>
        </w:rPr>
      </w:pPr>
      <w:r w:rsidR="00142759">
        <w:rPr>
          <w:rFonts w:ascii="Times New Roman" w:hAnsi="Times New Roman"/>
        </w:rPr>
        <w:tab/>
      </w:r>
      <w:r w:rsidRPr="00D345BC">
        <w:rPr>
          <w:rFonts w:ascii="Times New Roman" w:hAnsi="Times New Roman"/>
        </w:rPr>
        <w:t xml:space="preserve">Navrhovaným znením </w:t>
      </w:r>
      <w:r w:rsidR="00142759">
        <w:rPr>
          <w:rFonts w:ascii="Times New Roman" w:hAnsi="Times New Roman"/>
        </w:rPr>
        <w:t xml:space="preserve">§ 74b ods. 11 </w:t>
      </w:r>
      <w:r w:rsidR="00E77484">
        <w:rPr>
          <w:rFonts w:ascii="Times New Roman" w:hAnsi="Times New Roman"/>
        </w:rPr>
        <w:t xml:space="preserve">zákona o cenných papieroch </w:t>
      </w:r>
      <w:r w:rsidRPr="00D345BC">
        <w:rPr>
          <w:rFonts w:ascii="Times New Roman" w:hAnsi="Times New Roman"/>
        </w:rPr>
        <w:t>dochádza k transpozícii Smernice 2</w:t>
      </w:r>
      <w:r w:rsidR="00142759">
        <w:rPr>
          <w:rFonts w:ascii="Times New Roman" w:hAnsi="Times New Roman"/>
        </w:rPr>
        <w:t xml:space="preserve">006/48/ES </w:t>
      </w:r>
      <w:r w:rsidRPr="00D345BC">
        <w:rPr>
          <w:rFonts w:ascii="Times New Roman" w:hAnsi="Times New Roman"/>
        </w:rPr>
        <w:t>článku 14</w:t>
      </w:r>
      <w:r w:rsidR="00142759">
        <w:rPr>
          <w:rFonts w:ascii="Times New Roman" w:hAnsi="Times New Roman"/>
        </w:rPr>
        <w:t>5 ods. 3</w:t>
      </w:r>
      <w:r w:rsidRPr="00D345BC">
        <w:rPr>
          <w:rFonts w:ascii="Times New Roman" w:hAnsi="Times New Roman"/>
        </w:rPr>
        <w:t xml:space="preserve">. </w:t>
      </w:r>
      <w:r w:rsidR="00142759">
        <w:rPr>
          <w:rFonts w:ascii="Times New Roman" w:hAnsi="Times New Roman"/>
        </w:rPr>
        <w:t xml:space="preserve">Taktiež </w:t>
      </w:r>
      <w:r w:rsidRPr="00D345BC">
        <w:rPr>
          <w:rFonts w:ascii="Times New Roman" w:hAnsi="Times New Roman"/>
        </w:rPr>
        <w:t>dochádza týmto návrhom k zosúladeniu postupu, aký je už v súčasnosti uplatňovaný u bánk a pobočiek zahraničných bánk v tejto veci, nakoľko podľa článku 39 smernice 2006/49/ES sa majú uplatňovať rovnaké požiadavky na investičné spoločnosti, aké sú uplatňované na úverové inštitúcie.</w:t>
      </w:r>
    </w:p>
    <w:p w:rsidR="00063322" w:rsidP="002067B4">
      <w:pPr>
        <w:bidi w:val="0"/>
        <w:jc w:val="both"/>
        <w:rPr>
          <w:rFonts w:ascii="Times New Roman" w:hAnsi="Times New Roman"/>
        </w:rPr>
      </w:pPr>
      <w:r w:rsidR="006A47CC">
        <w:rPr>
          <w:rFonts w:ascii="Times New Roman" w:hAnsi="Times New Roman"/>
        </w:rPr>
        <w:tab/>
      </w:r>
    </w:p>
    <w:p w:rsidR="007F7EE9" w:rsidP="002067B4">
      <w:pPr>
        <w:bidi w:val="0"/>
        <w:jc w:val="both"/>
        <w:rPr>
          <w:rFonts w:ascii="Times New Roman" w:hAnsi="Times New Roman"/>
          <w:b/>
          <w:bCs/>
        </w:rPr>
      </w:pPr>
    </w:p>
    <w:p w:rsidR="00063322" w:rsidRPr="00063322" w:rsidP="002067B4">
      <w:pPr>
        <w:bidi w:val="0"/>
        <w:jc w:val="both"/>
        <w:rPr>
          <w:rFonts w:ascii="Times New Roman" w:hAnsi="Times New Roman"/>
          <w:b/>
          <w:bCs/>
        </w:rPr>
      </w:pPr>
      <w:r w:rsidRPr="00063322">
        <w:rPr>
          <w:rFonts w:ascii="Times New Roman" w:hAnsi="Times New Roman"/>
          <w:b/>
          <w:bCs/>
        </w:rPr>
        <w:t xml:space="preserve">K bodu </w:t>
      </w:r>
      <w:r w:rsidR="00A468E1">
        <w:rPr>
          <w:rFonts w:ascii="Times New Roman" w:hAnsi="Times New Roman"/>
          <w:b/>
          <w:bCs/>
        </w:rPr>
        <w:t>1</w:t>
      </w:r>
      <w:r w:rsidR="007F7EE9">
        <w:rPr>
          <w:rFonts w:ascii="Times New Roman" w:hAnsi="Times New Roman"/>
          <w:b/>
          <w:bCs/>
        </w:rPr>
        <w:t>4</w:t>
      </w:r>
    </w:p>
    <w:p w:rsidR="00063322" w:rsidP="002067B4">
      <w:pPr>
        <w:bidi w:val="0"/>
        <w:jc w:val="both"/>
        <w:rPr>
          <w:rFonts w:ascii="Times New Roman" w:hAnsi="Times New Roman"/>
        </w:rPr>
      </w:pPr>
    </w:p>
    <w:p w:rsidR="00063322" w:rsidP="002067B4">
      <w:pPr>
        <w:bidi w:val="0"/>
        <w:jc w:val="both"/>
        <w:rPr>
          <w:rFonts w:ascii="Times New Roman" w:hAnsi="Times New Roman"/>
        </w:rPr>
      </w:pPr>
      <w:r>
        <w:rPr>
          <w:rFonts w:ascii="Times New Roman" w:hAnsi="Times New Roman"/>
        </w:rPr>
        <w:tab/>
        <w:t xml:space="preserve">Požiadavka vyplýva z aplikačnej praxe pri vykonávaní dohľadu </w:t>
      </w:r>
      <w:r w:rsidR="00A468E1">
        <w:rPr>
          <w:rFonts w:ascii="Times New Roman" w:hAnsi="Times New Roman"/>
        </w:rPr>
        <w:t>u</w:t>
      </w:r>
      <w:r>
        <w:rPr>
          <w:rFonts w:ascii="Times New Roman" w:hAnsi="Times New Roman"/>
        </w:rPr>
        <w:t> obchodníko</w:t>
      </w:r>
      <w:r w:rsidR="00266980">
        <w:rPr>
          <w:rFonts w:ascii="Times New Roman" w:hAnsi="Times New Roman"/>
        </w:rPr>
        <w:t>v</w:t>
      </w:r>
      <w:r>
        <w:rPr>
          <w:rFonts w:ascii="Times New Roman" w:hAnsi="Times New Roman"/>
        </w:rPr>
        <w:t xml:space="preserve"> s cennými papiermi nad zaznamenávaním údajov pri poskytovaní investičných služieb a pri poskytovaní vedľajších služieb. Cieľom tohto doplnenia je efekt dôsledného vedenia denníka obchodníka s cennými papiermi.</w:t>
      </w:r>
    </w:p>
    <w:p w:rsidR="00266980" w:rsidP="002067B4">
      <w:pPr>
        <w:bidi w:val="0"/>
        <w:jc w:val="both"/>
        <w:rPr>
          <w:rFonts w:ascii="Times New Roman" w:hAnsi="Times New Roman"/>
        </w:rPr>
      </w:pPr>
    </w:p>
    <w:p w:rsidR="001C7F86" w:rsidP="002067B4">
      <w:pPr>
        <w:bidi w:val="0"/>
        <w:jc w:val="both"/>
        <w:rPr>
          <w:rFonts w:ascii="Times New Roman" w:hAnsi="Times New Roman"/>
          <w:b/>
          <w:bCs/>
        </w:rPr>
      </w:pPr>
      <w:r w:rsidRPr="00063322" w:rsidR="00A468E1">
        <w:rPr>
          <w:rFonts w:ascii="Times New Roman" w:hAnsi="Times New Roman"/>
          <w:b/>
          <w:bCs/>
        </w:rPr>
        <w:t>K</w:t>
      </w:r>
      <w:r w:rsidR="00A468E1">
        <w:rPr>
          <w:rFonts w:ascii="Times New Roman" w:hAnsi="Times New Roman"/>
          <w:b/>
          <w:bCs/>
        </w:rPr>
        <w:t> </w:t>
      </w:r>
      <w:r w:rsidRPr="00063322" w:rsidR="00A468E1">
        <w:rPr>
          <w:rFonts w:ascii="Times New Roman" w:hAnsi="Times New Roman"/>
          <w:b/>
          <w:bCs/>
        </w:rPr>
        <w:t>bod</w:t>
      </w:r>
      <w:r w:rsidR="00FE23EB">
        <w:rPr>
          <w:rFonts w:ascii="Times New Roman" w:hAnsi="Times New Roman"/>
          <w:b/>
          <w:bCs/>
        </w:rPr>
        <w:t>om</w:t>
      </w:r>
      <w:r w:rsidR="00A468E1">
        <w:rPr>
          <w:rFonts w:ascii="Times New Roman" w:hAnsi="Times New Roman"/>
          <w:b/>
          <w:bCs/>
        </w:rPr>
        <w:t xml:space="preserve"> 1</w:t>
      </w:r>
      <w:r w:rsidR="007F7EE9">
        <w:rPr>
          <w:rFonts w:ascii="Times New Roman" w:hAnsi="Times New Roman"/>
          <w:b/>
          <w:bCs/>
        </w:rPr>
        <w:t>5</w:t>
      </w:r>
      <w:r w:rsidR="00A468E1">
        <w:rPr>
          <w:rFonts w:ascii="Times New Roman" w:hAnsi="Times New Roman"/>
          <w:b/>
          <w:bCs/>
        </w:rPr>
        <w:t>, 1</w:t>
      </w:r>
      <w:r w:rsidR="007F7EE9">
        <w:rPr>
          <w:rFonts w:ascii="Times New Roman" w:hAnsi="Times New Roman"/>
          <w:b/>
          <w:bCs/>
        </w:rPr>
        <w:t>6</w:t>
      </w:r>
      <w:r w:rsidR="00A468E1">
        <w:rPr>
          <w:rFonts w:ascii="Times New Roman" w:hAnsi="Times New Roman"/>
          <w:b/>
          <w:bCs/>
        </w:rPr>
        <w:t xml:space="preserve"> a</w:t>
      </w:r>
      <w:r w:rsidR="002752C4">
        <w:rPr>
          <w:rFonts w:ascii="Times New Roman" w:hAnsi="Times New Roman"/>
          <w:b/>
          <w:bCs/>
        </w:rPr>
        <w:t> </w:t>
      </w:r>
      <w:r w:rsidR="00A468E1">
        <w:rPr>
          <w:rFonts w:ascii="Times New Roman" w:hAnsi="Times New Roman"/>
          <w:b/>
          <w:bCs/>
        </w:rPr>
        <w:t>1</w:t>
      </w:r>
      <w:r w:rsidR="007F7EE9">
        <w:rPr>
          <w:rFonts w:ascii="Times New Roman" w:hAnsi="Times New Roman"/>
          <w:b/>
          <w:bCs/>
        </w:rPr>
        <w:t>7</w:t>
      </w:r>
    </w:p>
    <w:p w:rsidR="002752C4" w:rsidP="002067B4">
      <w:pPr>
        <w:bidi w:val="0"/>
        <w:jc w:val="both"/>
        <w:rPr>
          <w:rFonts w:ascii="Times New Roman" w:hAnsi="Times New Roman"/>
          <w:b/>
          <w:bCs/>
        </w:rPr>
      </w:pPr>
    </w:p>
    <w:p w:rsidR="002752C4" w:rsidRPr="002752C4" w:rsidP="002752C4">
      <w:pPr>
        <w:bidi w:val="0"/>
        <w:ind w:firstLine="720"/>
        <w:jc w:val="both"/>
        <w:rPr>
          <w:rFonts w:ascii="Times New Roman" w:hAnsi="Times New Roman"/>
          <w:b/>
          <w:bCs/>
        </w:rPr>
      </w:pPr>
      <w:r>
        <w:rPr>
          <w:rFonts w:ascii="Times New Roman" w:hAnsi="Times New Roman"/>
        </w:rPr>
        <w:t>Legislatívno-technická zmena</w:t>
      </w:r>
      <w:r w:rsidR="007B1461">
        <w:rPr>
          <w:rFonts w:ascii="Times New Roman" w:hAnsi="Times New Roman" w:cs="Calibri"/>
        </w:rPr>
        <w:t xml:space="preserve"> v</w:t>
      </w:r>
      <w:r w:rsidRPr="002752C4">
        <w:rPr>
          <w:rFonts w:ascii="Times New Roman" w:hAnsi="Times New Roman" w:cs="Calibri"/>
        </w:rPr>
        <w:t>zhľadom k tomu, že právo Európskych spoločenstiev sa na základe Lisabonskej zmluvy, ktorou sa mení a dopĺňa Zmluva o Európskej únii a Zmluva o založení Európskeho spoločenstva, recipovalo do práva Európskej únie</w:t>
      </w:r>
      <w:r w:rsidR="006A47CC">
        <w:rPr>
          <w:rFonts w:ascii="Times New Roman" w:hAnsi="Times New Roman" w:cs="Calibri"/>
        </w:rPr>
        <w:t>.</w:t>
      </w:r>
    </w:p>
    <w:p w:rsidR="00A468E1" w:rsidP="002067B4">
      <w:pPr>
        <w:bidi w:val="0"/>
        <w:jc w:val="both"/>
        <w:rPr>
          <w:rFonts w:ascii="Times New Roman" w:hAnsi="Times New Roman"/>
        </w:rPr>
      </w:pPr>
    </w:p>
    <w:p w:rsidR="001C7F86" w:rsidRPr="001C7F86" w:rsidP="002067B4">
      <w:pPr>
        <w:bidi w:val="0"/>
        <w:jc w:val="both"/>
        <w:rPr>
          <w:rFonts w:ascii="Times New Roman" w:hAnsi="Times New Roman"/>
          <w:b/>
          <w:bCs/>
        </w:rPr>
      </w:pPr>
      <w:r w:rsidRPr="001C7F86">
        <w:rPr>
          <w:rFonts w:ascii="Times New Roman" w:hAnsi="Times New Roman"/>
          <w:b/>
          <w:bCs/>
        </w:rPr>
        <w:t xml:space="preserve">K bodu </w:t>
      </w:r>
      <w:r w:rsidR="003F3A33">
        <w:rPr>
          <w:rFonts w:ascii="Times New Roman" w:hAnsi="Times New Roman"/>
          <w:b/>
          <w:bCs/>
        </w:rPr>
        <w:t>1</w:t>
      </w:r>
      <w:r w:rsidR="007F7EE9">
        <w:rPr>
          <w:rFonts w:ascii="Times New Roman" w:hAnsi="Times New Roman"/>
          <w:b/>
          <w:bCs/>
        </w:rPr>
        <w:t>8</w:t>
      </w:r>
    </w:p>
    <w:p w:rsidR="001C7F86" w:rsidRPr="001C7F86" w:rsidP="001C7F86">
      <w:pPr>
        <w:bidi w:val="0"/>
        <w:jc w:val="both"/>
        <w:rPr>
          <w:rFonts w:ascii="Times New Roman" w:hAnsi="Times New Roman"/>
        </w:rPr>
      </w:pPr>
    </w:p>
    <w:p w:rsidR="001C7F86" w:rsidRPr="001C7F86" w:rsidP="001C7F86">
      <w:pPr>
        <w:bidi w:val="0"/>
        <w:jc w:val="both"/>
        <w:rPr>
          <w:rFonts w:ascii="Times New Roman" w:hAnsi="Times New Roman"/>
        </w:rPr>
      </w:pPr>
      <w:r w:rsidRPr="001C7F86">
        <w:rPr>
          <w:rFonts w:ascii="Times New Roman" w:hAnsi="Times New Roman"/>
        </w:rPr>
        <w:tab/>
      </w:r>
      <w:r w:rsidRPr="001C7F86">
        <w:rPr>
          <w:rFonts w:ascii="Times New Roman" w:hAnsi="Times New Roman"/>
          <w:color w:val="000000"/>
        </w:rPr>
        <w:t>Navrhovaným znením dochádza k transpozícii Smernice 2009/111/ES článku 2 odsek 7, ktorým sa doplňuje článok 38 smernice 2006/49/ES odsekom 3, podľa ktorého sa výkon dohľadu nad pobočkou</w:t>
      </w:r>
      <w:r w:rsidR="00A468E1">
        <w:rPr>
          <w:rFonts w:ascii="Times New Roman" w:hAnsi="Times New Roman"/>
          <w:color w:val="000000"/>
        </w:rPr>
        <w:t xml:space="preserve"> určenou ako dôležitou podľa § 6 ods. 14</w:t>
      </w:r>
      <w:r w:rsidRPr="001C7F86">
        <w:rPr>
          <w:rFonts w:ascii="Times New Roman" w:hAnsi="Times New Roman"/>
          <w:color w:val="000000"/>
        </w:rPr>
        <w:t xml:space="preserve"> primerane vzťahuje aj na obchodníkov s cennými papiermi.</w:t>
      </w:r>
      <w:r>
        <w:rPr>
          <w:rFonts w:ascii="Times New Roman" w:hAnsi="Times New Roman"/>
          <w:color w:val="000000"/>
        </w:rPr>
        <w:t xml:space="preserve"> Uvedené doplnenie článku 38 smernice </w:t>
      </w:r>
      <w:r w:rsidRPr="001C7F86">
        <w:rPr>
          <w:rFonts w:ascii="Times New Roman" w:hAnsi="Times New Roman"/>
          <w:color w:val="000000"/>
        </w:rPr>
        <w:t>2006/49/ES</w:t>
      </w:r>
      <w:r>
        <w:rPr>
          <w:rFonts w:ascii="Times New Roman" w:hAnsi="Times New Roman"/>
          <w:color w:val="000000"/>
        </w:rPr>
        <w:t xml:space="preserve"> požaduje, aby sa č</w:t>
      </w:r>
      <w:r w:rsidRPr="00167C7B">
        <w:rPr>
          <w:rFonts w:ascii="Times New Roman" w:hAnsi="Times New Roman"/>
          <w:color w:val="000000"/>
        </w:rPr>
        <w:t>lánok 42a smernice 2006/48/ES s</w:t>
      </w:r>
      <w:r>
        <w:rPr>
          <w:rFonts w:ascii="Times New Roman" w:hAnsi="Times New Roman"/>
          <w:color w:val="000000"/>
        </w:rPr>
        <w:t> </w:t>
      </w:r>
      <w:r w:rsidRPr="00167C7B">
        <w:rPr>
          <w:rFonts w:ascii="Times New Roman" w:hAnsi="Times New Roman"/>
          <w:color w:val="000000"/>
        </w:rPr>
        <w:t>výnimkou</w:t>
      </w:r>
      <w:r>
        <w:rPr>
          <w:rFonts w:ascii="Times New Roman" w:hAnsi="Times New Roman"/>
          <w:color w:val="000000"/>
        </w:rPr>
        <w:t xml:space="preserve"> </w:t>
      </w:r>
      <w:r w:rsidRPr="00167C7B">
        <w:rPr>
          <w:rFonts w:ascii="Times New Roman" w:hAnsi="Times New Roman"/>
          <w:color w:val="000000"/>
        </w:rPr>
        <w:t>odseku 1 písm. a)</w:t>
      </w:r>
      <w:r>
        <w:rPr>
          <w:rFonts w:ascii="Times New Roman" w:hAnsi="Times New Roman"/>
          <w:color w:val="000000"/>
        </w:rPr>
        <w:t xml:space="preserve"> </w:t>
      </w:r>
      <w:r w:rsidRPr="00167C7B">
        <w:rPr>
          <w:rFonts w:ascii="Times New Roman" w:hAnsi="Times New Roman"/>
          <w:color w:val="000000"/>
        </w:rPr>
        <w:t>primerane uplatň</w:t>
      </w:r>
      <w:r>
        <w:rPr>
          <w:rFonts w:ascii="Times New Roman" w:hAnsi="Times New Roman"/>
          <w:color w:val="000000"/>
        </w:rPr>
        <w:t xml:space="preserve">oval </w:t>
      </w:r>
      <w:r w:rsidRPr="00167C7B">
        <w:rPr>
          <w:rFonts w:ascii="Times New Roman" w:hAnsi="Times New Roman"/>
          <w:color w:val="000000"/>
        </w:rPr>
        <w:t>na dohľad nad investičnými spoločnosťami, pokiaľ investičné spoločnosti nespĺňajú kritériá ustanovené v článku 20 ods. 2 a 3 alebo článku 46 ods. 1</w:t>
      </w:r>
      <w:r>
        <w:rPr>
          <w:rFonts w:ascii="Times New Roman" w:hAnsi="Times New Roman"/>
          <w:color w:val="000000"/>
        </w:rPr>
        <w:t xml:space="preserve"> </w:t>
      </w:r>
      <w:r w:rsidRPr="00167C7B">
        <w:rPr>
          <w:rFonts w:ascii="Times New Roman" w:hAnsi="Times New Roman"/>
          <w:color w:val="000000"/>
        </w:rPr>
        <w:t>smernice</w:t>
      </w:r>
      <w:r>
        <w:rPr>
          <w:rFonts w:ascii="Times New Roman" w:hAnsi="Times New Roman"/>
          <w:color w:val="000000"/>
        </w:rPr>
        <w:t xml:space="preserve"> </w:t>
      </w:r>
      <w:r w:rsidRPr="001C7F86">
        <w:rPr>
          <w:rFonts w:ascii="Times New Roman" w:hAnsi="Times New Roman"/>
          <w:color w:val="000000"/>
        </w:rPr>
        <w:t>2006/49/ES</w:t>
      </w:r>
      <w:r>
        <w:rPr>
          <w:rFonts w:ascii="Times New Roman" w:hAnsi="Times New Roman"/>
          <w:color w:val="000000"/>
        </w:rPr>
        <w:t>.</w:t>
      </w:r>
    </w:p>
    <w:p w:rsidR="00E37932" w:rsidP="001C7F86">
      <w:pPr>
        <w:bidi w:val="0"/>
        <w:jc w:val="both"/>
        <w:rPr>
          <w:rFonts w:ascii="Times New Roman" w:hAnsi="Times New Roman"/>
        </w:rPr>
      </w:pPr>
    </w:p>
    <w:p w:rsidR="00A468E1" w:rsidP="001C7F86">
      <w:pPr>
        <w:bidi w:val="0"/>
        <w:jc w:val="both"/>
        <w:rPr>
          <w:rFonts w:ascii="Times New Roman" w:hAnsi="Times New Roman"/>
          <w:b/>
          <w:bCs/>
        </w:rPr>
      </w:pPr>
      <w:r w:rsidRPr="005D29DC">
        <w:rPr>
          <w:rFonts w:ascii="Times New Roman" w:hAnsi="Times New Roman"/>
          <w:b/>
          <w:bCs/>
        </w:rPr>
        <w:t>K</w:t>
      </w:r>
      <w:r>
        <w:rPr>
          <w:rFonts w:ascii="Times New Roman" w:hAnsi="Times New Roman"/>
          <w:b/>
          <w:bCs/>
        </w:rPr>
        <w:t> </w:t>
      </w:r>
      <w:r w:rsidRPr="005D29DC">
        <w:rPr>
          <w:rFonts w:ascii="Times New Roman" w:hAnsi="Times New Roman"/>
          <w:b/>
          <w:bCs/>
        </w:rPr>
        <w:t>bodu</w:t>
      </w:r>
      <w:r>
        <w:rPr>
          <w:rFonts w:ascii="Times New Roman" w:hAnsi="Times New Roman"/>
          <w:b/>
          <w:bCs/>
        </w:rPr>
        <w:t xml:space="preserve"> </w:t>
      </w:r>
      <w:r w:rsidR="007F7EE9">
        <w:rPr>
          <w:rFonts w:ascii="Times New Roman" w:hAnsi="Times New Roman"/>
          <w:b/>
          <w:bCs/>
        </w:rPr>
        <w:t>19</w:t>
      </w:r>
    </w:p>
    <w:p w:rsidR="00683BAA" w:rsidP="001C7F86">
      <w:pPr>
        <w:bidi w:val="0"/>
        <w:jc w:val="both"/>
        <w:rPr>
          <w:rFonts w:ascii="Times New Roman" w:hAnsi="Times New Roman"/>
          <w:b/>
          <w:bCs/>
        </w:rPr>
      </w:pPr>
    </w:p>
    <w:p w:rsidR="00683BAA" w:rsidRPr="00683BAA" w:rsidP="00683BAA">
      <w:pPr>
        <w:bidi w:val="0"/>
        <w:ind w:firstLine="720"/>
        <w:jc w:val="both"/>
        <w:rPr>
          <w:rFonts w:ascii="Times New Roman" w:hAnsi="Times New Roman"/>
          <w:b/>
          <w:bCs/>
        </w:rPr>
      </w:pPr>
      <w:r w:rsidRPr="00683BAA">
        <w:rPr>
          <w:rFonts w:ascii="Times New Roman" w:hAnsi="Times New Roman" w:cs="Calibri"/>
        </w:rPr>
        <w:t>Na základe poznatkov z praxe sa navrhuje novelizácia ustanovenia § 144 odseku 15 zákona o cenných papieroch a investičných službách tak, aby sa zabezpečila jeho harmonizácia s obsahovo obdobnými ustanoveniami iných zákonov v oblasti finančného trhu (napríklad s § 106 ods. 6 zákona o kolektívnom investovaní)</w:t>
      </w:r>
      <w:r w:rsidR="00FE23EB">
        <w:rPr>
          <w:rFonts w:ascii="Times New Roman" w:hAnsi="Times New Roman" w:cs="Calibri"/>
        </w:rPr>
        <w:t>,</w:t>
      </w:r>
      <w:r w:rsidRPr="00683BAA">
        <w:rPr>
          <w:rFonts w:ascii="Times New Roman" w:hAnsi="Times New Roman" w:cs="Calibri"/>
        </w:rPr>
        <w:t xml:space="preserve"> čím sa vytvárajú legislatívne predpoklady na zdokonalenie interpretácie a aplikácie § 144 ods. 15 zákona o cenných papieroch a investičných službách v záujme efektívneho výkonu dohľadu.</w:t>
      </w:r>
    </w:p>
    <w:p w:rsidR="00A468E1" w:rsidP="001C7F86">
      <w:pPr>
        <w:bidi w:val="0"/>
        <w:jc w:val="both"/>
        <w:rPr>
          <w:rFonts w:ascii="Times New Roman" w:hAnsi="Times New Roman"/>
          <w:b/>
          <w:bCs/>
        </w:rPr>
      </w:pPr>
    </w:p>
    <w:p w:rsidR="00A468E1" w:rsidP="001C7F86">
      <w:pPr>
        <w:bidi w:val="0"/>
        <w:jc w:val="both"/>
        <w:rPr>
          <w:rFonts w:ascii="Times New Roman" w:hAnsi="Times New Roman"/>
          <w:b/>
          <w:bCs/>
        </w:rPr>
      </w:pPr>
      <w:r w:rsidRPr="005D29DC">
        <w:rPr>
          <w:rFonts w:ascii="Times New Roman" w:hAnsi="Times New Roman"/>
          <w:b/>
          <w:bCs/>
        </w:rPr>
        <w:t>K</w:t>
      </w:r>
      <w:r>
        <w:rPr>
          <w:rFonts w:ascii="Times New Roman" w:hAnsi="Times New Roman"/>
          <w:b/>
          <w:bCs/>
        </w:rPr>
        <w:t> </w:t>
      </w:r>
      <w:r w:rsidRPr="005D29DC">
        <w:rPr>
          <w:rFonts w:ascii="Times New Roman" w:hAnsi="Times New Roman"/>
          <w:b/>
          <w:bCs/>
        </w:rPr>
        <w:t>bodu</w:t>
      </w:r>
      <w:r>
        <w:rPr>
          <w:rFonts w:ascii="Times New Roman" w:hAnsi="Times New Roman"/>
          <w:b/>
          <w:bCs/>
        </w:rPr>
        <w:t xml:space="preserve"> </w:t>
      </w:r>
      <w:r w:rsidR="008F5368">
        <w:rPr>
          <w:rFonts w:ascii="Times New Roman" w:hAnsi="Times New Roman"/>
          <w:b/>
          <w:bCs/>
        </w:rPr>
        <w:t>2</w:t>
      </w:r>
      <w:r w:rsidR="007F7EE9">
        <w:rPr>
          <w:rFonts w:ascii="Times New Roman" w:hAnsi="Times New Roman"/>
          <w:b/>
          <w:bCs/>
        </w:rPr>
        <w:t>0</w:t>
      </w:r>
      <w:r w:rsidR="002752C4">
        <w:rPr>
          <w:rFonts w:ascii="Times New Roman" w:hAnsi="Times New Roman"/>
          <w:b/>
          <w:bCs/>
        </w:rPr>
        <w:t xml:space="preserve"> a 2</w:t>
      </w:r>
      <w:r w:rsidR="007F7EE9">
        <w:rPr>
          <w:rFonts w:ascii="Times New Roman" w:hAnsi="Times New Roman"/>
          <w:b/>
          <w:bCs/>
        </w:rPr>
        <w:t>1</w:t>
      </w:r>
    </w:p>
    <w:p w:rsidR="002752C4" w:rsidP="001C7F86">
      <w:pPr>
        <w:bidi w:val="0"/>
        <w:jc w:val="both"/>
        <w:rPr>
          <w:rFonts w:ascii="Times New Roman" w:hAnsi="Times New Roman"/>
          <w:b/>
          <w:bCs/>
        </w:rPr>
      </w:pPr>
    </w:p>
    <w:p w:rsidR="002752C4" w:rsidRPr="002752C4" w:rsidP="002752C4">
      <w:pPr>
        <w:bidi w:val="0"/>
        <w:ind w:firstLine="720"/>
        <w:jc w:val="both"/>
        <w:rPr>
          <w:rFonts w:ascii="Times New Roman" w:hAnsi="Times New Roman"/>
          <w:b/>
          <w:bCs/>
        </w:rPr>
      </w:pPr>
      <w:r>
        <w:rPr>
          <w:rFonts w:ascii="Times New Roman" w:hAnsi="Times New Roman"/>
        </w:rPr>
        <w:t>Legislatívno-technická zmena</w:t>
      </w:r>
      <w:r w:rsidR="007B1461">
        <w:rPr>
          <w:rFonts w:ascii="Times New Roman" w:hAnsi="Times New Roman"/>
        </w:rPr>
        <w:t xml:space="preserve"> vz</w:t>
      </w:r>
      <w:r w:rsidRPr="002752C4">
        <w:rPr>
          <w:rFonts w:ascii="Times New Roman" w:hAnsi="Times New Roman" w:cs="Calibri"/>
        </w:rPr>
        <w:t>hľadom k tomu, že právo Európskych spoločenstiev sa na základe Lisabonskej zmluvy, ktorou sa mení a dopĺňa Zmluva o Európskej únii a Zmluva o založení Európskeho spoločenstva, recipovalo do práva Európskej únie.</w:t>
      </w:r>
    </w:p>
    <w:p w:rsidR="006A0092" w:rsidRPr="001C7F86" w:rsidP="001C7F86">
      <w:pPr>
        <w:bidi w:val="0"/>
        <w:jc w:val="both"/>
        <w:rPr>
          <w:rFonts w:ascii="Times New Roman" w:hAnsi="Times New Roman"/>
        </w:rPr>
      </w:pPr>
    </w:p>
    <w:p w:rsidR="004F1991" w:rsidRPr="004F1991" w:rsidP="00565EEC">
      <w:pPr>
        <w:bidi w:val="0"/>
        <w:jc w:val="both"/>
        <w:rPr>
          <w:rFonts w:ascii="Times New Roman" w:hAnsi="Times New Roman"/>
          <w:b/>
        </w:rPr>
      </w:pPr>
      <w:r w:rsidRPr="004F1991" w:rsidR="005F1446">
        <w:rPr>
          <w:rFonts w:ascii="Times New Roman" w:hAnsi="Times New Roman"/>
          <w:b/>
        </w:rPr>
        <w:t>K bodu 2</w:t>
      </w:r>
      <w:r w:rsidR="007F7EE9">
        <w:rPr>
          <w:rFonts w:ascii="Times New Roman" w:hAnsi="Times New Roman"/>
          <w:b/>
        </w:rPr>
        <w:t>2</w:t>
      </w:r>
    </w:p>
    <w:p w:rsidR="005F1446" w:rsidP="005F1446">
      <w:pPr>
        <w:bidi w:val="0"/>
        <w:jc w:val="both"/>
        <w:rPr>
          <w:rFonts w:ascii="Times New Roman" w:hAnsi="Times New Roman"/>
        </w:rPr>
      </w:pPr>
    </w:p>
    <w:p w:rsidR="005F1446" w:rsidP="005F1446">
      <w:pPr>
        <w:bidi w:val="0"/>
        <w:ind w:firstLine="720"/>
        <w:jc w:val="both"/>
        <w:rPr>
          <w:rFonts w:ascii="Times New Roman" w:hAnsi="Times New Roman" w:cs="Calibri"/>
        </w:rPr>
      </w:pPr>
      <w:r>
        <w:rPr>
          <w:rFonts w:ascii="Times New Roman" w:hAnsi="Times New Roman"/>
        </w:rPr>
        <w:t>Legislatívno-technická zmena</w:t>
      </w:r>
      <w:r w:rsidR="007B1461">
        <w:rPr>
          <w:rFonts w:ascii="Times New Roman" w:hAnsi="Times New Roman" w:cs="Calibri"/>
        </w:rPr>
        <w:t xml:space="preserve"> vz</w:t>
      </w:r>
      <w:r w:rsidRPr="002752C4">
        <w:rPr>
          <w:rFonts w:ascii="Times New Roman" w:hAnsi="Times New Roman" w:cs="Calibri"/>
        </w:rPr>
        <w:t>hľadom k tomu, že právo Európskych spoločenstiev sa na základe Lisabonskej zmluvy, ktorou sa mení a dopĺňa Zmluva o Európskej únii a Zmluva o založení Európskeho spoločenstva, recipovalo do práva Európskej únie.</w:t>
      </w:r>
    </w:p>
    <w:p w:rsidR="006D7665" w:rsidP="006D7665">
      <w:pPr>
        <w:bidi w:val="0"/>
        <w:jc w:val="both"/>
        <w:rPr>
          <w:rFonts w:ascii="Times New Roman" w:hAnsi="Times New Roman" w:cs="Calibri"/>
        </w:rPr>
      </w:pPr>
    </w:p>
    <w:p w:rsidR="006D7665" w:rsidP="006D7665">
      <w:pPr>
        <w:bidi w:val="0"/>
        <w:jc w:val="both"/>
        <w:rPr>
          <w:rFonts w:ascii="Times New Roman" w:hAnsi="Times New Roman" w:cs="Calibri"/>
          <w:b/>
        </w:rPr>
      </w:pPr>
      <w:r w:rsidRPr="004F1991">
        <w:rPr>
          <w:rFonts w:ascii="Times New Roman" w:hAnsi="Times New Roman" w:cs="Calibri"/>
          <w:b/>
        </w:rPr>
        <w:t>K bodu 2</w:t>
      </w:r>
      <w:r w:rsidR="007F7EE9">
        <w:rPr>
          <w:rFonts w:ascii="Times New Roman" w:hAnsi="Times New Roman" w:cs="Calibri"/>
          <w:b/>
        </w:rPr>
        <w:t>3</w:t>
      </w:r>
    </w:p>
    <w:p w:rsidR="008E6F63" w:rsidP="006D7665">
      <w:pPr>
        <w:bidi w:val="0"/>
        <w:jc w:val="both"/>
        <w:rPr>
          <w:rFonts w:ascii="Times New Roman" w:hAnsi="Times New Roman" w:cs="Calibri"/>
          <w:b/>
        </w:rPr>
      </w:pPr>
    </w:p>
    <w:p w:rsidR="008E6F63" w:rsidRPr="008E6F63" w:rsidP="008E6F63">
      <w:pPr>
        <w:bidi w:val="0"/>
        <w:ind w:firstLine="720"/>
        <w:jc w:val="both"/>
        <w:rPr>
          <w:rFonts w:ascii="Times New Roman" w:hAnsi="Times New Roman" w:cs="Calibri"/>
        </w:rPr>
      </w:pPr>
      <w:r w:rsidR="007B1461">
        <w:rPr>
          <w:rFonts w:ascii="Times New Roman" w:hAnsi="Times New Roman" w:cs="Calibri"/>
        </w:rPr>
        <w:t> P</w:t>
      </w:r>
      <w:r>
        <w:rPr>
          <w:rFonts w:ascii="Times New Roman" w:hAnsi="Times New Roman" w:cs="Calibri"/>
        </w:rPr>
        <w:t>ríloh</w:t>
      </w:r>
      <w:r w:rsidR="007B1461">
        <w:rPr>
          <w:rFonts w:ascii="Times New Roman" w:hAnsi="Times New Roman" w:cs="Calibri"/>
        </w:rPr>
        <w:t>a k zákonu o cenných papieroch</w:t>
      </w:r>
      <w:r>
        <w:rPr>
          <w:rFonts w:ascii="Times New Roman" w:hAnsi="Times New Roman" w:cs="Calibri"/>
        </w:rPr>
        <w:t xml:space="preserve"> sa dopĺňa o smernicu Európskeho parlamentu a Rady 98/26/ES z 19. mája 1998 o konečnom zúčtovaní v platobných systémoch a zúčtovacích systémoch cenných papierov</w:t>
      </w:r>
      <w:r w:rsidR="00865044">
        <w:rPr>
          <w:rFonts w:ascii="Times New Roman" w:hAnsi="Times New Roman" w:cs="Calibri"/>
        </w:rPr>
        <w:t> vzhľadom na skutočnosť</w:t>
      </w:r>
      <w:r>
        <w:rPr>
          <w:rFonts w:ascii="Times New Roman" w:hAnsi="Times New Roman" w:cs="Calibri"/>
        </w:rPr>
        <w:t>, že táto smernica doposiaľ nebola</w:t>
      </w:r>
      <w:r w:rsidR="00865044">
        <w:rPr>
          <w:rFonts w:ascii="Times New Roman" w:hAnsi="Times New Roman" w:cs="Calibri"/>
        </w:rPr>
        <w:t xml:space="preserve"> v prílohe</w:t>
      </w:r>
      <w:r>
        <w:rPr>
          <w:rFonts w:ascii="Times New Roman" w:hAnsi="Times New Roman" w:cs="Calibri"/>
        </w:rPr>
        <w:t xml:space="preserve"> uvedená.</w:t>
      </w:r>
    </w:p>
    <w:p w:rsidR="00AA65AC" w:rsidP="006D7665">
      <w:pPr>
        <w:bidi w:val="0"/>
        <w:jc w:val="both"/>
        <w:rPr>
          <w:rFonts w:ascii="Times New Roman" w:hAnsi="Times New Roman" w:cs="Calibri"/>
        </w:rPr>
      </w:pPr>
    </w:p>
    <w:p w:rsidR="007F7EE9" w:rsidP="006D7665">
      <w:pPr>
        <w:bidi w:val="0"/>
        <w:jc w:val="both"/>
        <w:rPr>
          <w:rFonts w:ascii="Times New Roman" w:hAnsi="Times New Roman" w:cs="Calibri"/>
          <w:b/>
        </w:rPr>
      </w:pPr>
    </w:p>
    <w:p w:rsidR="007F7EE9" w:rsidP="006D7665">
      <w:pPr>
        <w:bidi w:val="0"/>
        <w:jc w:val="both"/>
        <w:rPr>
          <w:rFonts w:ascii="Times New Roman" w:hAnsi="Times New Roman" w:cs="Calibri"/>
          <w:b/>
        </w:rPr>
      </w:pPr>
    </w:p>
    <w:p w:rsidR="006D7665" w:rsidP="006D7665">
      <w:pPr>
        <w:bidi w:val="0"/>
        <w:jc w:val="both"/>
        <w:rPr>
          <w:rFonts w:ascii="Times New Roman" w:hAnsi="Times New Roman" w:cs="Calibri"/>
          <w:b/>
        </w:rPr>
      </w:pPr>
      <w:r w:rsidR="008E6F63">
        <w:rPr>
          <w:rFonts w:ascii="Times New Roman" w:hAnsi="Times New Roman" w:cs="Calibri"/>
          <w:b/>
        </w:rPr>
        <w:t>K bodu 2</w:t>
      </w:r>
      <w:r w:rsidR="007F7EE9">
        <w:rPr>
          <w:rFonts w:ascii="Times New Roman" w:hAnsi="Times New Roman" w:cs="Calibri"/>
          <w:b/>
        </w:rPr>
        <w:t>4</w:t>
      </w:r>
    </w:p>
    <w:p w:rsidR="008E6F63" w:rsidP="006D7665">
      <w:pPr>
        <w:bidi w:val="0"/>
        <w:jc w:val="both"/>
        <w:rPr>
          <w:rFonts w:ascii="Times New Roman" w:hAnsi="Times New Roman" w:cs="Calibri"/>
          <w:b/>
        </w:rPr>
      </w:pPr>
    </w:p>
    <w:p w:rsidR="008E6F63" w:rsidP="008E6F63">
      <w:pPr>
        <w:bidi w:val="0"/>
        <w:ind w:firstLine="720"/>
        <w:jc w:val="both"/>
        <w:rPr>
          <w:rFonts w:ascii="Times New Roman" w:hAnsi="Times New Roman" w:cs="Calibri"/>
          <w:b/>
        </w:rPr>
      </w:pPr>
      <w:r w:rsidR="007B1461">
        <w:rPr>
          <w:rFonts w:ascii="Times New Roman" w:hAnsi="Times New Roman" w:cs="Calibri"/>
        </w:rPr>
        <w:t>P</w:t>
      </w:r>
      <w:r>
        <w:rPr>
          <w:rFonts w:ascii="Times New Roman" w:hAnsi="Times New Roman" w:cs="Calibri"/>
        </w:rPr>
        <w:t xml:space="preserve">rílohe </w:t>
      </w:r>
      <w:r w:rsidR="007B1461">
        <w:rPr>
          <w:rFonts w:ascii="Times New Roman" w:hAnsi="Times New Roman" w:cs="Calibri"/>
        </w:rPr>
        <w:t xml:space="preserve">k zákonu o cenných papieroch </w:t>
      </w:r>
      <w:r>
        <w:rPr>
          <w:rFonts w:ascii="Times New Roman" w:hAnsi="Times New Roman" w:cs="Calibri"/>
        </w:rPr>
        <w:t>sa dopĺňa o smernicu Európskeho parlamentu a Rady 2009/111/ES zo 16. septembra 2010, ktorou sa dopĺňajú smernice 2006/48/ES, 2006/49/ES a 2007/64/ES.</w:t>
      </w:r>
    </w:p>
    <w:p w:rsidR="008E6F63" w:rsidP="006D7665">
      <w:pPr>
        <w:bidi w:val="0"/>
        <w:jc w:val="both"/>
        <w:rPr>
          <w:rFonts w:ascii="Times New Roman" w:hAnsi="Times New Roman" w:cs="Calibri"/>
          <w:b/>
        </w:rPr>
      </w:pPr>
    </w:p>
    <w:p w:rsidR="00CA5A82" w:rsidRPr="00D345BC" w:rsidP="00FA2DDC">
      <w:pPr>
        <w:bidi w:val="0"/>
        <w:jc w:val="both"/>
        <w:rPr>
          <w:rFonts w:ascii="Times New Roman" w:hAnsi="Times New Roman"/>
          <w:b/>
          <w:bCs/>
        </w:rPr>
      </w:pPr>
      <w:r w:rsidRPr="00D345BC">
        <w:rPr>
          <w:rFonts w:ascii="Times New Roman" w:hAnsi="Times New Roman"/>
          <w:b/>
          <w:bCs/>
        </w:rPr>
        <w:t>K ustanoveni</w:t>
      </w:r>
      <w:r w:rsidRPr="00D345BC" w:rsidR="00032BA9">
        <w:rPr>
          <w:rFonts w:ascii="Times New Roman" w:hAnsi="Times New Roman"/>
          <w:b/>
          <w:bCs/>
        </w:rPr>
        <w:t>u</w:t>
      </w:r>
      <w:r w:rsidRPr="00D345BC">
        <w:rPr>
          <w:rFonts w:ascii="Times New Roman" w:hAnsi="Times New Roman"/>
          <w:b/>
          <w:bCs/>
        </w:rPr>
        <w:t xml:space="preserve"> článku II</w:t>
      </w:r>
      <w:r w:rsidRPr="00D345BC" w:rsidR="00CF64E3">
        <w:rPr>
          <w:rFonts w:ascii="Times New Roman" w:hAnsi="Times New Roman"/>
          <w:b/>
          <w:bCs/>
        </w:rPr>
        <w:t>I</w:t>
      </w:r>
    </w:p>
    <w:p w:rsidR="00CA5A82" w:rsidRPr="00D345BC" w:rsidP="00FA2DDC">
      <w:pPr>
        <w:bidi w:val="0"/>
        <w:jc w:val="both"/>
        <w:rPr>
          <w:rFonts w:ascii="Times New Roman" w:hAnsi="Times New Roman"/>
        </w:rPr>
      </w:pPr>
    </w:p>
    <w:p w:rsidR="00C65F61" w:rsidP="00FA2DDC">
      <w:pPr>
        <w:bidi w:val="0"/>
        <w:jc w:val="both"/>
        <w:rPr>
          <w:rFonts w:ascii="Times New Roman" w:hAnsi="Times New Roman"/>
        </w:rPr>
      </w:pPr>
      <w:r w:rsidRPr="00D345BC" w:rsidR="00CA5A82">
        <w:rPr>
          <w:rFonts w:ascii="Times New Roman" w:hAnsi="Times New Roman"/>
        </w:rPr>
        <w:tab/>
        <w:t xml:space="preserve">Účinnosť sa navrhuje </w:t>
      </w:r>
      <w:r w:rsidR="00A44779">
        <w:rPr>
          <w:rFonts w:ascii="Times New Roman" w:hAnsi="Times New Roman"/>
        </w:rPr>
        <w:t xml:space="preserve">dňom </w:t>
      </w:r>
      <w:r w:rsidR="007F7EE9">
        <w:rPr>
          <w:rFonts w:ascii="Times New Roman" w:hAnsi="Times New Roman"/>
        </w:rPr>
        <w:t>1. m</w:t>
      </w:r>
      <w:r w:rsidR="00A07E5F">
        <w:rPr>
          <w:rFonts w:ascii="Times New Roman" w:hAnsi="Times New Roman"/>
        </w:rPr>
        <w:t>arca</w:t>
      </w:r>
      <w:r w:rsidR="007F7EE9">
        <w:rPr>
          <w:rFonts w:ascii="Times New Roman" w:hAnsi="Times New Roman"/>
        </w:rPr>
        <w:t xml:space="preserve"> 2011</w:t>
      </w:r>
      <w:r w:rsidRPr="00D345BC" w:rsidR="00032BA9">
        <w:rPr>
          <w:rFonts w:ascii="Times New Roman" w:hAnsi="Times New Roman"/>
        </w:rPr>
        <w:t>.</w:t>
      </w:r>
    </w:p>
    <w:p w:rsidR="00D345BC" w:rsidP="00FA2DDC">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both"/>
        <w:rPr>
          <w:rFonts w:ascii="Times New Roman" w:hAnsi="Times New Roman"/>
        </w:rPr>
      </w:pPr>
      <w:r>
        <w:rPr>
          <w:rFonts w:ascii="Times New Roman" w:hAnsi="Times New Roman"/>
        </w:rPr>
        <w:t>Schválené vládou Slovenskej republiky dňa 12. novembra 2010.</w:t>
      </w: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center"/>
        <w:rPr>
          <w:rFonts w:ascii="Times New Roman" w:hAnsi="Times New Roman" w:cs="Arial Narrow"/>
          <w:b/>
          <w:bCs/>
        </w:rPr>
      </w:pPr>
    </w:p>
    <w:p w:rsidR="00AB49D3" w:rsidP="00AB49D3">
      <w:pPr>
        <w:bidi w:val="0"/>
        <w:jc w:val="center"/>
        <w:rPr>
          <w:rFonts w:ascii="Times New Roman" w:hAnsi="Times New Roman"/>
          <w:b/>
          <w:bCs/>
        </w:rPr>
      </w:pPr>
      <w:r>
        <w:rPr>
          <w:rFonts w:ascii="Times New Roman" w:hAnsi="Times New Roman"/>
          <w:b/>
          <w:bCs/>
        </w:rPr>
        <w:t>Iveta R a d i č o v</w:t>
      </w:r>
      <w:r w:rsidR="00234FCA">
        <w:rPr>
          <w:rFonts w:ascii="Times New Roman" w:hAnsi="Times New Roman"/>
          <w:b/>
          <w:bCs/>
        </w:rPr>
        <w:t> </w:t>
      </w:r>
      <w:r>
        <w:rPr>
          <w:rFonts w:ascii="Times New Roman" w:hAnsi="Times New Roman"/>
          <w:b/>
          <w:bCs/>
        </w:rPr>
        <w:t>á</w:t>
      </w:r>
      <w:r w:rsidR="00234FCA">
        <w:rPr>
          <w:rFonts w:ascii="Times New Roman" w:hAnsi="Times New Roman"/>
          <w:b/>
          <w:bCs/>
        </w:rPr>
        <w:t>, v.r.</w:t>
      </w:r>
    </w:p>
    <w:p w:rsidR="00AB49D3" w:rsidP="00AB49D3">
      <w:pPr>
        <w:bidi w:val="0"/>
        <w:jc w:val="center"/>
        <w:rPr>
          <w:rFonts w:ascii="Times New Roman" w:hAnsi="Times New Roman"/>
        </w:rPr>
      </w:pPr>
      <w:r>
        <w:rPr>
          <w:rFonts w:ascii="Times New Roman" w:hAnsi="Times New Roman"/>
        </w:rPr>
        <w:t>predsedníčka vlády</w:t>
      </w:r>
    </w:p>
    <w:p w:rsidR="00AB49D3" w:rsidP="00AB49D3">
      <w:pPr>
        <w:bidi w:val="0"/>
        <w:jc w:val="center"/>
        <w:rPr>
          <w:rFonts w:ascii="Times New Roman" w:hAnsi="Times New Roman"/>
        </w:rPr>
      </w:pPr>
      <w:r>
        <w:rPr>
          <w:rFonts w:ascii="Times New Roman" w:hAnsi="Times New Roman"/>
        </w:rPr>
        <w:t>Slovenskej republiky</w:t>
      </w: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AB49D3" w:rsidP="00AB49D3">
      <w:pPr>
        <w:bidi w:val="0"/>
        <w:jc w:val="both"/>
        <w:rPr>
          <w:rFonts w:ascii="Times New Roman" w:hAnsi="Times New Roman"/>
        </w:rPr>
      </w:pPr>
    </w:p>
    <w:p w:rsidR="00FF64E2" w:rsidP="00AB49D3">
      <w:pPr>
        <w:bidi w:val="0"/>
        <w:jc w:val="center"/>
        <w:rPr>
          <w:rFonts w:ascii="Times New Roman" w:hAnsi="Times New Roman"/>
          <w:b/>
          <w:bCs/>
        </w:rPr>
      </w:pPr>
      <w:r w:rsidR="00AB49D3">
        <w:rPr>
          <w:rFonts w:ascii="Times New Roman" w:hAnsi="Times New Roman"/>
          <w:b/>
          <w:bCs/>
        </w:rPr>
        <w:t>Ivan M i k l o</w:t>
      </w:r>
      <w:r w:rsidR="00234FCA">
        <w:rPr>
          <w:rFonts w:ascii="Times New Roman" w:hAnsi="Times New Roman"/>
          <w:b/>
          <w:bCs/>
        </w:rPr>
        <w:t> </w:t>
      </w:r>
      <w:r w:rsidR="00AB49D3">
        <w:rPr>
          <w:rFonts w:ascii="Times New Roman" w:hAnsi="Times New Roman"/>
          <w:b/>
          <w:bCs/>
        </w:rPr>
        <w:t>š</w:t>
      </w:r>
      <w:r w:rsidR="00234FCA">
        <w:rPr>
          <w:rFonts w:ascii="Times New Roman" w:hAnsi="Times New Roman"/>
          <w:b/>
          <w:bCs/>
        </w:rPr>
        <w:t>, v.r.</w:t>
      </w:r>
    </w:p>
    <w:p w:rsidR="00AB49D3" w:rsidP="00AB49D3">
      <w:pPr>
        <w:bidi w:val="0"/>
        <w:jc w:val="center"/>
        <w:rPr>
          <w:rFonts w:ascii="Times New Roman" w:hAnsi="Times New Roman"/>
        </w:rPr>
      </w:pPr>
      <w:r>
        <w:rPr>
          <w:rFonts w:ascii="Times New Roman" w:hAnsi="Times New Roman"/>
        </w:rPr>
        <w:t>podpredseda vlády a minister financií</w:t>
      </w:r>
    </w:p>
    <w:p w:rsidR="00AB49D3" w:rsidP="00AB49D3">
      <w:pPr>
        <w:bidi w:val="0"/>
        <w:jc w:val="center"/>
        <w:rPr>
          <w:rFonts w:ascii="Times New Roman" w:hAnsi="Times New Roman"/>
        </w:rPr>
      </w:pPr>
      <w:r>
        <w:rPr>
          <w:rFonts w:ascii="Times New Roman" w:hAnsi="Times New Roman"/>
        </w:rPr>
        <w:t>Slovenskej republiky</w:t>
      </w:r>
    </w:p>
    <w:p w:rsidR="00D345BC" w:rsidRPr="00D345BC" w:rsidP="00FA2DDC">
      <w:pPr>
        <w:bidi w:val="0"/>
        <w:jc w:val="both"/>
        <w:rPr>
          <w:rFonts w:ascii="Times New Roman" w:hAnsi="Times New Roman"/>
        </w:rPr>
      </w:pPr>
    </w:p>
    <w:sectPr w:rsidSect="00FA2DDC">
      <w:pgSz w:w="11906" w:h="16838"/>
      <w:pgMar w:top="1134" w:right="1134" w:bottom="1134" w:left="1134"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auto"/>
    <w:pitch w:val="default"/>
    <w:sig w:usb0="00000000" w:usb1="00000000" w:usb2="00000000" w:usb3="00000000" w:csb0="00000003" w:csb1="00000000"/>
  </w:font>
  <w:font w:name="Consolas">
    <w:panose1 w:val="020B0609020204030204"/>
    <w:charset w:val="EE"/>
    <w:family w:val="modern"/>
    <w:pitch w:val="fixed"/>
    <w:sig w:usb0="00000000" w:usb1="00000000" w:usb2="00000000" w:usb3="00000000" w:csb0="0000009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414">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34FCA">
      <w:rPr>
        <w:rStyle w:val="PageNumber"/>
        <w:rFonts w:ascii="Times New Roman" w:hAnsi="Times New Roman"/>
        <w:noProof/>
      </w:rPr>
      <w:t>18</w:t>
    </w:r>
    <w:r>
      <w:rPr>
        <w:rStyle w:val="PageNumber"/>
        <w:rFonts w:ascii="Times New Roman" w:hAnsi="Times New Roman"/>
      </w:rPr>
      <w:fldChar w:fldCharType="end"/>
    </w:r>
  </w:p>
  <w:p w:rsidR="00EF141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612"/>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1">
    <w:nsid w:val="129B768F"/>
    <w:multiLevelType w:val="singleLevel"/>
    <w:tmpl w:val="041B0017"/>
    <w:lvl w:ilvl="0">
      <w:start w:val="1"/>
      <w:numFmt w:val="lowerLetter"/>
      <w:lvlText w:val="%1)"/>
      <w:lvlJc w:val="left"/>
      <w:pPr>
        <w:tabs>
          <w:tab w:val="num" w:pos="900"/>
        </w:tabs>
        <w:ind w:left="900" w:hanging="360"/>
      </w:pPr>
      <w:rPr>
        <w:rFonts w:cs="Times New Roman" w:hint="default"/>
        <w:rtl w:val="0"/>
        <w:cs w:val="0"/>
      </w:rPr>
    </w:lvl>
  </w:abstractNum>
  <w:abstractNum w:abstractNumId="2">
    <w:nsid w:val="15B90E24"/>
    <w:multiLevelType w:val="hybridMultilevel"/>
    <w:tmpl w:val="FA868E7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15F06"/>
    <w:multiLevelType w:val="multilevel"/>
    <w:tmpl w:val="F07415C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4E06DD4"/>
    <w:multiLevelType w:val="hybridMultilevel"/>
    <w:tmpl w:val="1950845A"/>
    <w:lvl w:ilvl="0">
      <w:start w:val="1"/>
      <w:numFmt w:val="lowerLetter"/>
      <w:lvlText w:val="%1)"/>
      <w:lvlJc w:val="left"/>
      <w:pPr>
        <w:tabs>
          <w:tab w:val="num" w:pos="900"/>
        </w:tabs>
        <w:ind w:left="90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7">
    <w:nsid w:val="5DD91336"/>
    <w:multiLevelType w:val="hybridMultilevel"/>
    <w:tmpl w:val="2362D37E"/>
    <w:lvl w:ilvl="0">
      <w:start w:val="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B0C7D17"/>
    <w:multiLevelType w:val="hybridMultilevel"/>
    <w:tmpl w:val="18CCA636"/>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1080"/>
        </w:tabs>
        <w:ind w:left="1080" w:hanging="18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lowerLetter"/>
      <w:lvlText w:val="%5."/>
      <w:lvlJc w:val="left"/>
      <w:pPr>
        <w:tabs>
          <w:tab w:val="num" w:pos="2520"/>
        </w:tabs>
        <w:ind w:left="2520" w:hanging="360"/>
      </w:pPr>
      <w:rPr>
        <w:rFonts w:cs="Times New Roman"/>
        <w:rtl w:val="0"/>
        <w:cs w:val="0"/>
      </w:rPr>
    </w:lvl>
    <w:lvl w:ilvl="5">
      <w:start w:val="1"/>
      <w:numFmt w:val="lowerRoman"/>
      <w:lvlText w:val="%6."/>
      <w:lvlJc w:val="right"/>
      <w:pPr>
        <w:tabs>
          <w:tab w:val="num" w:pos="3240"/>
        </w:tabs>
        <w:ind w:left="3240" w:hanging="180"/>
      </w:pPr>
      <w:rPr>
        <w:rFonts w:cs="Times New Roman"/>
        <w:rtl w:val="0"/>
        <w:cs w:val="0"/>
      </w:rPr>
    </w:lvl>
    <w:lvl w:ilvl="6">
      <w:start w:val="1"/>
      <w:numFmt w:val="decimal"/>
      <w:lvlText w:val="%7."/>
      <w:lvlJc w:val="left"/>
      <w:pPr>
        <w:tabs>
          <w:tab w:val="num" w:pos="3960"/>
        </w:tabs>
        <w:ind w:left="3960" w:hanging="360"/>
      </w:pPr>
      <w:rPr>
        <w:rFonts w:cs="Times New Roman"/>
        <w:rtl w:val="0"/>
        <w:cs w:val="0"/>
      </w:rPr>
    </w:lvl>
    <w:lvl w:ilvl="7">
      <w:start w:val="1"/>
      <w:numFmt w:val="lowerLetter"/>
      <w:lvlText w:val="%8."/>
      <w:lvlJc w:val="left"/>
      <w:pPr>
        <w:tabs>
          <w:tab w:val="num" w:pos="4680"/>
        </w:tabs>
        <w:ind w:left="4680" w:hanging="360"/>
      </w:pPr>
      <w:rPr>
        <w:rFonts w:cs="Times New Roman"/>
        <w:rtl w:val="0"/>
        <w:cs w:val="0"/>
      </w:rPr>
    </w:lvl>
    <w:lvl w:ilvl="8">
      <w:start w:val="1"/>
      <w:numFmt w:val="lowerRoman"/>
      <w:lvlText w:val="%9."/>
      <w:lvlJc w:val="right"/>
      <w:pPr>
        <w:tabs>
          <w:tab w:val="num" w:pos="5400"/>
        </w:tabs>
        <w:ind w:left="5400" w:hanging="180"/>
      </w:pPr>
      <w:rPr>
        <w:rFonts w:cs="Times New Roman"/>
        <w:rtl w:val="0"/>
        <w:cs w:val="0"/>
      </w:rPr>
    </w:lvl>
  </w:abstractNum>
  <w:abstractNum w:abstractNumId="9">
    <w:nsid w:val="750F240C"/>
    <w:multiLevelType w:val="singleLevel"/>
    <w:tmpl w:val="131C959E"/>
    <w:lvl w:ilvl="0">
      <w:start w:val="2"/>
      <w:numFmt w:val="bullet"/>
      <w:lvlText w:val="-"/>
      <w:lvlJc w:val="left"/>
      <w:pPr>
        <w:tabs>
          <w:tab w:val="num" w:pos="720"/>
        </w:tabs>
        <w:ind w:left="720" w:hanging="360"/>
      </w:pPr>
      <w:rPr>
        <w:rFonts w:ascii="Times New Roman" w:hAnsi="Times New Roman" w:hint="default"/>
      </w:rPr>
    </w:lvl>
  </w:abstractNum>
  <w:num w:numId="1">
    <w:abstractNumId w:val="0"/>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num>
  <w:num w:numId="5">
    <w:abstractNumId w:val="9"/>
  </w:num>
  <w:num w:numId="6">
    <w:abstractNumId w:val="3"/>
  </w:num>
  <w:num w:numId="7">
    <w:abstractNumId w:val="1"/>
  </w:num>
  <w:num w:numId="8">
    <w:abstractNumId w:val="5"/>
  </w:num>
  <w:num w:numId="9">
    <w:abstractNumId w:val="7"/>
  </w:num>
  <w:num w:numId="10">
    <w:abstractNumId w:val="2"/>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17CA1"/>
    <w:rsid w:val="00004B95"/>
    <w:rsid w:val="00005ED0"/>
    <w:rsid w:val="000179D8"/>
    <w:rsid w:val="0002252C"/>
    <w:rsid w:val="00023657"/>
    <w:rsid w:val="00032BA9"/>
    <w:rsid w:val="00042421"/>
    <w:rsid w:val="00046F9C"/>
    <w:rsid w:val="0005120B"/>
    <w:rsid w:val="0005330E"/>
    <w:rsid w:val="00063322"/>
    <w:rsid w:val="000A549D"/>
    <w:rsid w:val="000C3685"/>
    <w:rsid w:val="000D2901"/>
    <w:rsid w:val="000D6AB0"/>
    <w:rsid w:val="000D6B0B"/>
    <w:rsid w:val="0010409D"/>
    <w:rsid w:val="0011310D"/>
    <w:rsid w:val="00114323"/>
    <w:rsid w:val="00135A23"/>
    <w:rsid w:val="00136D92"/>
    <w:rsid w:val="00142759"/>
    <w:rsid w:val="00152194"/>
    <w:rsid w:val="001566EE"/>
    <w:rsid w:val="001641B0"/>
    <w:rsid w:val="00167C7B"/>
    <w:rsid w:val="00170F8F"/>
    <w:rsid w:val="00175BC4"/>
    <w:rsid w:val="00180148"/>
    <w:rsid w:val="00190D86"/>
    <w:rsid w:val="0019374D"/>
    <w:rsid w:val="001A0EC8"/>
    <w:rsid w:val="001A4419"/>
    <w:rsid w:val="001B3F87"/>
    <w:rsid w:val="001C7F86"/>
    <w:rsid w:val="001D35F9"/>
    <w:rsid w:val="001E1B93"/>
    <w:rsid w:val="001E6681"/>
    <w:rsid w:val="001F20EF"/>
    <w:rsid w:val="002067B4"/>
    <w:rsid w:val="002329B6"/>
    <w:rsid w:val="00234FCA"/>
    <w:rsid w:val="00242E99"/>
    <w:rsid w:val="0025102E"/>
    <w:rsid w:val="00252B1F"/>
    <w:rsid w:val="0025474C"/>
    <w:rsid w:val="002653B7"/>
    <w:rsid w:val="00266980"/>
    <w:rsid w:val="002704AC"/>
    <w:rsid w:val="00270CE7"/>
    <w:rsid w:val="002712AB"/>
    <w:rsid w:val="002752C4"/>
    <w:rsid w:val="00285481"/>
    <w:rsid w:val="002876C2"/>
    <w:rsid w:val="002A1664"/>
    <w:rsid w:val="002C3D18"/>
    <w:rsid w:val="002C65ED"/>
    <w:rsid w:val="002E17D6"/>
    <w:rsid w:val="002E2177"/>
    <w:rsid w:val="002F01F3"/>
    <w:rsid w:val="002F0206"/>
    <w:rsid w:val="002F4643"/>
    <w:rsid w:val="0031184F"/>
    <w:rsid w:val="00313DAE"/>
    <w:rsid w:val="00315020"/>
    <w:rsid w:val="003354CB"/>
    <w:rsid w:val="00342C89"/>
    <w:rsid w:val="00345ED3"/>
    <w:rsid w:val="003507AB"/>
    <w:rsid w:val="00351B4C"/>
    <w:rsid w:val="00351C0F"/>
    <w:rsid w:val="003648A9"/>
    <w:rsid w:val="00372FAD"/>
    <w:rsid w:val="00374B46"/>
    <w:rsid w:val="00391164"/>
    <w:rsid w:val="00391C9C"/>
    <w:rsid w:val="00395581"/>
    <w:rsid w:val="00397A3E"/>
    <w:rsid w:val="003A54E8"/>
    <w:rsid w:val="003C1BAF"/>
    <w:rsid w:val="003C69FB"/>
    <w:rsid w:val="003D7278"/>
    <w:rsid w:val="003E081A"/>
    <w:rsid w:val="003E1CAB"/>
    <w:rsid w:val="003F3A33"/>
    <w:rsid w:val="0043215D"/>
    <w:rsid w:val="0043301F"/>
    <w:rsid w:val="00433FD9"/>
    <w:rsid w:val="00434A57"/>
    <w:rsid w:val="00440647"/>
    <w:rsid w:val="0044756A"/>
    <w:rsid w:val="004565CC"/>
    <w:rsid w:val="004645E4"/>
    <w:rsid w:val="0047463A"/>
    <w:rsid w:val="00480C97"/>
    <w:rsid w:val="004C4D14"/>
    <w:rsid w:val="004C4DA5"/>
    <w:rsid w:val="004F13FB"/>
    <w:rsid w:val="004F1991"/>
    <w:rsid w:val="004F3330"/>
    <w:rsid w:val="004F5912"/>
    <w:rsid w:val="00507847"/>
    <w:rsid w:val="005109F5"/>
    <w:rsid w:val="00521BF8"/>
    <w:rsid w:val="00534D18"/>
    <w:rsid w:val="0053567A"/>
    <w:rsid w:val="00553D73"/>
    <w:rsid w:val="00561492"/>
    <w:rsid w:val="00565EEC"/>
    <w:rsid w:val="005718F2"/>
    <w:rsid w:val="00580BCE"/>
    <w:rsid w:val="00591629"/>
    <w:rsid w:val="005969AC"/>
    <w:rsid w:val="005A3AEF"/>
    <w:rsid w:val="005B69B1"/>
    <w:rsid w:val="005D29DC"/>
    <w:rsid w:val="005E5A17"/>
    <w:rsid w:val="005F1446"/>
    <w:rsid w:val="005F2882"/>
    <w:rsid w:val="00600714"/>
    <w:rsid w:val="00613561"/>
    <w:rsid w:val="00621159"/>
    <w:rsid w:val="00622CDA"/>
    <w:rsid w:val="00637230"/>
    <w:rsid w:val="006376D0"/>
    <w:rsid w:val="00642E7A"/>
    <w:rsid w:val="00644652"/>
    <w:rsid w:val="0064655D"/>
    <w:rsid w:val="00663ED4"/>
    <w:rsid w:val="00664EDA"/>
    <w:rsid w:val="00665EBB"/>
    <w:rsid w:val="00670FF9"/>
    <w:rsid w:val="00671EA5"/>
    <w:rsid w:val="00682521"/>
    <w:rsid w:val="006835AC"/>
    <w:rsid w:val="00683BAA"/>
    <w:rsid w:val="006845D1"/>
    <w:rsid w:val="00690DB4"/>
    <w:rsid w:val="00695074"/>
    <w:rsid w:val="006959FA"/>
    <w:rsid w:val="006A0092"/>
    <w:rsid w:val="006A47CC"/>
    <w:rsid w:val="006B20C6"/>
    <w:rsid w:val="006B2F02"/>
    <w:rsid w:val="006C516D"/>
    <w:rsid w:val="006D7665"/>
    <w:rsid w:val="006E02B2"/>
    <w:rsid w:val="006E0326"/>
    <w:rsid w:val="006F07B6"/>
    <w:rsid w:val="006F23FA"/>
    <w:rsid w:val="007044DD"/>
    <w:rsid w:val="00710C0A"/>
    <w:rsid w:val="00716126"/>
    <w:rsid w:val="007232DD"/>
    <w:rsid w:val="00723D88"/>
    <w:rsid w:val="00733D82"/>
    <w:rsid w:val="007362A7"/>
    <w:rsid w:val="00736622"/>
    <w:rsid w:val="007449BF"/>
    <w:rsid w:val="00750C15"/>
    <w:rsid w:val="0075595D"/>
    <w:rsid w:val="00756899"/>
    <w:rsid w:val="0075746C"/>
    <w:rsid w:val="0076201D"/>
    <w:rsid w:val="00774212"/>
    <w:rsid w:val="0078034C"/>
    <w:rsid w:val="00781E8C"/>
    <w:rsid w:val="0078335B"/>
    <w:rsid w:val="007B1461"/>
    <w:rsid w:val="007B1CAA"/>
    <w:rsid w:val="007B5AA6"/>
    <w:rsid w:val="007C1D4B"/>
    <w:rsid w:val="007E27A7"/>
    <w:rsid w:val="007E2A82"/>
    <w:rsid w:val="007F3DA7"/>
    <w:rsid w:val="007F71B6"/>
    <w:rsid w:val="007F7EE9"/>
    <w:rsid w:val="00807D7D"/>
    <w:rsid w:val="00822636"/>
    <w:rsid w:val="00825503"/>
    <w:rsid w:val="008260F3"/>
    <w:rsid w:val="00842353"/>
    <w:rsid w:val="00844AA3"/>
    <w:rsid w:val="0084791A"/>
    <w:rsid w:val="0085335C"/>
    <w:rsid w:val="00865044"/>
    <w:rsid w:val="008813B6"/>
    <w:rsid w:val="0088171A"/>
    <w:rsid w:val="008948E9"/>
    <w:rsid w:val="008B48F8"/>
    <w:rsid w:val="008D3931"/>
    <w:rsid w:val="008D458D"/>
    <w:rsid w:val="008E34B9"/>
    <w:rsid w:val="008E6F63"/>
    <w:rsid w:val="008F5368"/>
    <w:rsid w:val="008F7628"/>
    <w:rsid w:val="00933732"/>
    <w:rsid w:val="0094693E"/>
    <w:rsid w:val="00947184"/>
    <w:rsid w:val="009535B3"/>
    <w:rsid w:val="009570D7"/>
    <w:rsid w:val="009609F4"/>
    <w:rsid w:val="00974A14"/>
    <w:rsid w:val="009801BB"/>
    <w:rsid w:val="00983A10"/>
    <w:rsid w:val="00991170"/>
    <w:rsid w:val="009A09D8"/>
    <w:rsid w:val="009B2A43"/>
    <w:rsid w:val="009B3DFB"/>
    <w:rsid w:val="009B6CD8"/>
    <w:rsid w:val="009C3A8D"/>
    <w:rsid w:val="009E3081"/>
    <w:rsid w:val="009E60CE"/>
    <w:rsid w:val="009F15B7"/>
    <w:rsid w:val="009F47EC"/>
    <w:rsid w:val="00A01FD6"/>
    <w:rsid w:val="00A06E0D"/>
    <w:rsid w:val="00A07E5F"/>
    <w:rsid w:val="00A107F2"/>
    <w:rsid w:val="00A17CA1"/>
    <w:rsid w:val="00A44779"/>
    <w:rsid w:val="00A464A4"/>
    <w:rsid w:val="00A468E1"/>
    <w:rsid w:val="00A5798D"/>
    <w:rsid w:val="00A61DCA"/>
    <w:rsid w:val="00A66893"/>
    <w:rsid w:val="00A67C4B"/>
    <w:rsid w:val="00A72C89"/>
    <w:rsid w:val="00A75F0E"/>
    <w:rsid w:val="00A83763"/>
    <w:rsid w:val="00A97644"/>
    <w:rsid w:val="00AA1939"/>
    <w:rsid w:val="00AA65AC"/>
    <w:rsid w:val="00AA68E2"/>
    <w:rsid w:val="00AA71AA"/>
    <w:rsid w:val="00AB484C"/>
    <w:rsid w:val="00AB49D3"/>
    <w:rsid w:val="00AC678F"/>
    <w:rsid w:val="00AD0B75"/>
    <w:rsid w:val="00AD697F"/>
    <w:rsid w:val="00AD7E41"/>
    <w:rsid w:val="00AE56BD"/>
    <w:rsid w:val="00AE691F"/>
    <w:rsid w:val="00B125FB"/>
    <w:rsid w:val="00B15C3B"/>
    <w:rsid w:val="00B171EF"/>
    <w:rsid w:val="00B1746A"/>
    <w:rsid w:val="00B2075B"/>
    <w:rsid w:val="00B268D1"/>
    <w:rsid w:val="00B3390C"/>
    <w:rsid w:val="00B462AC"/>
    <w:rsid w:val="00B50612"/>
    <w:rsid w:val="00B5107B"/>
    <w:rsid w:val="00B518D7"/>
    <w:rsid w:val="00B67B60"/>
    <w:rsid w:val="00B722F3"/>
    <w:rsid w:val="00B77501"/>
    <w:rsid w:val="00B86146"/>
    <w:rsid w:val="00B86491"/>
    <w:rsid w:val="00B909E5"/>
    <w:rsid w:val="00BA5F0D"/>
    <w:rsid w:val="00BC7E34"/>
    <w:rsid w:val="00BD6E01"/>
    <w:rsid w:val="00BD7C3F"/>
    <w:rsid w:val="00BF3EAF"/>
    <w:rsid w:val="00BF5E6E"/>
    <w:rsid w:val="00C03268"/>
    <w:rsid w:val="00C13C0D"/>
    <w:rsid w:val="00C1444C"/>
    <w:rsid w:val="00C15425"/>
    <w:rsid w:val="00C15AB3"/>
    <w:rsid w:val="00C207BC"/>
    <w:rsid w:val="00C22F5F"/>
    <w:rsid w:val="00C33AE9"/>
    <w:rsid w:val="00C36212"/>
    <w:rsid w:val="00C43054"/>
    <w:rsid w:val="00C4792C"/>
    <w:rsid w:val="00C63AF7"/>
    <w:rsid w:val="00C65F61"/>
    <w:rsid w:val="00C759F5"/>
    <w:rsid w:val="00C80226"/>
    <w:rsid w:val="00C8747B"/>
    <w:rsid w:val="00CA0F0A"/>
    <w:rsid w:val="00CA5A82"/>
    <w:rsid w:val="00CB3804"/>
    <w:rsid w:val="00CE2FA3"/>
    <w:rsid w:val="00CE409A"/>
    <w:rsid w:val="00CF22A6"/>
    <w:rsid w:val="00CF354A"/>
    <w:rsid w:val="00CF379D"/>
    <w:rsid w:val="00CF4A73"/>
    <w:rsid w:val="00CF64E3"/>
    <w:rsid w:val="00D10AF1"/>
    <w:rsid w:val="00D30449"/>
    <w:rsid w:val="00D345BC"/>
    <w:rsid w:val="00D34CB3"/>
    <w:rsid w:val="00D46FD5"/>
    <w:rsid w:val="00D470C0"/>
    <w:rsid w:val="00D52EAE"/>
    <w:rsid w:val="00D6101C"/>
    <w:rsid w:val="00D67674"/>
    <w:rsid w:val="00D7158E"/>
    <w:rsid w:val="00D91CDA"/>
    <w:rsid w:val="00D9260D"/>
    <w:rsid w:val="00DA4873"/>
    <w:rsid w:val="00DC2D6A"/>
    <w:rsid w:val="00DC39C3"/>
    <w:rsid w:val="00DC5216"/>
    <w:rsid w:val="00DC64CE"/>
    <w:rsid w:val="00DC7728"/>
    <w:rsid w:val="00DE4554"/>
    <w:rsid w:val="00E06846"/>
    <w:rsid w:val="00E14174"/>
    <w:rsid w:val="00E152D6"/>
    <w:rsid w:val="00E1535B"/>
    <w:rsid w:val="00E21251"/>
    <w:rsid w:val="00E37932"/>
    <w:rsid w:val="00E43167"/>
    <w:rsid w:val="00E44368"/>
    <w:rsid w:val="00E45D21"/>
    <w:rsid w:val="00E55D2A"/>
    <w:rsid w:val="00E64398"/>
    <w:rsid w:val="00E73C26"/>
    <w:rsid w:val="00E77484"/>
    <w:rsid w:val="00E92829"/>
    <w:rsid w:val="00EB0233"/>
    <w:rsid w:val="00EB1558"/>
    <w:rsid w:val="00EC5D4D"/>
    <w:rsid w:val="00ED1665"/>
    <w:rsid w:val="00ED31F7"/>
    <w:rsid w:val="00EE2618"/>
    <w:rsid w:val="00EF1414"/>
    <w:rsid w:val="00EF37A3"/>
    <w:rsid w:val="00F077B1"/>
    <w:rsid w:val="00F07BEA"/>
    <w:rsid w:val="00F13C92"/>
    <w:rsid w:val="00F15F59"/>
    <w:rsid w:val="00F427ED"/>
    <w:rsid w:val="00F44A0C"/>
    <w:rsid w:val="00F45D01"/>
    <w:rsid w:val="00F507AD"/>
    <w:rsid w:val="00F57372"/>
    <w:rsid w:val="00F77FF0"/>
    <w:rsid w:val="00F9272D"/>
    <w:rsid w:val="00FA2DDC"/>
    <w:rsid w:val="00FA3071"/>
    <w:rsid w:val="00FA572F"/>
    <w:rsid w:val="00FB363D"/>
    <w:rsid w:val="00FB560F"/>
    <w:rsid w:val="00FC20BE"/>
    <w:rsid w:val="00FD0C70"/>
    <w:rsid w:val="00FE23EB"/>
    <w:rsid w:val="00FF0542"/>
    <w:rsid w:val="00FF64E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Heading1">
    <w:name w:val="heading 1"/>
    <w:basedOn w:val="Normal"/>
    <w:next w:val="Normal"/>
    <w:link w:val="Nadpis1Char"/>
    <w:uiPriority w:val="99"/>
    <w:qFormat/>
    <w:pPr>
      <w:keepNext/>
      <w:jc w:val="both"/>
      <w:outlineLvl w:val="0"/>
    </w:pPr>
    <w:rPr>
      <w:b/>
      <w:bCs/>
      <w:sz w:val="28"/>
      <w:szCs w:val="28"/>
    </w:rPr>
  </w:style>
  <w:style w:type="paragraph" w:styleId="Heading2">
    <w:name w:val="heading 2"/>
    <w:basedOn w:val="Normal"/>
    <w:next w:val="Normal"/>
    <w:link w:val="Nadpis2Char"/>
    <w:uiPriority w:val="99"/>
    <w:qFormat/>
    <w:pPr>
      <w:keepNext/>
      <w:jc w:val="both"/>
      <w:outlineLvl w:val="1"/>
    </w:pPr>
    <w:rPr>
      <w:b/>
      <w:bCs/>
    </w:rPr>
  </w:style>
  <w:style w:type="paragraph" w:styleId="Heading3">
    <w:name w:val="heading 3"/>
    <w:basedOn w:val="Normal"/>
    <w:next w:val="Normal"/>
    <w:link w:val="Nadpis3Char"/>
    <w:uiPriority w:val="99"/>
    <w:qFormat/>
    <w:pPr>
      <w:keepNext/>
      <w:spacing w:before="240" w:after="60"/>
      <w:jc w:val="left"/>
      <w:outlineLvl w:val="2"/>
    </w:pPr>
    <w:rPr>
      <w:rFonts w:ascii="Arial" w:hAnsi="Arial" w:cs="Arial"/>
      <w:b/>
      <w:bCs/>
      <w:sz w:val="26"/>
      <w:szCs w:val="26"/>
    </w:rPr>
  </w:style>
  <w:style w:type="paragraph" w:styleId="Heading4">
    <w:name w:val="heading 4"/>
    <w:basedOn w:val="Normal"/>
    <w:next w:val="Normal"/>
    <w:link w:val="Nadpis4Char"/>
    <w:uiPriority w:val="99"/>
    <w:qFormat/>
    <w:pPr>
      <w:keepNext/>
      <w:spacing w:before="240" w:after="60"/>
      <w:jc w:val="left"/>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lang w:val="x-none" w:eastAsia="en-US"/>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lang w:val="x-none" w:eastAsia="en-US"/>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lang w:val="x-none" w:eastAsia="en-US"/>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lang w:val="x-none" w:eastAsia="en-US"/>
    </w:rPr>
  </w:style>
  <w:style w:type="paragraph" w:styleId="Title">
    <w:name w:val="Title"/>
    <w:basedOn w:val="Normal"/>
    <w:link w:val="NzovChar"/>
    <w:uiPriority w:val="99"/>
    <w:qFormat/>
    <w:pPr>
      <w:jc w:val="center"/>
    </w:pPr>
    <w:rPr>
      <w:b/>
      <w:bCs/>
      <w:sz w:val="28"/>
      <w:szCs w:val="28"/>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lang w:val="x-none" w:eastAsia="en-US"/>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en-US"/>
    </w:rPr>
  </w:style>
  <w:style w:type="character" w:styleId="PageNumber">
    <w:name w:val="page number"/>
    <w:basedOn w:val="DefaultParagraphFont"/>
    <w:uiPriority w:val="99"/>
    <w:rPr>
      <w:rFonts w:cs="Times New Roman"/>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en-US"/>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en-US"/>
    </w:rPr>
  </w:style>
  <w:style w:type="paragraph" w:styleId="BodyTextIndent">
    <w:name w:val="Body Text Indent"/>
    <w:basedOn w:val="Normal"/>
    <w:link w:val="ZarkazkladnhotextuChar"/>
    <w:uiPriority w:val="99"/>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en-US"/>
    </w:rPr>
  </w:style>
  <w:style w:type="paragraph" w:styleId="BodyTextIndent3">
    <w:name w:val="Body Text Indent 3"/>
    <w:basedOn w:val="Normal"/>
    <w:link w:val="Zarkazkladnhotextu3Char"/>
    <w:uiPriority w:val="99"/>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en-US"/>
    </w:rPr>
  </w:style>
  <w:style w:type="paragraph" w:customStyle="1" w:styleId="Zkladntext">
    <w:name w:val="Základní text"/>
    <w:uiPriority w:val="99"/>
    <w:pPr>
      <w:framePr w:wrap="auto"/>
      <w:widowControl/>
      <w:autoSpaceDE/>
      <w:autoSpaceDN/>
      <w:adjustRightInd/>
      <w:snapToGrid w:val="0"/>
      <w:ind w:left="0" w:right="0"/>
      <w:jc w:val="left"/>
      <w:textAlignment w:val="auto"/>
    </w:pPr>
    <w:rPr>
      <w:rFonts w:cs="Times New Roman"/>
      <w:color w:val="000000"/>
      <w:sz w:val="24"/>
      <w:szCs w:val="24"/>
      <w:rtl w:val="0"/>
      <w:cs w:val="0"/>
      <w:lang w:val="sk-SK" w:eastAsia="sk-SK" w:bidi="ar-SA"/>
    </w:rPr>
  </w:style>
  <w:style w:type="character" w:styleId="Strong">
    <w:name w:val="Strong"/>
    <w:basedOn w:val="DefaultParagraphFont"/>
    <w:uiPriority w:val="99"/>
    <w:qFormat/>
    <w:rPr>
      <w:rFonts w:cs="Times New Roman"/>
      <w:b/>
      <w:bCs/>
      <w:rtl w:val="0"/>
      <w:cs w:val="0"/>
    </w:rPr>
  </w:style>
  <w:style w:type="paragraph" w:customStyle="1" w:styleId="a2">
    <w:name w:val="a)2"/>
    <w:basedOn w:val="Normal"/>
    <w:uiPriority w:val="99"/>
    <w:pPr>
      <w:spacing w:line="360" w:lineRule="auto"/>
      <w:jc w:val="both"/>
    </w:pPr>
    <w:rPr>
      <w:lang w:val="cs-CZ"/>
    </w:rPr>
  </w:style>
  <w:style w:type="character" w:styleId="Emphasis">
    <w:name w:val="Emphasis"/>
    <w:basedOn w:val="DefaultParagraphFont"/>
    <w:uiPriority w:val="20"/>
    <w:qFormat/>
    <w:rPr>
      <w:rFonts w:cs="Times New Roman"/>
      <w:i/>
      <w:iCs/>
      <w:rtl w:val="0"/>
      <w:cs w:val="0"/>
    </w:rPr>
  </w:style>
  <w:style w:type="paragraph" w:styleId="BodyText2">
    <w:name w:val="Body Text 2"/>
    <w:basedOn w:val="Normal"/>
    <w:link w:val="Zkladntext2Char"/>
    <w:uiPriority w:val="99"/>
    <w:rsid w:val="00E43167"/>
    <w:pPr>
      <w:spacing w:after="120" w:line="480" w:lineRule="auto"/>
      <w:jc w:val="left"/>
    </w:pPr>
    <w:rPr>
      <w:lang w:eastAsia="sk-SK"/>
    </w:rPr>
  </w:style>
  <w:style w:type="character" w:customStyle="1" w:styleId="Zkladntext2Char">
    <w:name w:val="Základný text 2 Char"/>
    <w:basedOn w:val="DefaultParagraphFont"/>
    <w:link w:val="BodyText2"/>
    <w:uiPriority w:val="99"/>
    <w:semiHidden/>
    <w:locked/>
    <w:rPr>
      <w:rFonts w:cs="Times New Roman"/>
      <w:sz w:val="24"/>
      <w:szCs w:val="24"/>
      <w:rtl w:val="0"/>
      <w:cs w:val="0"/>
      <w:lang w:val="x-none" w:eastAsia="en-US"/>
    </w:rPr>
  </w:style>
  <w:style w:type="paragraph" w:customStyle="1" w:styleId="Default">
    <w:name w:val="Default"/>
    <w:uiPriority w:val="99"/>
    <w:rsid w:val="00D30449"/>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6F07B6"/>
    <w:pPr>
      <w:jc w:val="left"/>
    </w:pPr>
    <w:rPr>
      <w:color w:val="auto"/>
    </w:rPr>
  </w:style>
  <w:style w:type="paragraph" w:customStyle="1" w:styleId="CM1">
    <w:name w:val="CM1"/>
    <w:basedOn w:val="Default"/>
    <w:next w:val="Default"/>
    <w:uiPriority w:val="99"/>
    <w:rsid w:val="002A1664"/>
    <w:pPr>
      <w:jc w:val="left"/>
    </w:pPr>
    <w:rPr>
      <w:color w:val="auto"/>
    </w:rPr>
  </w:style>
  <w:style w:type="paragraph" w:styleId="PlainText">
    <w:name w:val="Plain Text"/>
    <w:basedOn w:val="Normal"/>
    <w:link w:val="ObyajntextChar"/>
    <w:uiPriority w:val="99"/>
    <w:semiHidden/>
    <w:unhideWhenUsed/>
    <w:rsid w:val="00E1535B"/>
    <w:pPr>
      <w:jc w:val="left"/>
    </w:pPr>
    <w:rPr>
      <w:rFonts w:ascii="Consolas" w:hAnsi="Consolas" w:cstheme="minorBidi"/>
      <w:sz w:val="21"/>
      <w:szCs w:val="21"/>
    </w:rPr>
  </w:style>
  <w:style w:type="character" w:customStyle="1" w:styleId="ObyajntextChar">
    <w:name w:val="Obyčajný text Char"/>
    <w:basedOn w:val="DefaultParagraphFont"/>
    <w:link w:val="PlainText"/>
    <w:uiPriority w:val="99"/>
    <w:semiHidden/>
    <w:locked/>
    <w:rsid w:val="00E1535B"/>
    <w:rPr>
      <w:rFonts w:ascii="Consolas" w:hAnsi="Consolas" w:cstheme="minorBidi"/>
      <w:sz w:val="21"/>
      <w:szCs w:val="21"/>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F49B-82EC-4C27-83FE-F5D613D1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18</Pages>
  <Words>6998</Words>
  <Characters>39168</Characters>
  <Application>Microsoft Office Word</Application>
  <DocSecurity>0</DocSecurity>
  <Lines>0</Lines>
  <Paragraphs>0</Paragraphs>
  <ScaleCrop>false</ScaleCrop>
  <Company>NBS</Company>
  <LinksUpToDate>false</LinksUpToDate>
  <CharactersWithSpaces>46074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Juhar</dc:creator>
  <cp:lastModifiedBy>dcaplanova</cp:lastModifiedBy>
  <cp:revision>8</cp:revision>
  <cp:lastPrinted>2010-11-12T08:57:00Z</cp:lastPrinted>
  <dcterms:created xsi:type="dcterms:W3CDTF">2010-11-10T14:39:00Z</dcterms:created>
  <dcterms:modified xsi:type="dcterms:W3CDTF">2010-11-12T10:30:00Z</dcterms:modified>
</cp:coreProperties>
</file>