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4329" w:rsidP="00074329">
      <w:pPr>
        <w:pStyle w:val="Zkladntext"/>
        <w:bidi w:val="0"/>
        <w:spacing w:line="240" w:lineRule="atLeas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 ô v o d o v á  s p r á v a</w:t>
      </w:r>
    </w:p>
    <w:p w:rsidR="00074329" w:rsidP="00074329">
      <w:pPr>
        <w:pStyle w:val="Zkladntext"/>
        <w:bidi w:val="0"/>
        <w:rPr>
          <w:rFonts w:ascii="Arial Narrow" w:hAnsi="Arial Narrow"/>
          <w:sz w:val="22"/>
          <w:szCs w:val="22"/>
        </w:rPr>
      </w:pPr>
    </w:p>
    <w:p w:rsidR="00074329" w:rsidP="00074329">
      <w:pPr>
        <w:pStyle w:val="Zkladntext"/>
        <w:bidi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b/>
          <w:sz w:val="22"/>
          <w:szCs w:val="22"/>
          <w:u w:val="single"/>
        </w:rPr>
        <w:t>I. Všeobecná časť</w:t>
      </w:r>
    </w:p>
    <w:p w:rsidR="00074329" w:rsidP="00074329">
      <w:pPr>
        <w:pStyle w:val="BodyTextIndent3"/>
        <w:bidi w:val="0"/>
        <w:ind w:firstLine="709"/>
        <w:rPr>
          <w:rFonts w:ascii="Arial Narrow" w:hAnsi="Arial Narrow" w:cs="Times New Roman"/>
          <w:sz w:val="22"/>
          <w:szCs w:val="22"/>
        </w:rPr>
      </w:pPr>
    </w:p>
    <w:p w:rsidR="00A54C73" w:rsidP="003A58B0">
      <w:pPr>
        <w:pStyle w:val="BodyTextIndent"/>
        <w:bidi w:val="0"/>
        <w:spacing w:after="200"/>
        <w:ind w:left="0" w:firstLine="709"/>
        <w:rPr>
          <w:rFonts w:ascii="Arial Narrow" w:hAnsi="Arial Narrow"/>
          <w:sz w:val="22"/>
          <w:szCs w:val="22"/>
        </w:rPr>
      </w:pPr>
      <w:r w:rsidRPr="004953AE" w:rsidR="00074329">
        <w:rPr>
          <w:rFonts w:ascii="Arial Narrow" w:hAnsi="Arial Narrow"/>
          <w:sz w:val="22"/>
          <w:szCs w:val="22"/>
        </w:rPr>
        <w:t xml:space="preserve">Ministerstvo financií Slovenskej republiky vypracovalo návrh zákona, ktorým sa mení zákon č. </w:t>
      </w:r>
      <w:r w:rsidRPr="004953AE" w:rsidR="00E06979">
        <w:rPr>
          <w:rFonts w:ascii="Arial Narrow" w:hAnsi="Arial Narrow"/>
          <w:sz w:val="22"/>
          <w:szCs w:val="22"/>
        </w:rPr>
        <w:t>497</w:t>
      </w:r>
      <w:r w:rsidRPr="004953AE" w:rsidR="00074329">
        <w:rPr>
          <w:rFonts w:ascii="Arial Narrow" w:hAnsi="Arial Narrow"/>
          <w:sz w:val="22"/>
          <w:szCs w:val="22"/>
        </w:rPr>
        <w:t>/200</w:t>
      </w:r>
      <w:r w:rsidRPr="004953AE" w:rsidR="00E06979">
        <w:rPr>
          <w:rFonts w:ascii="Arial Narrow" w:hAnsi="Arial Narrow"/>
          <w:sz w:val="22"/>
          <w:szCs w:val="22"/>
        </w:rPr>
        <w:t>9</w:t>
      </w:r>
      <w:r w:rsidRPr="004953AE" w:rsidR="00074329">
        <w:rPr>
          <w:rFonts w:ascii="Arial Narrow" w:hAnsi="Arial Narrow"/>
          <w:sz w:val="22"/>
          <w:szCs w:val="22"/>
        </w:rPr>
        <w:t xml:space="preserve"> Z. z. o štátnom rozpočte na rok 20</w:t>
      </w:r>
      <w:r w:rsidRPr="004953AE" w:rsidR="00E06979">
        <w:rPr>
          <w:rFonts w:ascii="Arial Narrow" w:hAnsi="Arial Narrow"/>
          <w:sz w:val="22"/>
          <w:szCs w:val="22"/>
        </w:rPr>
        <w:t>10</w:t>
      </w:r>
      <w:r w:rsidRPr="004953AE" w:rsidR="00074329">
        <w:rPr>
          <w:rFonts w:ascii="Arial Narrow" w:hAnsi="Arial Narrow"/>
          <w:sz w:val="22"/>
          <w:szCs w:val="22"/>
        </w:rPr>
        <w:t xml:space="preserve"> mimo plánu legislatívnych úloh vlády SR na rok 20</w:t>
      </w:r>
      <w:r w:rsidRPr="004953AE" w:rsidR="00E06979">
        <w:rPr>
          <w:rFonts w:ascii="Arial Narrow" w:hAnsi="Arial Narrow"/>
          <w:sz w:val="22"/>
          <w:szCs w:val="22"/>
        </w:rPr>
        <w:t>10</w:t>
      </w:r>
      <w:r w:rsidRPr="004953AE" w:rsidR="00D53009">
        <w:rPr>
          <w:rFonts w:ascii="Arial Narrow" w:hAnsi="Arial Narrow"/>
          <w:sz w:val="22"/>
          <w:szCs w:val="22"/>
        </w:rPr>
        <w:t xml:space="preserve">. </w:t>
      </w:r>
    </w:p>
    <w:p w:rsidR="00A54C73" w:rsidP="003A58B0">
      <w:pPr>
        <w:pStyle w:val="BodyTextIndent"/>
        <w:bidi w:val="0"/>
        <w:spacing w:after="200"/>
        <w:ind w:left="0" w:firstLine="709"/>
        <w:rPr>
          <w:rFonts w:ascii="Arial Narrow" w:hAnsi="Arial Narrow"/>
          <w:sz w:val="22"/>
          <w:szCs w:val="22"/>
        </w:rPr>
      </w:pPr>
      <w:r w:rsidRPr="004953AE" w:rsidR="0052701B">
        <w:rPr>
          <w:rFonts w:ascii="Arial Narrow" w:hAnsi="Arial Narrow"/>
          <w:sz w:val="22"/>
          <w:szCs w:val="22"/>
        </w:rPr>
        <w:t>Navrhovaný zákon upravuje príjmy</w:t>
      </w:r>
      <w:r w:rsidR="00FE568D">
        <w:rPr>
          <w:rFonts w:ascii="Arial Narrow" w:hAnsi="Arial Narrow"/>
          <w:sz w:val="22"/>
          <w:szCs w:val="22"/>
        </w:rPr>
        <w:t xml:space="preserve">, </w:t>
      </w:r>
      <w:r w:rsidR="00916ABC">
        <w:rPr>
          <w:rFonts w:ascii="Arial Narrow" w:hAnsi="Arial Narrow"/>
          <w:sz w:val="22"/>
          <w:szCs w:val="22"/>
        </w:rPr>
        <w:t>výdavky</w:t>
      </w:r>
      <w:r w:rsidR="00FE568D">
        <w:rPr>
          <w:rFonts w:ascii="Arial Narrow" w:hAnsi="Arial Narrow"/>
          <w:sz w:val="22"/>
          <w:szCs w:val="22"/>
        </w:rPr>
        <w:t xml:space="preserve"> a </w:t>
      </w:r>
      <w:r w:rsidRPr="004953AE" w:rsidR="0052701B">
        <w:rPr>
          <w:rFonts w:ascii="Arial Narrow" w:hAnsi="Arial Narrow"/>
          <w:sz w:val="22"/>
          <w:szCs w:val="22"/>
        </w:rPr>
        <w:t xml:space="preserve">schodok štátneho rozpočtu na rok 2010. </w:t>
      </w:r>
      <w:r>
        <w:rPr>
          <w:rFonts w:ascii="Arial Narrow" w:hAnsi="Arial Narrow"/>
          <w:sz w:val="22"/>
          <w:szCs w:val="22"/>
        </w:rPr>
        <w:t>N</w:t>
      </w:r>
      <w:r w:rsidRPr="004953AE" w:rsidR="00936BAF">
        <w:rPr>
          <w:rFonts w:ascii="Arial Narrow" w:hAnsi="Arial Narrow"/>
          <w:sz w:val="22"/>
          <w:szCs w:val="22"/>
        </w:rPr>
        <w:t>ovela reaguj</w:t>
      </w:r>
      <w:r w:rsidRPr="004953AE" w:rsidR="0052701B">
        <w:rPr>
          <w:rFonts w:ascii="Arial Narrow" w:hAnsi="Arial Narrow"/>
          <w:sz w:val="22"/>
          <w:szCs w:val="22"/>
        </w:rPr>
        <w:t>e na aktuálnu situáciu vo verejných financiách po zohľadnení makroekonomického vývoja.</w:t>
      </w:r>
      <w:r w:rsidRPr="004953AE" w:rsidR="00936BAF">
        <w:rPr>
          <w:rFonts w:ascii="Arial Narrow" w:hAnsi="Arial Narrow"/>
          <w:sz w:val="22"/>
          <w:szCs w:val="22"/>
        </w:rPr>
        <w:t xml:space="preserve"> </w:t>
      </w:r>
    </w:p>
    <w:p w:rsidR="007F78B1" w:rsidRPr="00A24B12" w:rsidP="003A58B0">
      <w:pPr>
        <w:bidi w:val="0"/>
        <w:spacing w:line="240" w:lineRule="auto"/>
        <w:rPr>
          <w:rFonts w:ascii="Arial Narrow" w:hAnsi="Arial Narrow"/>
          <w:i/>
        </w:rPr>
      </w:pPr>
      <w:r w:rsidRPr="00A24B12" w:rsidR="00A24B12">
        <w:rPr>
          <w:rFonts w:ascii="Arial Narrow" w:hAnsi="Arial Narrow" w:hint="default"/>
          <w:i/>
        </w:rPr>
        <w:t>Makroekonomický</w:t>
      </w:r>
      <w:r w:rsidRPr="00A24B12" w:rsidR="00A24B12">
        <w:rPr>
          <w:rFonts w:ascii="Arial Narrow" w:hAnsi="Arial Narrow" w:hint="default"/>
          <w:i/>
        </w:rPr>
        <w:t xml:space="preserve"> vý</w:t>
      </w:r>
      <w:r w:rsidRPr="00A24B12" w:rsidR="00A24B12">
        <w:rPr>
          <w:rFonts w:ascii="Arial Narrow" w:hAnsi="Arial Narrow" w:hint="default"/>
          <w:i/>
        </w:rPr>
        <w:t>voj</w:t>
      </w:r>
    </w:p>
    <w:p w:rsidR="00393138" w:rsidRPr="00232D24" w:rsidP="003A58B0">
      <w:pPr>
        <w:bidi w:val="0"/>
        <w:spacing w:line="240" w:lineRule="auto"/>
        <w:ind w:firstLine="680"/>
        <w:rPr>
          <w:rFonts w:ascii="Arial Narrow" w:hAnsi="Arial Narrow" w:cs="Arial Narrow" w:hint="default"/>
        </w:rPr>
      </w:pPr>
      <w:bookmarkStart w:id="0" w:name="_Toc206478402"/>
      <w:bookmarkStart w:id="1" w:name="_Toc211592393"/>
      <w:bookmarkStart w:id="2" w:name="_Toc97700652"/>
      <w:bookmarkStart w:id="3" w:name="_Toc148255237"/>
      <w:r w:rsidRPr="00232D24">
        <w:rPr>
          <w:rFonts w:ascii="Arial Narrow" w:hAnsi="Arial Narrow" w:cs="Arial Narrow"/>
        </w:rPr>
        <w:t xml:space="preserve">Po prepade HDP v roku 2009 o 4,7 % </w:t>
      </w:r>
      <w:r w:rsidRPr="00232D24">
        <w:rPr>
          <w:rFonts w:ascii="Arial Narrow" w:hAnsi="Arial Narrow" w:cs="Arial Narrow" w:hint="default"/>
          <w:bCs/>
        </w:rPr>
        <w:t>slovenská</w:t>
      </w:r>
      <w:r w:rsidRPr="00232D24">
        <w:rPr>
          <w:rFonts w:ascii="Arial Narrow" w:hAnsi="Arial Narrow" w:cs="Arial Narrow" w:hint="default"/>
          <w:bCs/>
        </w:rPr>
        <w:t xml:space="preserve"> ekonomika v ro</w:t>
      </w:r>
      <w:r w:rsidRPr="00232D24">
        <w:rPr>
          <w:rFonts w:ascii="Arial Narrow" w:hAnsi="Arial Narrow" w:cs="Arial Narrow" w:hint="default"/>
          <w:bCs/>
        </w:rPr>
        <w:t>ku 2010 podľ</w:t>
      </w:r>
      <w:r w:rsidRPr="00232D24">
        <w:rPr>
          <w:rFonts w:ascii="Arial Narrow" w:hAnsi="Arial Narrow" w:cs="Arial Narrow" w:hint="default"/>
          <w:bCs/>
        </w:rPr>
        <w:t>a aktuá</w:t>
      </w:r>
      <w:r w:rsidRPr="00232D24">
        <w:rPr>
          <w:rFonts w:ascii="Arial Narrow" w:hAnsi="Arial Narrow" w:cs="Arial Narrow" w:hint="default"/>
          <w:bCs/>
        </w:rPr>
        <w:t>lnych odhadov opäť</w:t>
      </w:r>
      <w:r w:rsidRPr="00232D24">
        <w:rPr>
          <w:rFonts w:ascii="Arial Narrow" w:hAnsi="Arial Narrow" w:cs="Arial Narrow" w:hint="default"/>
          <w:bCs/>
        </w:rPr>
        <w:t xml:space="preserve"> porastie 4% tempom, č</w:t>
      </w:r>
      <w:r w:rsidRPr="00232D24">
        <w:rPr>
          <w:rFonts w:ascii="Arial Narrow" w:hAnsi="Arial Narrow" w:cs="Arial Narrow" w:hint="default"/>
          <w:bCs/>
        </w:rPr>
        <w:t>o je približ</w:t>
      </w:r>
      <w:r w:rsidRPr="00232D24">
        <w:rPr>
          <w:rFonts w:ascii="Arial Narrow" w:hAnsi="Arial Narrow" w:cs="Arial Narrow" w:hint="default"/>
          <w:bCs/>
        </w:rPr>
        <w:t>ne dvojná</w:t>
      </w:r>
      <w:r w:rsidRPr="00232D24">
        <w:rPr>
          <w:rFonts w:ascii="Arial Narrow" w:hAnsi="Arial Narrow" w:cs="Arial Narrow" w:hint="default"/>
          <w:bCs/>
        </w:rPr>
        <w:t>sobný</w:t>
      </w:r>
      <w:r w:rsidRPr="00232D24">
        <w:rPr>
          <w:rFonts w:ascii="Arial Narrow" w:hAnsi="Arial Narrow" w:cs="Arial Narrow" w:hint="default"/>
          <w:bCs/>
        </w:rPr>
        <w:t xml:space="preserve"> rast oproti schvá</w:t>
      </w:r>
      <w:r w:rsidRPr="00232D24">
        <w:rPr>
          <w:rFonts w:ascii="Arial Narrow" w:hAnsi="Arial Narrow" w:cs="Arial Narrow" w:hint="default"/>
          <w:bCs/>
        </w:rPr>
        <w:t>lené</w:t>
      </w:r>
      <w:r w:rsidRPr="00232D24">
        <w:rPr>
          <w:rFonts w:ascii="Arial Narrow" w:hAnsi="Arial Narrow" w:cs="Arial Narrow" w:hint="default"/>
          <w:bCs/>
        </w:rPr>
        <w:t>mu rozpoč</w:t>
      </w:r>
      <w:r w:rsidRPr="00232D24">
        <w:rPr>
          <w:rFonts w:ascii="Arial Narrow" w:hAnsi="Arial Narrow" w:cs="Arial Narrow" w:hint="default"/>
          <w:bCs/>
        </w:rPr>
        <w:t>tu na tento rok (1,9 %)</w:t>
      </w:r>
      <w:r w:rsidRPr="00232D24">
        <w:rPr>
          <w:rFonts w:ascii="Arial Narrow" w:hAnsi="Arial Narrow" w:cs="Arial Narrow" w:hint="default"/>
        </w:rPr>
        <w:t>. Vyšší</w:t>
      </w:r>
      <w:r w:rsidRPr="00232D24">
        <w:rPr>
          <w:rFonts w:ascii="Arial Narrow" w:hAnsi="Arial Narrow" w:cs="Arial Narrow" w:hint="default"/>
        </w:rPr>
        <w:t xml:space="preserve"> rast je predovš</w:t>
      </w:r>
      <w:r w:rsidRPr="00232D24">
        <w:rPr>
          <w:rFonts w:ascii="Arial Narrow" w:hAnsi="Arial Narrow" w:cs="Arial Narrow" w:hint="default"/>
        </w:rPr>
        <w:t>etký</w:t>
      </w:r>
      <w:r w:rsidRPr="00232D24">
        <w:rPr>
          <w:rFonts w:ascii="Arial Narrow" w:hAnsi="Arial Narrow" w:cs="Arial Narrow" w:hint="default"/>
        </w:rPr>
        <w:t>m dô</w:t>
      </w:r>
      <w:r w:rsidRPr="00232D24">
        <w:rPr>
          <w:rFonts w:ascii="Arial Narrow" w:hAnsi="Arial Narrow" w:cs="Arial Narrow" w:hint="default"/>
        </w:rPr>
        <w:t>sledkom silnejš</w:t>
      </w:r>
      <w:r w:rsidRPr="00232D24">
        <w:rPr>
          <w:rFonts w:ascii="Arial Narrow" w:hAnsi="Arial Narrow" w:cs="Arial Narrow" w:hint="default"/>
        </w:rPr>
        <w:t>ieho ako oč</w:t>
      </w:r>
      <w:r w:rsidRPr="00232D24">
        <w:rPr>
          <w:rFonts w:ascii="Arial Narrow" w:hAnsi="Arial Narrow" w:cs="Arial Narrow" w:hint="default"/>
        </w:rPr>
        <w:t>aká</w:t>
      </w:r>
      <w:r w:rsidRPr="00232D24">
        <w:rPr>
          <w:rFonts w:ascii="Arial Narrow" w:hAnsi="Arial Narrow" w:cs="Arial Narrow" w:hint="default"/>
        </w:rPr>
        <w:t>vané</w:t>
      </w:r>
      <w:r w:rsidRPr="00232D24">
        <w:rPr>
          <w:rFonts w:ascii="Arial Narrow" w:hAnsi="Arial Narrow" w:cs="Arial Narrow" w:hint="default"/>
        </w:rPr>
        <w:t>ho ož</w:t>
      </w:r>
      <w:r w:rsidRPr="00232D24">
        <w:rPr>
          <w:rFonts w:ascii="Arial Narrow" w:hAnsi="Arial Narrow" w:cs="Arial Narrow" w:hint="default"/>
        </w:rPr>
        <w:t>ivenia dopytu naš</w:t>
      </w:r>
      <w:r w:rsidRPr="00232D24">
        <w:rPr>
          <w:rFonts w:ascii="Arial Narrow" w:hAnsi="Arial Narrow" w:cs="Arial Narrow" w:hint="default"/>
        </w:rPr>
        <w:t>ich obchodný</w:t>
      </w:r>
      <w:r w:rsidRPr="00232D24">
        <w:rPr>
          <w:rFonts w:ascii="Arial Narrow" w:hAnsi="Arial Narrow" w:cs="Arial Narrow" w:hint="default"/>
        </w:rPr>
        <w:t>ch partnerov, najmä</w:t>
      </w:r>
      <w:r w:rsidRPr="00232D24">
        <w:rPr>
          <w:rFonts w:ascii="Arial Narrow" w:hAnsi="Arial Narrow" w:cs="Arial Narrow" w:hint="default"/>
        </w:rPr>
        <w:t xml:space="preserve"> náš</w:t>
      </w:r>
      <w:r w:rsidRPr="00232D24">
        <w:rPr>
          <w:rFonts w:ascii="Arial Narrow" w:hAnsi="Arial Narrow" w:cs="Arial Narrow" w:hint="default"/>
        </w:rPr>
        <w:t>ho najväčš</w:t>
      </w:r>
      <w:r w:rsidRPr="00232D24">
        <w:rPr>
          <w:rFonts w:ascii="Arial Narrow" w:hAnsi="Arial Narrow" w:cs="Arial Narrow" w:hint="default"/>
        </w:rPr>
        <w:t>ieho obchodné</w:t>
      </w:r>
      <w:r w:rsidRPr="00232D24">
        <w:rPr>
          <w:rFonts w:ascii="Arial Narrow" w:hAnsi="Arial Narrow" w:cs="Arial Narrow" w:hint="default"/>
        </w:rPr>
        <w:t>ho partnera Nemecka. To spô</w:t>
      </w:r>
      <w:r w:rsidRPr="00232D24">
        <w:rPr>
          <w:rFonts w:ascii="Arial Narrow" w:hAnsi="Arial Narrow" w:cs="Arial Narrow" w:hint="default"/>
        </w:rPr>
        <w:t>sobuje zlepš</w:t>
      </w:r>
      <w:r w:rsidRPr="00232D24">
        <w:rPr>
          <w:rFonts w:ascii="Arial Narrow" w:hAnsi="Arial Narrow" w:cs="Arial Narrow" w:hint="default"/>
        </w:rPr>
        <w:t>enie dopytu po slovenský</w:t>
      </w:r>
      <w:r w:rsidRPr="00232D24">
        <w:rPr>
          <w:rFonts w:ascii="Arial Narrow" w:hAnsi="Arial Narrow" w:cs="Arial Narrow" w:hint="default"/>
        </w:rPr>
        <w:t>ch exportoch a </w:t>
      </w:r>
      <w:r w:rsidRPr="00232D24">
        <w:rPr>
          <w:rFonts w:ascii="Arial Narrow" w:hAnsi="Arial Narrow" w:cs="Arial Narrow" w:hint="default"/>
        </w:rPr>
        <w:t>teda vý</w:t>
      </w:r>
      <w:r w:rsidRPr="00232D24">
        <w:rPr>
          <w:rFonts w:ascii="Arial Narrow" w:hAnsi="Arial Narrow" w:cs="Arial Narrow" w:hint="default"/>
        </w:rPr>
        <w:t>raznejší</w:t>
      </w:r>
      <w:r w:rsidRPr="00232D24">
        <w:rPr>
          <w:rFonts w:ascii="Arial Narrow" w:hAnsi="Arial Narrow" w:cs="Arial Narrow" w:hint="default"/>
        </w:rPr>
        <w:t xml:space="preserve"> ná</w:t>
      </w:r>
      <w:r w:rsidRPr="00232D24">
        <w:rPr>
          <w:rFonts w:ascii="Arial Narrow" w:hAnsi="Arial Narrow" w:cs="Arial Narrow" w:hint="default"/>
        </w:rPr>
        <w:t xml:space="preserve">rast priemyslu. </w:t>
      </w:r>
      <w:r w:rsidRPr="00232D24">
        <w:rPr>
          <w:rFonts w:ascii="Arial Narrow" w:hAnsi="Arial Narrow" w:cs="Arial Narrow" w:hint="default"/>
          <w:bCs/>
        </w:rPr>
        <w:t>Za prvý</w:t>
      </w:r>
      <w:r w:rsidRPr="00232D24">
        <w:rPr>
          <w:rFonts w:ascii="Arial Narrow" w:hAnsi="Arial Narrow" w:cs="Arial Narrow" w:hint="default"/>
          <w:bCs/>
        </w:rPr>
        <w:t>ch 8 mesiacov stú</w:t>
      </w:r>
      <w:r w:rsidRPr="00232D24">
        <w:rPr>
          <w:rFonts w:ascii="Arial Narrow" w:hAnsi="Arial Narrow" w:cs="Arial Narrow" w:hint="default"/>
          <w:bCs/>
        </w:rPr>
        <w:t>pla priemyselná</w:t>
      </w:r>
      <w:r w:rsidRPr="00232D24">
        <w:rPr>
          <w:rFonts w:ascii="Arial Narrow" w:hAnsi="Arial Narrow" w:cs="Arial Narrow" w:hint="default"/>
          <w:bCs/>
        </w:rPr>
        <w:t xml:space="preserve"> vý</w:t>
      </w:r>
      <w:r w:rsidRPr="00232D24">
        <w:rPr>
          <w:rFonts w:ascii="Arial Narrow" w:hAnsi="Arial Narrow" w:cs="Arial Narrow" w:hint="default"/>
          <w:bCs/>
        </w:rPr>
        <w:t>roba o </w:t>
      </w:r>
      <w:r w:rsidRPr="00232D24">
        <w:rPr>
          <w:rFonts w:ascii="Arial Narrow" w:hAnsi="Arial Narrow" w:cs="Arial Narrow" w:hint="default"/>
          <w:bCs/>
        </w:rPr>
        <w:t>22,6 % medziroč</w:t>
      </w:r>
      <w:r w:rsidRPr="00232D24">
        <w:rPr>
          <w:rFonts w:ascii="Arial Narrow" w:hAnsi="Arial Narrow" w:cs="Arial Narrow" w:hint="default"/>
          <w:bCs/>
        </w:rPr>
        <w:t>ne</w:t>
      </w:r>
      <w:r w:rsidRPr="00232D24"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</w:rPr>
        <w:t xml:space="preserve"> </w:t>
      </w:r>
      <w:r w:rsidRPr="00232D24">
        <w:rPr>
          <w:rFonts w:ascii="Arial Narrow" w:hAnsi="Arial Narrow" w:cs="Arial Narrow" w:hint="default"/>
        </w:rPr>
        <w:t>Vyšší</w:t>
      </w:r>
      <w:r w:rsidRPr="00232D24">
        <w:rPr>
          <w:rFonts w:ascii="Arial Narrow" w:hAnsi="Arial Narrow" w:cs="Arial Narrow" w:hint="default"/>
        </w:rPr>
        <w:t xml:space="preserve"> predaj si vyž</w:t>
      </w:r>
      <w:r w:rsidRPr="00232D24">
        <w:rPr>
          <w:rFonts w:ascii="Arial Narrow" w:hAnsi="Arial Narrow" w:cs="Arial Narrow" w:hint="default"/>
        </w:rPr>
        <w:t>iadal aj dopĺň</w:t>
      </w:r>
      <w:r w:rsidRPr="00232D24">
        <w:rPr>
          <w:rFonts w:ascii="Arial Narrow" w:hAnsi="Arial Narrow" w:cs="Arial Narrow" w:hint="default"/>
        </w:rPr>
        <w:t>anie ní</w:t>
      </w:r>
      <w:r w:rsidRPr="00232D24">
        <w:rPr>
          <w:rFonts w:ascii="Arial Narrow" w:hAnsi="Arial Narrow" w:cs="Arial Narrow" w:hint="default"/>
        </w:rPr>
        <w:t>zkeho sta</w:t>
      </w:r>
      <w:r w:rsidRPr="00232D24">
        <w:rPr>
          <w:rFonts w:ascii="Arial Narrow" w:hAnsi="Arial Narrow" w:cs="Arial Narrow" w:hint="default"/>
        </w:rPr>
        <w:t>vu zá</w:t>
      </w:r>
      <w:r w:rsidRPr="00232D24">
        <w:rPr>
          <w:rFonts w:ascii="Arial Narrow" w:hAnsi="Arial Narrow" w:cs="Arial Narrow" w:hint="default"/>
        </w:rPr>
        <w:t>sob z </w:t>
      </w:r>
      <w:r w:rsidRPr="00232D24">
        <w:rPr>
          <w:rFonts w:ascii="Arial Narrow" w:hAnsi="Arial Narrow" w:cs="Arial Narrow" w:hint="default"/>
        </w:rPr>
        <w:t>minulé</w:t>
      </w:r>
      <w:r w:rsidRPr="00232D24">
        <w:rPr>
          <w:rFonts w:ascii="Arial Narrow" w:hAnsi="Arial Narrow" w:cs="Arial Narrow" w:hint="default"/>
        </w:rPr>
        <w:t xml:space="preserve">ho roka. </w:t>
      </w:r>
    </w:p>
    <w:p w:rsidR="0066697D" w:rsidP="003A58B0">
      <w:pPr>
        <w:bidi w:val="0"/>
        <w:spacing w:line="240" w:lineRule="auto"/>
        <w:ind w:firstLine="680"/>
        <w:rPr>
          <w:rFonts w:ascii="Arial Narrow" w:hAnsi="Arial Narrow" w:cs="Arial Narrow"/>
        </w:rPr>
      </w:pPr>
      <w:r w:rsidRPr="00232D24" w:rsidR="00393138">
        <w:rPr>
          <w:rFonts w:ascii="Arial Narrow" w:hAnsi="Arial Narrow" w:cs="Arial Narrow" w:hint="default"/>
          <w:bCs/>
        </w:rPr>
        <w:t>Na druhej strane pokrač</w:t>
      </w:r>
      <w:r w:rsidRPr="00232D24" w:rsidR="00393138">
        <w:rPr>
          <w:rFonts w:ascii="Arial Narrow" w:hAnsi="Arial Narrow" w:cs="Arial Narrow" w:hint="default"/>
          <w:bCs/>
        </w:rPr>
        <w:t>uje nepriaznivý</w:t>
      </w:r>
      <w:r w:rsidRPr="00232D24" w:rsidR="00393138">
        <w:rPr>
          <w:rFonts w:ascii="Arial Narrow" w:hAnsi="Arial Narrow" w:cs="Arial Narrow" w:hint="default"/>
          <w:bCs/>
        </w:rPr>
        <w:t xml:space="preserve"> vý</w:t>
      </w:r>
      <w:r w:rsidRPr="00232D24" w:rsidR="00393138">
        <w:rPr>
          <w:rFonts w:ascii="Arial Narrow" w:hAnsi="Arial Narrow" w:cs="Arial Narrow" w:hint="default"/>
          <w:bCs/>
        </w:rPr>
        <w:t>voj v </w:t>
      </w:r>
      <w:r w:rsidRPr="00232D24" w:rsidR="00393138">
        <w:rPr>
          <w:rFonts w:ascii="Arial Narrow" w:hAnsi="Arial Narrow" w:cs="Arial Narrow" w:hint="default"/>
          <w:bCs/>
        </w:rPr>
        <w:t>domá</w:t>
      </w:r>
      <w:r w:rsidRPr="00232D24" w:rsidR="00393138">
        <w:rPr>
          <w:rFonts w:ascii="Arial Narrow" w:hAnsi="Arial Narrow" w:cs="Arial Narrow" w:hint="default"/>
          <w:bCs/>
        </w:rPr>
        <w:t>cej ekonomike</w:t>
      </w:r>
      <w:r w:rsidRPr="00232D24" w:rsidR="00393138">
        <w:rPr>
          <w:rFonts w:ascii="Arial Narrow" w:hAnsi="Arial Narrow" w:cs="Arial Narrow" w:hint="default"/>
        </w:rPr>
        <w:t>. Ú</w:t>
      </w:r>
      <w:r w:rsidRPr="00232D24" w:rsidR="00393138">
        <w:rPr>
          <w:rFonts w:ascii="Arial Narrow" w:hAnsi="Arial Narrow" w:cs="Arial Narrow" w:hint="default"/>
        </w:rPr>
        <w:t>daje za maloobchodný</w:t>
      </w:r>
      <w:r w:rsidRPr="00232D24" w:rsidR="00393138">
        <w:rPr>
          <w:rFonts w:ascii="Arial Narrow" w:hAnsi="Arial Narrow" w:cs="Arial Narrow" w:hint="default"/>
        </w:rPr>
        <w:t xml:space="preserve"> predaj naznač</w:t>
      </w:r>
      <w:r w:rsidRPr="00232D24" w:rsidR="00393138">
        <w:rPr>
          <w:rFonts w:ascii="Arial Narrow" w:hAnsi="Arial Narrow" w:cs="Arial Narrow" w:hint="default"/>
        </w:rPr>
        <w:t>ujú</w:t>
      </w:r>
      <w:r w:rsidRPr="00232D24" w:rsidR="00393138">
        <w:rPr>
          <w:rFonts w:ascii="Arial Narrow" w:hAnsi="Arial Narrow" w:cs="Arial Narrow" w:hint="default"/>
        </w:rPr>
        <w:t>, ž</w:t>
      </w:r>
      <w:r w:rsidRPr="00232D24" w:rsidR="00393138">
        <w:rPr>
          <w:rFonts w:ascii="Arial Narrow" w:hAnsi="Arial Narrow" w:cs="Arial Narrow" w:hint="default"/>
        </w:rPr>
        <w:t xml:space="preserve">e </w:t>
      </w:r>
      <w:r w:rsidRPr="00232D24" w:rsidR="00393138">
        <w:rPr>
          <w:rFonts w:ascii="Arial Narrow" w:hAnsi="Arial Narrow" w:cs="Arial Narrow" w:hint="default"/>
          <w:bCs/>
        </w:rPr>
        <w:t>krí</w:t>
      </w:r>
      <w:r w:rsidRPr="00232D24" w:rsidR="00393138">
        <w:rPr>
          <w:rFonts w:ascii="Arial Narrow" w:hAnsi="Arial Narrow" w:cs="Arial Narrow" w:hint="default"/>
          <w:bCs/>
        </w:rPr>
        <w:t>za kulminuje v </w:t>
      </w:r>
      <w:r w:rsidRPr="00232D24" w:rsidR="00393138">
        <w:rPr>
          <w:rFonts w:ascii="Arial Narrow" w:hAnsi="Arial Narrow" w:cs="Arial Narrow" w:hint="default"/>
          <w:bCs/>
        </w:rPr>
        <w:t>domá</w:t>
      </w:r>
      <w:r w:rsidRPr="00232D24" w:rsidR="00393138">
        <w:rPr>
          <w:rFonts w:ascii="Arial Narrow" w:hAnsi="Arial Narrow" w:cs="Arial Narrow" w:hint="default"/>
          <w:bCs/>
        </w:rPr>
        <w:t>cej ekonomike na rozdiel od priemyslu až</w:t>
      </w:r>
      <w:r w:rsidRPr="00232D24" w:rsidR="00393138">
        <w:rPr>
          <w:rFonts w:ascii="Arial Narrow" w:hAnsi="Arial Narrow" w:cs="Arial Narrow" w:hint="default"/>
          <w:bCs/>
        </w:rPr>
        <w:t xml:space="preserve"> v tomto roku</w:t>
      </w:r>
      <w:r w:rsidRPr="00232D24" w:rsidR="00393138">
        <w:rPr>
          <w:rFonts w:ascii="Arial Narrow" w:hAnsi="Arial Narrow" w:cs="Arial Narrow"/>
        </w:rPr>
        <w:t xml:space="preserve">. Pokles zamestnanosti a dopytu po pracovnej </w:t>
      </w:r>
      <w:r w:rsidRPr="00232D24" w:rsidR="00393138">
        <w:rPr>
          <w:rFonts w:ascii="Arial Narrow" w:hAnsi="Arial Narrow" w:cs="Arial Narrow"/>
        </w:rPr>
        <w:t>sile sa prejavuje v </w:t>
      </w:r>
      <w:r w:rsidRPr="00232D24" w:rsidR="00393138">
        <w:rPr>
          <w:rFonts w:ascii="Arial Narrow" w:hAnsi="Arial Narrow" w:cs="Arial Narrow" w:hint="default"/>
        </w:rPr>
        <w:t>zníž</w:t>
      </w:r>
      <w:r w:rsidRPr="00232D24" w:rsidR="00393138">
        <w:rPr>
          <w:rFonts w:ascii="Arial Narrow" w:hAnsi="Arial Narrow" w:cs="Arial Narrow" w:hint="default"/>
        </w:rPr>
        <w:t>ení</w:t>
      </w:r>
      <w:r w:rsidRPr="00232D24" w:rsidR="00393138">
        <w:rPr>
          <w:rFonts w:ascii="Arial Narrow" w:hAnsi="Arial Narrow" w:cs="Arial Narrow" w:hint="default"/>
        </w:rPr>
        <w:t xml:space="preserve"> tlakov na rast miezd najmä</w:t>
      </w:r>
      <w:r w:rsidRPr="00232D24" w:rsidR="00393138">
        <w:rPr>
          <w:rFonts w:ascii="Arial Narrow" w:hAnsi="Arial Narrow" w:cs="Arial Narrow" w:hint="default"/>
        </w:rPr>
        <w:t xml:space="preserve"> v služ</w:t>
      </w:r>
      <w:r w:rsidRPr="00232D24" w:rsidR="00393138">
        <w:rPr>
          <w:rFonts w:ascii="Arial Narrow" w:hAnsi="Arial Narrow" w:cs="Arial Narrow" w:hint="default"/>
        </w:rPr>
        <w:t>bá</w:t>
      </w:r>
      <w:r w:rsidRPr="00232D24" w:rsidR="00393138">
        <w:rPr>
          <w:rFonts w:ascii="Arial Narrow" w:hAnsi="Arial Narrow" w:cs="Arial Narrow" w:hint="default"/>
        </w:rPr>
        <w:t>ch, prič</w:t>
      </w:r>
      <w:r w:rsidRPr="00232D24" w:rsidR="00393138">
        <w:rPr>
          <w:rFonts w:ascii="Arial Narrow" w:hAnsi="Arial Narrow" w:cs="Arial Narrow" w:hint="default"/>
        </w:rPr>
        <w:t>om </w:t>
      </w:r>
      <w:r w:rsidRPr="00232D24" w:rsidR="00393138">
        <w:rPr>
          <w:rFonts w:ascii="Arial Narrow" w:hAnsi="Arial Narrow" w:cs="Arial Narrow" w:hint="default"/>
        </w:rPr>
        <w:t>oba tieto faktory negatí</w:t>
      </w:r>
      <w:r w:rsidRPr="00232D24" w:rsidR="00393138">
        <w:rPr>
          <w:rFonts w:ascii="Arial Narrow" w:hAnsi="Arial Narrow" w:cs="Arial Narrow" w:hint="default"/>
        </w:rPr>
        <w:t>vne ovplyvň</w:t>
      </w:r>
      <w:r w:rsidRPr="00232D24" w:rsidR="00393138">
        <w:rPr>
          <w:rFonts w:ascii="Arial Narrow" w:hAnsi="Arial Narrow" w:cs="Arial Narrow" w:hint="default"/>
        </w:rPr>
        <w:t>ujú</w:t>
      </w:r>
      <w:r w:rsidRPr="00232D24" w:rsidR="00393138">
        <w:rPr>
          <w:rFonts w:ascii="Arial Narrow" w:hAnsi="Arial Narrow" w:cs="Arial Narrow" w:hint="default"/>
        </w:rPr>
        <w:t xml:space="preserve"> spotrebu domá</w:t>
      </w:r>
      <w:r w:rsidRPr="00232D24" w:rsidR="00393138">
        <w:rPr>
          <w:rFonts w:ascii="Arial Narrow" w:hAnsi="Arial Narrow" w:cs="Arial Narrow" w:hint="default"/>
        </w:rPr>
        <w:t>cností</w:t>
      </w:r>
      <w:r w:rsidRPr="00232D24" w:rsidR="00393138">
        <w:rPr>
          <w:rFonts w:ascii="Arial Narrow" w:hAnsi="Arial Narrow" w:cs="Arial Narrow" w:hint="default"/>
        </w:rPr>
        <w:t>. Takisto voľ</w:t>
      </w:r>
      <w:r w:rsidRPr="00232D24" w:rsidR="00393138">
        <w:rPr>
          <w:rFonts w:ascii="Arial Narrow" w:hAnsi="Arial Narrow" w:cs="Arial Narrow" w:hint="default"/>
        </w:rPr>
        <w:t>né</w:t>
      </w:r>
      <w:r w:rsidRPr="00232D24" w:rsidR="00393138">
        <w:rPr>
          <w:rFonts w:ascii="Arial Narrow" w:hAnsi="Arial Narrow" w:cs="Arial Narrow" w:hint="default"/>
        </w:rPr>
        <w:t xml:space="preserve"> kapacity nevytvá</w:t>
      </w:r>
      <w:r w:rsidRPr="00232D24" w:rsidR="00393138">
        <w:rPr>
          <w:rFonts w:ascii="Arial Narrow" w:hAnsi="Arial Narrow" w:cs="Arial Narrow" w:hint="default"/>
        </w:rPr>
        <w:t>rajú</w:t>
      </w:r>
      <w:r w:rsidRPr="00232D24" w:rsidR="00393138">
        <w:rPr>
          <w:rFonts w:ascii="Arial Narrow" w:hAnsi="Arial Narrow" w:cs="Arial Narrow" w:hint="default"/>
        </w:rPr>
        <w:t xml:space="preserve"> tlak na zvýš</w:t>
      </w:r>
      <w:r w:rsidRPr="00232D24" w:rsidR="00393138">
        <w:rPr>
          <w:rFonts w:ascii="Arial Narrow" w:hAnsi="Arial Narrow" w:cs="Arial Narrow" w:hint="default"/>
        </w:rPr>
        <w:t>enie investí</w:t>
      </w:r>
      <w:r w:rsidRPr="00232D24" w:rsidR="00393138">
        <w:rPr>
          <w:rFonts w:ascii="Arial Narrow" w:hAnsi="Arial Narrow" w:cs="Arial Narrow" w:hint="default"/>
        </w:rPr>
        <w:t>cií</w:t>
      </w:r>
      <w:r w:rsidRPr="00232D24" w:rsidR="00393138">
        <w:rPr>
          <w:rFonts w:ascii="Arial Narrow" w:hAnsi="Arial Narrow" w:cs="Arial Narrow" w:hint="default"/>
        </w:rPr>
        <w:t>. Mierne prorastovo zatiaľ</w:t>
      </w:r>
      <w:r w:rsidRPr="00232D24" w:rsidR="00393138">
        <w:rPr>
          <w:rFonts w:ascii="Arial Narrow" w:hAnsi="Arial Narrow" w:cs="Arial Narrow" w:hint="default"/>
        </w:rPr>
        <w:t xml:space="preserve"> pô</w:t>
      </w:r>
      <w:r w:rsidRPr="00232D24" w:rsidR="00393138">
        <w:rPr>
          <w:rFonts w:ascii="Arial Narrow" w:hAnsi="Arial Narrow" w:cs="Arial Narrow" w:hint="default"/>
        </w:rPr>
        <w:t>sobia ceny, nakoľ</w:t>
      </w:r>
      <w:r w:rsidRPr="00232D24" w:rsidR="00393138">
        <w:rPr>
          <w:rFonts w:ascii="Arial Narrow" w:hAnsi="Arial Narrow" w:cs="Arial Narrow" w:hint="default"/>
        </w:rPr>
        <w:t>ko sa inflá</w:t>
      </w:r>
      <w:r w:rsidRPr="00232D24" w:rsidR="00393138">
        <w:rPr>
          <w:rFonts w:ascii="Arial Narrow" w:hAnsi="Arial Narrow" w:cs="Arial Narrow" w:hint="default"/>
        </w:rPr>
        <w:t>ci</w:t>
      </w:r>
      <w:r w:rsidRPr="00232D24" w:rsidR="00393138">
        <w:rPr>
          <w:rFonts w:ascii="Arial Narrow" w:hAnsi="Arial Narrow" w:cs="Arial Narrow" w:hint="default"/>
        </w:rPr>
        <w:t>a</w:t>
      </w:r>
      <w:r w:rsidRPr="00232D24" w:rsidR="00393138">
        <w:rPr>
          <w:rFonts w:ascii="Arial Narrow" w:hAnsi="Arial Narrow" w:cs="Arial Narrow" w:hint="default"/>
        </w:rPr>
        <w:t xml:space="preserve"> v </w:t>
      </w:r>
      <w:r w:rsidRPr="00232D24" w:rsidR="00393138">
        <w:rPr>
          <w:rFonts w:ascii="Arial Narrow" w:hAnsi="Arial Narrow" w:cs="Arial Narrow" w:hint="default"/>
        </w:rPr>
        <w:t>tomto roku vý</w:t>
      </w:r>
      <w:r w:rsidRPr="00232D24" w:rsidR="00393138">
        <w:rPr>
          <w:rFonts w:ascii="Arial Narrow" w:hAnsi="Arial Narrow" w:cs="Arial Narrow" w:hint="default"/>
        </w:rPr>
        <w:t>razne spomalila. Celkovo domá</w:t>
      </w:r>
      <w:r w:rsidRPr="00232D24" w:rsidR="00393138">
        <w:rPr>
          <w:rFonts w:ascii="Arial Narrow" w:hAnsi="Arial Narrow" w:cs="Arial Narrow" w:hint="default"/>
        </w:rPr>
        <w:t>ci dopyt (bez zá</w:t>
      </w:r>
      <w:r w:rsidRPr="00232D24" w:rsidR="00393138">
        <w:rPr>
          <w:rFonts w:ascii="Arial Narrow" w:hAnsi="Arial Narrow" w:cs="Arial Narrow" w:hint="default"/>
        </w:rPr>
        <w:t>sob) stú</w:t>
      </w:r>
      <w:r w:rsidRPr="00232D24" w:rsidR="00393138">
        <w:rPr>
          <w:rFonts w:ascii="Arial Narrow" w:hAnsi="Arial Narrow" w:cs="Arial Narrow" w:hint="default"/>
        </w:rPr>
        <w:t>pne v tomto roku len o </w:t>
      </w:r>
      <w:r w:rsidRPr="00232D24" w:rsidR="00393138">
        <w:rPr>
          <w:rFonts w:ascii="Arial Narrow" w:hAnsi="Arial Narrow" w:cs="Arial Narrow" w:hint="default"/>
        </w:rPr>
        <w:t>0,4 %, namiesto predpokladaný</w:t>
      </w:r>
      <w:r w:rsidRPr="00232D24" w:rsidR="00393138">
        <w:rPr>
          <w:rFonts w:ascii="Arial Narrow" w:hAnsi="Arial Narrow" w:cs="Arial Narrow" w:hint="default"/>
        </w:rPr>
        <w:t>ch 2 %.</w:t>
      </w:r>
    </w:p>
    <w:p w:rsidR="003A58B0" w:rsidP="003A58B0">
      <w:pPr>
        <w:bidi w:val="0"/>
        <w:spacing w:line="240" w:lineRule="auto"/>
        <w:ind w:firstLine="680"/>
        <w:rPr>
          <w:rFonts w:ascii="Arial Narrow" w:hAnsi="Arial Narrow" w:cs="Arial Narrow"/>
        </w:rPr>
      </w:pPr>
    </w:p>
    <w:tbl>
      <w:tblPr>
        <w:tblStyle w:val="TableNormal"/>
        <w:tblW w:w="8048" w:type="dxa"/>
        <w:jc w:val="center"/>
        <w:tblInd w:w="-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732"/>
        <w:gridCol w:w="1066"/>
        <w:gridCol w:w="1164"/>
        <w:gridCol w:w="1086"/>
      </w:tblGrid>
      <w:tr>
        <w:tblPrEx>
          <w:tblW w:w="8048" w:type="dxa"/>
          <w:jc w:val="center"/>
          <w:tblInd w:w="-11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trHeight w:hRule="exact" w:val="284"/>
          <w:jc w:val="center"/>
        </w:trPr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93138" w:rsidRPr="00DF102D" w:rsidP="00393138">
            <w:pPr>
              <w:bidi w:val="0"/>
              <w:jc w:val="left"/>
              <w:rPr>
                <w:rFonts w:ascii="Arial Narrow" w:hAnsi="Arial Narrow" w:cs="Arial Narrow" w:hint="default"/>
                <w:b/>
                <w:bCs/>
                <w:sz w:val="20"/>
                <w:szCs w:val="20"/>
                <w:lang w:eastAsia="sk-SK"/>
              </w:rPr>
            </w:pPr>
            <w:r w:rsidRPr="00DF102D">
              <w:rPr>
                <w:rFonts w:ascii="Arial Narrow" w:hAnsi="Arial Narrow" w:cs="Arial Narrow" w:hint="default"/>
                <w:b/>
                <w:bCs/>
                <w:sz w:val="20"/>
                <w:szCs w:val="20"/>
                <w:lang w:eastAsia="sk-SK"/>
              </w:rPr>
              <w:t>Aktualizá</w:t>
            </w:r>
            <w:r w:rsidRPr="00DF102D">
              <w:rPr>
                <w:rFonts w:ascii="Arial Narrow" w:hAnsi="Arial Narrow" w:cs="Arial Narrow" w:hint="default"/>
                <w:b/>
                <w:bCs/>
                <w:sz w:val="20"/>
                <w:szCs w:val="20"/>
                <w:lang w:eastAsia="sk-SK"/>
              </w:rPr>
              <w:t>cia prognó</w:t>
            </w:r>
            <w:r w:rsidRPr="00DF102D">
              <w:rPr>
                <w:rFonts w:ascii="Arial Narrow" w:hAnsi="Arial Narrow" w:cs="Arial Narrow" w:hint="default"/>
                <w:b/>
                <w:bCs/>
                <w:sz w:val="20"/>
                <w:szCs w:val="20"/>
                <w:lang w:eastAsia="sk-SK"/>
              </w:rPr>
              <w:t>z na rok 2010</w:t>
            </w:r>
          </w:p>
        </w:tc>
      </w:tr>
      <w:tr>
        <w:tblPrEx>
          <w:tblW w:w="8048" w:type="dxa"/>
          <w:jc w:val="center"/>
          <w:tblInd w:w="-1198" w:type="dxa"/>
          <w:tblCellMar>
            <w:left w:w="70" w:type="dxa"/>
            <w:right w:w="70" w:type="dxa"/>
          </w:tblCellMar>
          <w:tblLook w:val="00A0"/>
        </w:tblPrEx>
        <w:trPr>
          <w:trHeight w:hRule="exact" w:val="284"/>
          <w:jc w:val="center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393138" w:rsidRPr="00DF102D" w:rsidP="00393138">
            <w:pPr>
              <w:bidi w:val="0"/>
              <w:jc w:val="left"/>
              <w:rPr>
                <w:rFonts w:ascii="Arial Narrow" w:hAnsi="Arial Narrow" w:cs="Arial Narrow" w:hint="default"/>
                <w:b/>
                <w:bCs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 w:hint="default"/>
                <w:b/>
                <w:bCs/>
                <w:sz w:val="18"/>
                <w:szCs w:val="18"/>
                <w:lang w:eastAsia="sk-SK"/>
              </w:rPr>
              <w:t>v %, ak nie je uvedené</w:t>
            </w:r>
            <w:r w:rsidRPr="00DF102D">
              <w:rPr>
                <w:rFonts w:ascii="Arial Narrow" w:hAnsi="Arial Narrow" w:cs="Arial Narrow" w:hint="default"/>
                <w:b/>
                <w:bCs/>
                <w:sz w:val="18"/>
                <w:szCs w:val="18"/>
                <w:lang w:eastAsia="sk-SK"/>
              </w:rPr>
              <w:t xml:space="preserve"> inak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393138" w:rsidRPr="00DF102D" w:rsidP="00393138">
            <w:pPr>
              <w:bidi w:val="0"/>
              <w:jc w:val="center"/>
              <w:rPr>
                <w:rFonts w:ascii="Arial Narrow" w:hAnsi="Arial Narrow" w:cs="Arial Narrow" w:hint="default"/>
                <w:b/>
                <w:bCs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 w:hint="default"/>
                <w:b/>
                <w:bCs/>
                <w:sz w:val="18"/>
                <w:szCs w:val="18"/>
                <w:lang w:eastAsia="sk-SK"/>
              </w:rPr>
              <w:t>Rozpoč</w:t>
            </w:r>
            <w:r w:rsidRPr="00DF102D">
              <w:rPr>
                <w:rFonts w:ascii="Arial Narrow" w:hAnsi="Arial Narrow" w:cs="Arial Narrow" w:hint="default"/>
                <w:b/>
                <w:bCs/>
                <w:sz w:val="18"/>
                <w:szCs w:val="18"/>
                <w:lang w:eastAsia="sk-SK"/>
              </w:rPr>
              <w:t>et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393138" w:rsidRPr="00DF102D" w:rsidP="00393138">
            <w:pPr>
              <w:bidi w:val="0"/>
              <w:jc w:val="center"/>
              <w:rPr>
                <w:rFonts w:ascii="Arial Narrow" w:hAnsi="Arial Narrow" w:cs="Arial Narrow" w:hint="default"/>
                <w:b/>
                <w:bCs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 w:hint="default"/>
                <w:b/>
                <w:bCs/>
                <w:sz w:val="18"/>
                <w:szCs w:val="18"/>
                <w:lang w:eastAsia="sk-SK"/>
              </w:rPr>
              <w:t>Aktuá</w:t>
            </w:r>
            <w:r w:rsidRPr="00DF102D">
              <w:rPr>
                <w:rFonts w:ascii="Arial Narrow" w:hAnsi="Arial Narrow" w:cs="Arial Narrow" w:hint="default"/>
                <w:b/>
                <w:bCs/>
                <w:sz w:val="18"/>
                <w:szCs w:val="18"/>
                <w:lang w:eastAsia="sk-SK"/>
              </w:rPr>
              <w:t>lny odhad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393138" w:rsidRPr="00DF102D" w:rsidP="00393138">
            <w:pPr>
              <w:bidi w:val="0"/>
              <w:jc w:val="center"/>
              <w:rPr>
                <w:rFonts w:ascii="Arial Narrow" w:hAnsi="Arial Narrow" w:cs="Arial Narrow" w:hint="default"/>
                <w:b/>
                <w:bCs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 w:hint="default"/>
                <w:b/>
                <w:bCs/>
                <w:sz w:val="18"/>
                <w:szCs w:val="18"/>
                <w:lang w:eastAsia="sk-SK"/>
              </w:rPr>
              <w:t>Rozdiel v p. b.</w:t>
            </w:r>
          </w:p>
        </w:tc>
      </w:tr>
      <w:tr>
        <w:tblPrEx>
          <w:tblW w:w="8048" w:type="dxa"/>
          <w:jc w:val="center"/>
          <w:tblInd w:w="-1198" w:type="dxa"/>
          <w:tblCellMar>
            <w:left w:w="70" w:type="dxa"/>
            <w:right w:w="70" w:type="dxa"/>
          </w:tblCellMar>
          <w:tblLook w:val="00A0"/>
        </w:tblPrEx>
        <w:trPr>
          <w:trHeight w:hRule="exact" w:val="284"/>
          <w:jc w:val="center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left"/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Hrubý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 xml:space="preserve"> domá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 xml:space="preserve">ci produkt,  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reá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lny rast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1,9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2,1</w:t>
            </w:r>
          </w:p>
        </w:tc>
      </w:tr>
      <w:tr>
        <w:tblPrEx>
          <w:tblW w:w="8048" w:type="dxa"/>
          <w:jc w:val="center"/>
          <w:tblInd w:w="-1198" w:type="dxa"/>
          <w:tblCellMar>
            <w:left w:w="70" w:type="dxa"/>
            <w:right w:w="70" w:type="dxa"/>
          </w:tblCellMar>
          <w:tblLook w:val="00A0"/>
        </w:tblPrEx>
        <w:trPr>
          <w:trHeight w:hRule="exact" w:val="284"/>
          <w:jc w:val="center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left"/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Hrubý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 xml:space="preserve"> domá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ci produkt v 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bež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ný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ch cená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ch mld. eur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67,4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65,9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-1,5</w:t>
            </w:r>
          </w:p>
        </w:tc>
      </w:tr>
      <w:tr>
        <w:tblPrEx>
          <w:tblW w:w="8048" w:type="dxa"/>
          <w:jc w:val="center"/>
          <w:tblInd w:w="-1198" w:type="dxa"/>
          <w:tblCellMar>
            <w:left w:w="70" w:type="dxa"/>
            <w:right w:w="70" w:type="dxa"/>
          </w:tblCellMar>
          <w:tblLook w:val="00A0"/>
        </w:tblPrEx>
        <w:trPr>
          <w:trHeight w:hRule="exact" w:val="284"/>
          <w:jc w:val="center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left"/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Koneč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ná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 xml:space="preserve"> spotreba domá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cností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 xml:space="preserve"> a NISD,  reá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lny rast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1,5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-0,2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-1,7</w:t>
            </w:r>
          </w:p>
        </w:tc>
      </w:tr>
      <w:tr>
        <w:tblPrEx>
          <w:tblW w:w="8048" w:type="dxa"/>
          <w:jc w:val="center"/>
          <w:tblInd w:w="-1198" w:type="dxa"/>
          <w:tblCellMar>
            <w:left w:w="70" w:type="dxa"/>
            <w:right w:w="70" w:type="dxa"/>
          </w:tblCellMar>
          <w:tblLook w:val="00A0"/>
        </w:tblPrEx>
        <w:trPr>
          <w:trHeight w:hRule="exact" w:val="284"/>
          <w:jc w:val="center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left"/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Koneč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ná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 xml:space="preserve"> spotreba domá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cností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,  nominá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lny rast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4,5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0,7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-3,8</w:t>
            </w:r>
          </w:p>
        </w:tc>
      </w:tr>
      <w:tr>
        <w:tblPrEx>
          <w:tblW w:w="8048" w:type="dxa"/>
          <w:jc w:val="center"/>
          <w:tblInd w:w="-1198" w:type="dxa"/>
          <w:tblCellMar>
            <w:left w:w="70" w:type="dxa"/>
            <w:right w:w="70" w:type="dxa"/>
          </w:tblCellMar>
          <w:tblLook w:val="00A0"/>
        </w:tblPrEx>
        <w:trPr>
          <w:trHeight w:hRule="exact" w:val="284"/>
          <w:jc w:val="center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left"/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Efektí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vny domá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ci dopyt, reá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lny rast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2,0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0,4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-</w:t>
            </w: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1,6</w:t>
            </w:r>
          </w:p>
        </w:tc>
      </w:tr>
      <w:tr>
        <w:tblPrEx>
          <w:tblW w:w="8048" w:type="dxa"/>
          <w:jc w:val="center"/>
          <w:tblInd w:w="-1198" w:type="dxa"/>
          <w:tblCellMar>
            <w:left w:w="70" w:type="dxa"/>
            <w:right w:w="70" w:type="dxa"/>
          </w:tblCellMar>
          <w:tblLook w:val="00A0"/>
        </w:tblPrEx>
        <w:trPr>
          <w:trHeight w:hRule="exact" w:val="284"/>
          <w:jc w:val="center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left"/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Priemerná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 xml:space="preserve"> mesač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ná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 xml:space="preserve"> mzda,  reá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lny rast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0,2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1,3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1,1</w:t>
            </w:r>
          </w:p>
        </w:tc>
      </w:tr>
      <w:tr>
        <w:tblPrEx>
          <w:tblW w:w="8048" w:type="dxa"/>
          <w:jc w:val="center"/>
          <w:tblInd w:w="-1198" w:type="dxa"/>
          <w:tblCellMar>
            <w:left w:w="70" w:type="dxa"/>
            <w:right w:w="70" w:type="dxa"/>
          </w:tblCellMar>
          <w:tblLook w:val="00A0"/>
        </w:tblPrEx>
        <w:trPr>
          <w:trHeight w:hRule="exact" w:val="284"/>
          <w:jc w:val="center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left"/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Priemerná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 xml:space="preserve"> mesač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ná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 xml:space="preserve"> mzda,  nominá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lny rast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3,4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2,7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-0,7</w:t>
            </w:r>
          </w:p>
        </w:tc>
      </w:tr>
      <w:tr>
        <w:tblPrEx>
          <w:tblW w:w="8048" w:type="dxa"/>
          <w:jc w:val="center"/>
          <w:tblInd w:w="-1198" w:type="dxa"/>
          <w:tblCellMar>
            <w:left w:w="70" w:type="dxa"/>
            <w:right w:w="70" w:type="dxa"/>
          </w:tblCellMar>
          <w:tblLook w:val="00A0"/>
        </w:tblPrEx>
        <w:trPr>
          <w:trHeight w:hRule="exact" w:val="284"/>
          <w:jc w:val="center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left"/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Rast zamestnanosti (š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tatistické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 xml:space="preserve"> zisť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ovanie)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0,2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-1,1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-1,3</w:t>
            </w:r>
          </w:p>
        </w:tc>
      </w:tr>
      <w:tr>
        <w:tblPrEx>
          <w:tblW w:w="8048" w:type="dxa"/>
          <w:jc w:val="center"/>
          <w:tblInd w:w="-1198" w:type="dxa"/>
          <w:tblCellMar>
            <w:left w:w="70" w:type="dxa"/>
            <w:right w:w="70" w:type="dxa"/>
          </w:tblCellMar>
          <w:tblLook w:val="00A0"/>
        </w:tblPrEx>
        <w:trPr>
          <w:trHeight w:hRule="exact" w:val="284"/>
          <w:jc w:val="center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left"/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Index spotrebiteľ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ský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ch cien,  priemerný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 xml:space="preserve"> rast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3,2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1,4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-1,8</w:t>
            </w:r>
          </w:p>
        </w:tc>
      </w:tr>
      <w:tr>
        <w:tblPrEx>
          <w:tblW w:w="8048" w:type="dxa"/>
          <w:jc w:val="center"/>
          <w:tblInd w:w="-1198" w:type="dxa"/>
          <w:tblCellMar>
            <w:left w:w="70" w:type="dxa"/>
            <w:right w:w="70" w:type="dxa"/>
          </w:tblCellMar>
          <w:tblLook w:val="00A0"/>
        </w:tblPrEx>
        <w:trPr>
          <w:trHeight w:hRule="exact" w:val="284"/>
          <w:jc w:val="center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left"/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Export tovarov a 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služ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ieb, reá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lny rast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2,9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13,2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10,3</w:t>
            </w:r>
          </w:p>
        </w:tc>
      </w:tr>
      <w:tr>
        <w:tblPrEx>
          <w:tblW w:w="8048" w:type="dxa"/>
          <w:jc w:val="center"/>
          <w:tblInd w:w="-1198" w:type="dxa"/>
          <w:tblCellMar>
            <w:left w:w="70" w:type="dxa"/>
            <w:right w:w="70" w:type="dxa"/>
          </w:tblCellMar>
          <w:tblLook w:val="00A0"/>
        </w:tblPrEx>
        <w:trPr>
          <w:trHeight w:hRule="exact" w:val="284"/>
          <w:jc w:val="center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left"/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Bilancia bež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né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ho úč</w:t>
            </w:r>
            <w:r w:rsidRPr="00DF102D">
              <w:rPr>
                <w:rFonts w:ascii="Arial Narrow" w:hAnsi="Arial Narrow" w:cs="Arial Narrow" w:hint="default"/>
                <w:color w:val="000000"/>
                <w:sz w:val="18"/>
                <w:szCs w:val="18"/>
                <w:lang w:eastAsia="sk-SK"/>
              </w:rPr>
              <w:t>tu,  podiel na  HDP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-5,2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-2,2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93138" w:rsidRPr="00DF102D" w:rsidP="00393138">
            <w:pPr>
              <w:bidi w:val="0"/>
              <w:spacing w:before="60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</w:pPr>
            <w:r w:rsidRPr="00DF102D">
              <w:rPr>
                <w:rFonts w:ascii="Arial Narrow" w:hAnsi="Arial Narrow" w:cs="Arial Narrow"/>
                <w:color w:val="000000"/>
                <w:sz w:val="18"/>
                <w:szCs w:val="18"/>
                <w:lang w:eastAsia="sk-SK"/>
              </w:rPr>
              <w:t>3,0</w:t>
            </w:r>
          </w:p>
        </w:tc>
      </w:tr>
      <w:tr>
        <w:tblPrEx>
          <w:tblW w:w="8048" w:type="dxa"/>
          <w:jc w:val="center"/>
          <w:tblInd w:w="-1198" w:type="dxa"/>
          <w:tblCellMar>
            <w:left w:w="70" w:type="dxa"/>
            <w:right w:w="70" w:type="dxa"/>
          </w:tblCellMar>
          <w:tblLook w:val="00A0"/>
        </w:tblPrEx>
        <w:trPr>
          <w:trHeight w:hRule="exact" w:val="284"/>
          <w:jc w:val="center"/>
        </w:trPr>
        <w:tc>
          <w:tcPr>
            <w:tcW w:w="80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center"/>
          </w:tcPr>
          <w:p w:rsidR="00393138" w:rsidRPr="002D099D" w:rsidP="00DF102D">
            <w:pPr>
              <w:bidi w:val="0"/>
              <w:jc w:val="right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2D099D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eastAsia="sk-SK"/>
              </w:rPr>
              <w:t>Zdroj: MF SR</w:t>
            </w:r>
          </w:p>
        </w:tc>
      </w:tr>
    </w:tbl>
    <w:p w:rsidR="0066697D" w:rsidP="007F78B1">
      <w:pPr>
        <w:pStyle w:val="BodyTextIndent"/>
        <w:bidi w:val="0"/>
        <w:spacing w:line="360" w:lineRule="auto"/>
        <w:rPr>
          <w:rFonts w:ascii="Arial Narrow" w:hAnsi="Arial Narrow"/>
          <w:sz w:val="22"/>
          <w:szCs w:val="22"/>
        </w:rPr>
      </w:pPr>
      <w:bookmarkEnd w:id="0"/>
      <w:bookmarkEnd w:id="1"/>
      <w:bookmarkEnd w:id="2"/>
      <w:bookmarkEnd w:id="3"/>
    </w:p>
    <w:p w:rsidR="0066697D" w:rsidRPr="0066697D" w:rsidP="003A58B0">
      <w:pPr>
        <w:pStyle w:val="BodyTextIndent"/>
        <w:bidi w:val="0"/>
        <w:spacing w:after="200"/>
        <w:rPr>
          <w:rFonts w:ascii="Arial Narrow" w:hAnsi="Arial Narrow"/>
          <w:i/>
          <w:sz w:val="22"/>
          <w:szCs w:val="22"/>
        </w:rPr>
      </w:pPr>
      <w:r w:rsidRPr="0066697D">
        <w:rPr>
          <w:rFonts w:ascii="Arial Narrow" w:hAnsi="Arial Narrow"/>
          <w:i/>
          <w:sz w:val="22"/>
          <w:szCs w:val="22"/>
        </w:rPr>
        <w:t>Verejné financie v ESA 95</w:t>
      </w:r>
    </w:p>
    <w:p w:rsidR="007F78B1" w:rsidRPr="004F5613" w:rsidP="003A58B0">
      <w:pPr>
        <w:bidi w:val="0"/>
        <w:spacing w:line="240" w:lineRule="auto"/>
        <w:ind w:firstLine="709"/>
        <w:rPr>
          <w:rFonts w:ascii="Arial Narrow" w:hAnsi="Arial Narrow" w:cs="Arial Narrow"/>
        </w:rPr>
      </w:pPr>
      <w:r w:rsidRPr="00885F30">
        <w:rPr>
          <w:rFonts w:ascii="Arial Narrow" w:hAnsi="Arial Narrow" w:cs="Arial Narrow" w:hint="default"/>
        </w:rPr>
        <w:t>Hlavný</w:t>
      </w:r>
      <w:r w:rsidRPr="00885F30">
        <w:rPr>
          <w:rFonts w:ascii="Arial Narrow" w:hAnsi="Arial Narrow" w:cs="Arial Narrow" w:hint="default"/>
        </w:rPr>
        <w:t xml:space="preserve"> fiš</w:t>
      </w:r>
      <w:r w:rsidRPr="00885F30">
        <w:rPr>
          <w:rFonts w:ascii="Arial Narrow" w:hAnsi="Arial Narrow" w:cs="Arial Narrow" w:hint="default"/>
        </w:rPr>
        <w:t>ká</w:t>
      </w:r>
      <w:r w:rsidRPr="00885F30">
        <w:rPr>
          <w:rFonts w:ascii="Arial Narrow" w:hAnsi="Arial Narrow" w:cs="Arial Narrow" w:hint="default"/>
        </w:rPr>
        <w:t>lny cieľ</w:t>
      </w:r>
      <w:r w:rsidRPr="00885F30">
        <w:rPr>
          <w:rFonts w:ascii="Arial Narrow" w:hAnsi="Arial Narrow" w:cs="Arial Narrow" w:hint="default"/>
        </w:rPr>
        <w:t xml:space="preserve"> vlá</w:t>
      </w:r>
      <w:r w:rsidRPr="00885F30">
        <w:rPr>
          <w:rFonts w:ascii="Arial Narrow" w:hAnsi="Arial Narrow" w:cs="Arial Narrow" w:hint="default"/>
        </w:rPr>
        <w:t>dy na rok 2010 bol stanovený</w:t>
      </w:r>
      <w:r w:rsidRPr="00885F30">
        <w:rPr>
          <w:rFonts w:ascii="Arial Narrow" w:hAnsi="Arial Narrow" w:cs="Arial Narrow" w:hint="default"/>
        </w:rPr>
        <w:t xml:space="preserve"> v </w:t>
      </w:r>
      <w:r w:rsidRPr="00885F30">
        <w:rPr>
          <w:rFonts w:ascii="Arial Narrow" w:hAnsi="Arial Narrow" w:cs="Arial Narrow" w:hint="default"/>
        </w:rPr>
        <w:t>rá</w:t>
      </w:r>
      <w:r w:rsidRPr="00885F30">
        <w:rPr>
          <w:rFonts w:ascii="Arial Narrow" w:hAnsi="Arial Narrow" w:cs="Arial Narrow" w:hint="default"/>
        </w:rPr>
        <w:t>mci rozpoč</w:t>
      </w:r>
      <w:r w:rsidRPr="00885F30">
        <w:rPr>
          <w:rFonts w:ascii="Arial Narrow" w:hAnsi="Arial Narrow" w:cs="Arial Narrow" w:hint="default"/>
        </w:rPr>
        <w:t>tu verejnej sprá</w:t>
      </w:r>
      <w:r w:rsidRPr="00885F30">
        <w:rPr>
          <w:rFonts w:ascii="Arial Narrow" w:hAnsi="Arial Narrow" w:cs="Arial Narrow" w:hint="default"/>
        </w:rPr>
        <w:t>vy na roky 2010 až</w:t>
      </w:r>
      <w:r w:rsidRPr="00885F30">
        <w:rPr>
          <w:rFonts w:ascii="Arial Narrow" w:hAnsi="Arial Narrow" w:cs="Arial Narrow" w:hint="default"/>
        </w:rPr>
        <w:t xml:space="preserve"> 2012 v podobe deficitu verejnej spr</w:t>
      </w:r>
      <w:r w:rsidRPr="00885F30">
        <w:rPr>
          <w:rFonts w:ascii="Arial Narrow" w:hAnsi="Arial Narrow" w:cs="Arial Narrow" w:hint="default"/>
        </w:rPr>
        <w:t>á</w:t>
      </w:r>
      <w:r w:rsidRPr="00885F30">
        <w:rPr>
          <w:rFonts w:ascii="Arial Narrow" w:hAnsi="Arial Narrow" w:cs="Arial Narrow" w:hint="default"/>
        </w:rPr>
        <w:t>vy vo výš</w:t>
      </w:r>
      <w:r w:rsidRPr="00885F30">
        <w:rPr>
          <w:rFonts w:ascii="Arial Narrow" w:hAnsi="Arial Narrow" w:cs="Arial Narrow" w:hint="default"/>
        </w:rPr>
        <w:t>ke</w:t>
      </w:r>
      <w:r w:rsidRPr="00885F30">
        <w:rPr>
          <w:rFonts w:ascii="Arial Narrow" w:hAnsi="Arial Narrow" w:cs="Arial Narrow"/>
          <w:b/>
          <w:bCs/>
        </w:rPr>
        <w:t xml:space="preserve"> </w:t>
      </w:r>
      <w:r w:rsidRPr="004F5613">
        <w:rPr>
          <w:rFonts w:ascii="Arial Narrow" w:hAnsi="Arial Narrow" w:cs="Arial Narrow"/>
          <w:bCs/>
        </w:rPr>
        <w:t>5,5</w:t>
      </w:r>
      <w:r w:rsidRPr="004F5613" w:rsidR="004F5613">
        <w:rPr>
          <w:rFonts w:ascii="Arial Narrow" w:hAnsi="Arial Narrow" w:cs="Arial Narrow"/>
          <w:bCs/>
        </w:rPr>
        <w:t xml:space="preserve"> </w:t>
      </w:r>
      <w:r w:rsidRPr="004F5613">
        <w:rPr>
          <w:rFonts w:ascii="Arial Narrow" w:hAnsi="Arial Narrow" w:cs="Arial Narrow"/>
          <w:bCs/>
        </w:rPr>
        <w:t>% HDP</w:t>
      </w:r>
      <w:r w:rsidRPr="00885F30">
        <w:rPr>
          <w:rFonts w:ascii="Arial Narrow" w:hAnsi="Arial Narrow" w:cs="Arial Narrow" w:hint="default"/>
        </w:rPr>
        <w:t>. Súč</w:t>
      </w:r>
      <w:r w:rsidRPr="00885F30">
        <w:rPr>
          <w:rFonts w:ascii="Arial Narrow" w:hAnsi="Arial Narrow" w:cs="Arial Narrow" w:hint="default"/>
        </w:rPr>
        <w:t>asný</w:t>
      </w:r>
      <w:r w:rsidRPr="00885F30">
        <w:rPr>
          <w:rFonts w:ascii="Arial Narrow" w:hAnsi="Arial Narrow" w:cs="Arial Narrow" w:hint="default"/>
        </w:rPr>
        <w:t xml:space="preserve"> odhad deficitu verejnej sprá</w:t>
      </w:r>
      <w:r w:rsidRPr="00885F30">
        <w:rPr>
          <w:rFonts w:ascii="Arial Narrow" w:hAnsi="Arial Narrow" w:cs="Arial Narrow" w:hint="default"/>
        </w:rPr>
        <w:t>vy je vo výš</w:t>
      </w:r>
      <w:r w:rsidRPr="00885F30">
        <w:rPr>
          <w:rFonts w:ascii="Arial Narrow" w:hAnsi="Arial Narrow" w:cs="Arial Narrow" w:hint="default"/>
        </w:rPr>
        <w:t>ke</w:t>
      </w:r>
      <w:r w:rsidRPr="00885F30">
        <w:rPr>
          <w:rFonts w:ascii="Arial Narrow" w:hAnsi="Arial Narrow" w:cs="Arial Narrow"/>
          <w:b/>
          <w:bCs/>
        </w:rPr>
        <w:t xml:space="preserve"> </w:t>
      </w:r>
      <w:r w:rsidRPr="004F5613">
        <w:rPr>
          <w:rFonts w:ascii="Arial Narrow" w:hAnsi="Arial Narrow" w:cs="Arial Narrow"/>
          <w:bCs/>
        </w:rPr>
        <w:t>7,8</w:t>
      </w:r>
      <w:r w:rsidR="007D5F67">
        <w:rPr>
          <w:rFonts w:ascii="Arial Narrow" w:hAnsi="Arial Narrow" w:cs="Arial Narrow"/>
          <w:bCs/>
        </w:rPr>
        <w:t>4</w:t>
      </w:r>
      <w:r w:rsidR="004F5613">
        <w:rPr>
          <w:rFonts w:ascii="Arial Narrow" w:hAnsi="Arial Narrow" w:cs="Arial Narrow"/>
          <w:bCs/>
        </w:rPr>
        <w:t> </w:t>
      </w:r>
      <w:r w:rsidR="004F5613">
        <w:rPr>
          <w:rFonts w:ascii="Arial Narrow" w:hAnsi="Arial Narrow" w:cs="Arial Narrow"/>
          <w:bCs/>
        </w:rPr>
        <w:t>% </w:t>
      </w:r>
      <w:r w:rsidRPr="004F5613">
        <w:rPr>
          <w:rFonts w:ascii="Arial Narrow" w:hAnsi="Arial Narrow" w:cs="Arial Narrow"/>
          <w:bCs/>
        </w:rPr>
        <w:t> </w:t>
      </w:r>
      <w:r w:rsidRPr="004F5613">
        <w:rPr>
          <w:rFonts w:ascii="Arial Narrow" w:hAnsi="Arial Narrow" w:cs="Arial Narrow"/>
          <w:bCs/>
        </w:rPr>
        <w:t>HDP</w:t>
      </w:r>
      <w:r w:rsidRPr="004F5613">
        <w:rPr>
          <w:rFonts w:ascii="Arial Narrow" w:hAnsi="Arial Narrow" w:cs="Arial Narrow"/>
        </w:rPr>
        <w:t>.</w:t>
      </w:r>
      <w:r w:rsidR="007D5F67">
        <w:rPr>
          <w:rFonts w:ascii="Arial Narrow" w:hAnsi="Arial Narrow" w:cs="Arial Narrow" w:hint="default"/>
        </w:rPr>
        <w:t xml:space="preserve"> Tento odhad ď</w:t>
      </w:r>
      <w:r w:rsidR="007D5F67">
        <w:rPr>
          <w:rFonts w:ascii="Arial Narrow" w:hAnsi="Arial Narrow" w:cs="Arial Narrow" w:hint="default"/>
        </w:rPr>
        <w:t>alej môž</w:t>
      </w:r>
      <w:r w:rsidR="007D5F67">
        <w:rPr>
          <w:rFonts w:ascii="Arial Narrow" w:hAnsi="Arial Narrow" w:cs="Arial Narrow" w:hint="default"/>
        </w:rPr>
        <w:t>e byť</w:t>
      </w:r>
      <w:r w:rsidR="007D5F67">
        <w:rPr>
          <w:rFonts w:ascii="Arial Narrow" w:hAnsi="Arial Narrow" w:cs="Arial Narrow" w:hint="default"/>
        </w:rPr>
        <w:t xml:space="preserve"> negatí</w:t>
      </w:r>
      <w:r w:rsidR="007D5F67">
        <w:rPr>
          <w:rFonts w:ascii="Arial Narrow" w:hAnsi="Arial Narrow" w:cs="Arial Narrow" w:hint="default"/>
        </w:rPr>
        <w:t>vne ovplyvnený</w:t>
      </w:r>
      <w:r w:rsidR="007D5F67">
        <w:rPr>
          <w:rFonts w:ascii="Arial Narrow" w:hAnsi="Arial Narrow" w:cs="Arial Narrow" w:hint="default"/>
        </w:rPr>
        <w:t xml:space="preserve"> hospodá</w:t>
      </w:r>
      <w:r w:rsidR="007D5F67">
        <w:rPr>
          <w:rFonts w:ascii="Arial Narrow" w:hAnsi="Arial Narrow" w:cs="Arial Narrow" w:hint="default"/>
        </w:rPr>
        <w:t>rení</w:t>
      </w:r>
      <w:r w:rsidR="007D5F67">
        <w:rPr>
          <w:rFonts w:ascii="Arial Narrow" w:hAnsi="Arial Narrow" w:cs="Arial Narrow" w:hint="default"/>
        </w:rPr>
        <w:t>m ú</w:t>
      </w:r>
      <w:r w:rsidR="007D5F67">
        <w:rPr>
          <w:rFonts w:ascii="Arial Narrow" w:hAnsi="Arial Narrow" w:cs="Arial Narrow" w:hint="default"/>
        </w:rPr>
        <w:t>zemnej samosprá</w:t>
      </w:r>
      <w:r w:rsidR="007D5F67">
        <w:rPr>
          <w:rFonts w:ascii="Arial Narrow" w:hAnsi="Arial Narrow" w:cs="Arial Narrow" w:hint="default"/>
        </w:rPr>
        <w:t>vy, medziroč</w:t>
      </w:r>
      <w:r w:rsidR="007D5F67">
        <w:rPr>
          <w:rFonts w:ascii="Arial Narrow" w:hAnsi="Arial Narrow" w:cs="Arial Narrow" w:hint="default"/>
        </w:rPr>
        <w:t>nou zmenou stavu pohľ</w:t>
      </w:r>
      <w:r w:rsidR="007D5F67">
        <w:rPr>
          <w:rFonts w:ascii="Arial Narrow" w:hAnsi="Arial Narrow" w:cs="Arial Narrow" w:hint="default"/>
        </w:rPr>
        <w:t>adá</w:t>
      </w:r>
      <w:r w:rsidR="007D5F67">
        <w:rPr>
          <w:rFonts w:ascii="Arial Narrow" w:hAnsi="Arial Narrow" w:cs="Arial Narrow" w:hint="default"/>
        </w:rPr>
        <w:t>vok voč</w:t>
      </w:r>
      <w:r w:rsidR="007D5F67">
        <w:rPr>
          <w:rFonts w:ascii="Arial Narrow" w:hAnsi="Arial Narrow" w:cs="Arial Narrow" w:hint="default"/>
        </w:rPr>
        <w:t>i EÚ</w:t>
      </w:r>
      <w:r w:rsidR="007D5F67">
        <w:rPr>
          <w:rFonts w:ascii="Arial Narrow" w:hAnsi="Arial Narrow" w:cs="Arial Narrow" w:hint="default"/>
        </w:rPr>
        <w:t>, hospodá</w:t>
      </w:r>
      <w:r w:rsidR="007D5F67">
        <w:rPr>
          <w:rFonts w:ascii="Arial Narrow" w:hAnsi="Arial Narrow" w:cs="Arial Narrow" w:hint="default"/>
        </w:rPr>
        <w:t>rení</w:t>
      </w:r>
      <w:r w:rsidR="007D5F67">
        <w:rPr>
          <w:rFonts w:ascii="Arial Narrow" w:hAnsi="Arial Narrow" w:cs="Arial Narrow" w:hint="default"/>
        </w:rPr>
        <w:t>m verejné</w:t>
      </w:r>
      <w:r w:rsidR="007D5F67">
        <w:rPr>
          <w:rFonts w:ascii="Arial Narrow" w:hAnsi="Arial Narrow" w:cs="Arial Narrow" w:hint="default"/>
        </w:rPr>
        <w:t>ho zdravotné</w:t>
      </w:r>
      <w:r w:rsidR="007D5F67">
        <w:rPr>
          <w:rFonts w:ascii="Arial Narrow" w:hAnsi="Arial Narrow" w:cs="Arial Narrow" w:hint="default"/>
        </w:rPr>
        <w:t>ho poisten</w:t>
      </w:r>
      <w:r w:rsidR="007D5F67">
        <w:rPr>
          <w:rFonts w:ascii="Arial Narrow" w:hAnsi="Arial Narrow" w:cs="Arial Narrow" w:hint="default"/>
        </w:rPr>
        <w:t>ia a hospodá</w:t>
      </w:r>
      <w:r w:rsidR="007D5F67">
        <w:rPr>
          <w:rFonts w:ascii="Arial Narrow" w:hAnsi="Arial Narrow" w:cs="Arial Narrow" w:hint="default"/>
        </w:rPr>
        <w:t>rení</w:t>
      </w:r>
      <w:r w:rsidR="007D5F67">
        <w:rPr>
          <w:rFonts w:ascii="Arial Narrow" w:hAnsi="Arial Narrow" w:cs="Arial Narrow" w:hint="default"/>
        </w:rPr>
        <w:t>m Slovenskej televí</w:t>
      </w:r>
      <w:r w:rsidR="007D5F67">
        <w:rPr>
          <w:rFonts w:ascii="Arial Narrow" w:hAnsi="Arial Narrow" w:cs="Arial Narrow" w:hint="default"/>
        </w:rPr>
        <w:t>zie.</w:t>
      </w:r>
    </w:p>
    <w:p w:rsidR="007F78B1" w:rsidP="003A58B0">
      <w:pPr>
        <w:bidi w:val="0"/>
        <w:spacing w:line="240" w:lineRule="auto"/>
        <w:ind w:firstLine="709"/>
        <w:rPr>
          <w:rFonts w:ascii="Arial Narrow" w:hAnsi="Arial Narrow" w:cs="Arial Narrow"/>
        </w:rPr>
      </w:pPr>
      <w:r w:rsidRPr="009609F9">
        <w:rPr>
          <w:rFonts w:ascii="Arial Narrow" w:hAnsi="Arial Narrow" w:cs="Arial Narrow" w:hint="default"/>
        </w:rPr>
        <w:t>Na zá</w:t>
      </w:r>
      <w:r w:rsidRPr="009609F9">
        <w:rPr>
          <w:rFonts w:ascii="Arial Narrow" w:hAnsi="Arial Narrow" w:cs="Arial Narrow" w:hint="default"/>
        </w:rPr>
        <w:t>klade v </w:t>
      </w:r>
      <w:r w:rsidRPr="009609F9">
        <w:rPr>
          <w:rFonts w:ascii="Arial Narrow" w:hAnsi="Arial Narrow" w:cs="Arial Narrow" w:hint="default"/>
        </w:rPr>
        <w:t>súč</w:t>
      </w:r>
      <w:r w:rsidRPr="009609F9">
        <w:rPr>
          <w:rFonts w:ascii="Arial Narrow" w:hAnsi="Arial Narrow" w:cs="Arial Narrow" w:hint="default"/>
        </w:rPr>
        <w:t>asnosti dostupný</w:t>
      </w:r>
      <w:r w:rsidRPr="009609F9">
        <w:rPr>
          <w:rFonts w:ascii="Arial Narrow" w:hAnsi="Arial Narrow" w:cs="Arial Narrow" w:hint="default"/>
        </w:rPr>
        <w:t>ch informá</w:t>
      </w:r>
      <w:r w:rsidRPr="009609F9">
        <w:rPr>
          <w:rFonts w:ascii="Arial Narrow" w:hAnsi="Arial Narrow" w:cs="Arial Narrow" w:hint="default"/>
        </w:rPr>
        <w:t>cií</w:t>
      </w:r>
      <w:r w:rsidRPr="009609F9">
        <w:rPr>
          <w:rFonts w:ascii="Arial Narrow" w:hAnsi="Arial Narrow" w:cs="Arial Narrow" w:hint="default"/>
        </w:rPr>
        <w:t xml:space="preserve"> sa oč</w:t>
      </w:r>
      <w:r w:rsidRPr="009609F9">
        <w:rPr>
          <w:rFonts w:ascii="Arial Narrow" w:hAnsi="Arial Narrow" w:cs="Arial Narrow" w:hint="default"/>
        </w:rPr>
        <w:t>aká</w:t>
      </w:r>
      <w:r w:rsidRPr="009609F9">
        <w:rPr>
          <w:rFonts w:ascii="Arial Narrow" w:hAnsi="Arial Narrow" w:cs="Arial Narrow" w:hint="default"/>
        </w:rPr>
        <w:t>va, ž</w:t>
      </w:r>
      <w:r w:rsidRPr="009609F9">
        <w:rPr>
          <w:rFonts w:ascii="Arial Narrow" w:hAnsi="Arial Narrow" w:cs="Arial Narrow" w:hint="default"/>
        </w:rPr>
        <w:t>e š</w:t>
      </w:r>
      <w:r w:rsidRPr="009609F9">
        <w:rPr>
          <w:rFonts w:ascii="Arial Narrow" w:hAnsi="Arial Narrow" w:cs="Arial Narrow" w:hint="default"/>
        </w:rPr>
        <w:t>tá</w:t>
      </w:r>
      <w:r w:rsidRPr="009609F9">
        <w:rPr>
          <w:rFonts w:ascii="Arial Narrow" w:hAnsi="Arial Narrow" w:cs="Arial Narrow" w:hint="default"/>
        </w:rPr>
        <w:t>tny rozpoč</w:t>
      </w:r>
      <w:r w:rsidRPr="009609F9">
        <w:rPr>
          <w:rFonts w:ascii="Arial Narrow" w:hAnsi="Arial Narrow" w:cs="Arial Narrow" w:hint="default"/>
        </w:rPr>
        <w:t>et prispeje k </w:t>
      </w:r>
      <w:r w:rsidRPr="009609F9">
        <w:rPr>
          <w:rFonts w:ascii="Arial Narrow" w:hAnsi="Arial Narrow" w:cs="Arial Narrow" w:hint="default"/>
        </w:rPr>
        <w:t>zvýš</w:t>
      </w:r>
      <w:r w:rsidRPr="009609F9">
        <w:rPr>
          <w:rFonts w:ascii="Arial Narrow" w:hAnsi="Arial Narrow" w:cs="Arial Narrow" w:hint="default"/>
        </w:rPr>
        <w:t xml:space="preserve">eniu deficitu sumou </w:t>
      </w:r>
      <w:r w:rsidRPr="009609F9" w:rsidR="00E31A35">
        <w:rPr>
          <w:rFonts w:ascii="Arial Narrow" w:hAnsi="Arial Narrow" w:cs="Arial Narrow"/>
        </w:rPr>
        <w:t>742,4</w:t>
      </w:r>
      <w:r w:rsidRPr="009609F9">
        <w:rPr>
          <w:rFonts w:ascii="Arial Narrow" w:hAnsi="Arial Narrow" w:cs="Arial Narrow"/>
        </w:rPr>
        <w:t xml:space="preserve"> mil. </w:t>
      </w:r>
      <w:r w:rsidRPr="009609F9" w:rsidR="004F5613">
        <w:rPr>
          <w:rFonts w:ascii="Arial Narrow" w:hAnsi="Arial Narrow" w:cs="Arial Narrow"/>
        </w:rPr>
        <w:t>e</w:t>
      </w:r>
      <w:r w:rsidRPr="009609F9">
        <w:rPr>
          <w:rFonts w:ascii="Arial Narrow" w:hAnsi="Arial Narrow" w:cs="Arial Narrow" w:hint="default"/>
        </w:rPr>
        <w:t>ur. Okrem toho sa oč</w:t>
      </w:r>
      <w:r w:rsidRPr="009609F9">
        <w:rPr>
          <w:rFonts w:ascii="Arial Narrow" w:hAnsi="Arial Narrow" w:cs="Arial Narrow" w:hint="default"/>
        </w:rPr>
        <w:t>aká</w:t>
      </w:r>
      <w:r w:rsidRPr="009609F9">
        <w:rPr>
          <w:rFonts w:ascii="Arial Narrow" w:hAnsi="Arial Narrow" w:cs="Arial Narrow" w:hint="default"/>
        </w:rPr>
        <w:t>va horší</w:t>
      </w:r>
      <w:r w:rsidRPr="009609F9">
        <w:rPr>
          <w:rFonts w:ascii="Arial Narrow" w:hAnsi="Arial Narrow" w:cs="Arial Narrow" w:hint="default"/>
        </w:rPr>
        <w:t xml:space="preserve"> vý</w:t>
      </w:r>
      <w:r w:rsidRPr="009609F9">
        <w:rPr>
          <w:rFonts w:ascii="Arial Narrow" w:hAnsi="Arial Narrow" w:cs="Arial Narrow" w:hint="default"/>
        </w:rPr>
        <w:t>sledok hospodá</w:t>
      </w:r>
      <w:r w:rsidRPr="009609F9">
        <w:rPr>
          <w:rFonts w:ascii="Arial Narrow" w:hAnsi="Arial Narrow" w:cs="Arial Narrow" w:hint="default"/>
        </w:rPr>
        <w:t>renia Sociá</w:t>
      </w:r>
      <w:r w:rsidRPr="009609F9">
        <w:rPr>
          <w:rFonts w:ascii="Arial Narrow" w:hAnsi="Arial Narrow" w:cs="Arial Narrow" w:hint="default"/>
        </w:rPr>
        <w:t>lnej poisť</w:t>
      </w:r>
      <w:r w:rsidRPr="009609F9">
        <w:rPr>
          <w:rFonts w:ascii="Arial Narrow" w:hAnsi="Arial Narrow" w:cs="Arial Narrow" w:hint="default"/>
        </w:rPr>
        <w:t>ovne o</w:t>
      </w:r>
      <w:r w:rsidRPr="009609F9" w:rsidR="00E31A35">
        <w:rPr>
          <w:rFonts w:ascii="Arial Narrow" w:hAnsi="Arial Narrow" w:cs="Arial Narrow"/>
        </w:rPr>
        <w:t> </w:t>
      </w:r>
      <w:r w:rsidRPr="009609F9" w:rsidR="00E31A35">
        <w:rPr>
          <w:rFonts w:ascii="Arial Narrow" w:hAnsi="Arial Narrow" w:cs="Arial Narrow"/>
        </w:rPr>
        <w:t>39,4</w:t>
      </w:r>
      <w:r w:rsidRPr="009609F9">
        <w:rPr>
          <w:rFonts w:ascii="Arial Narrow" w:hAnsi="Arial Narrow" w:cs="Arial Narrow"/>
        </w:rPr>
        <w:t xml:space="preserve"> mil. </w:t>
      </w:r>
      <w:r w:rsidRPr="009609F9" w:rsidR="004F5613">
        <w:rPr>
          <w:rFonts w:ascii="Arial Narrow" w:hAnsi="Arial Narrow" w:cs="Arial Narrow"/>
        </w:rPr>
        <w:t>e</w:t>
      </w:r>
      <w:r w:rsidRPr="009609F9">
        <w:rPr>
          <w:rFonts w:ascii="Arial Narrow" w:hAnsi="Arial Narrow" w:cs="Arial Narrow"/>
        </w:rPr>
        <w:t>ur, h</w:t>
      </w:r>
      <w:r w:rsidRPr="009609F9">
        <w:rPr>
          <w:rFonts w:ascii="Arial Narrow" w:hAnsi="Arial Narrow" w:cs="Arial Narrow" w:hint="default"/>
        </w:rPr>
        <w:t>orš</w:t>
      </w:r>
      <w:r w:rsidRPr="009609F9">
        <w:rPr>
          <w:rFonts w:ascii="Arial Narrow" w:hAnsi="Arial Narrow" w:cs="Arial Narrow" w:hint="default"/>
        </w:rPr>
        <w:t>ie hospodá</w:t>
      </w:r>
      <w:r w:rsidRPr="009609F9">
        <w:rPr>
          <w:rFonts w:ascii="Arial Narrow" w:hAnsi="Arial Narrow" w:cs="Arial Narrow" w:hint="default"/>
        </w:rPr>
        <w:t>renie obcí</w:t>
      </w:r>
      <w:r w:rsidRPr="009609F9">
        <w:rPr>
          <w:rFonts w:ascii="Arial Narrow" w:hAnsi="Arial Narrow" w:cs="Arial Narrow" w:hint="default"/>
        </w:rPr>
        <w:t xml:space="preserve"> a </w:t>
      </w:r>
      <w:r w:rsidRPr="009609F9">
        <w:rPr>
          <w:rFonts w:ascii="Arial Narrow" w:hAnsi="Arial Narrow" w:cs="Arial Narrow" w:hint="default"/>
        </w:rPr>
        <w:t>vyšší</w:t>
      </w:r>
      <w:r w:rsidRPr="009609F9">
        <w:rPr>
          <w:rFonts w:ascii="Arial Narrow" w:hAnsi="Arial Narrow" w:cs="Arial Narrow" w:hint="default"/>
        </w:rPr>
        <w:t>ch ú</w:t>
      </w:r>
      <w:r w:rsidRPr="009609F9">
        <w:rPr>
          <w:rFonts w:ascii="Arial Narrow" w:hAnsi="Arial Narrow" w:cs="Arial Narrow" w:hint="default"/>
        </w:rPr>
        <w:t>zemný</w:t>
      </w:r>
      <w:r w:rsidRPr="009609F9">
        <w:rPr>
          <w:rFonts w:ascii="Arial Narrow" w:hAnsi="Arial Narrow" w:cs="Arial Narrow" w:hint="default"/>
        </w:rPr>
        <w:t xml:space="preserve">ch celkov o 404,0 mil. </w:t>
      </w:r>
      <w:r w:rsidRPr="009609F9" w:rsidR="004F5613">
        <w:rPr>
          <w:rFonts w:ascii="Arial Narrow" w:hAnsi="Arial Narrow" w:cs="Arial Narrow"/>
        </w:rPr>
        <w:t>e</w:t>
      </w:r>
      <w:r w:rsidRPr="009609F9">
        <w:rPr>
          <w:rFonts w:ascii="Arial Narrow" w:hAnsi="Arial Narrow" w:cs="Arial Narrow"/>
        </w:rPr>
        <w:t>ur, </w:t>
      </w:r>
      <w:r w:rsidRPr="009609F9">
        <w:rPr>
          <w:rFonts w:ascii="Arial Narrow" w:hAnsi="Arial Narrow" w:cs="Arial Narrow" w:hint="default"/>
        </w:rPr>
        <w:t>zhorš</w:t>
      </w:r>
      <w:r w:rsidRPr="009609F9">
        <w:rPr>
          <w:rFonts w:ascii="Arial Narrow" w:hAnsi="Arial Narrow" w:cs="Arial Narrow" w:hint="default"/>
        </w:rPr>
        <w:t>enie bilancie Fondu ná</w:t>
      </w:r>
      <w:r w:rsidRPr="009609F9">
        <w:rPr>
          <w:rFonts w:ascii="Arial Narrow" w:hAnsi="Arial Narrow" w:cs="Arial Narrow" w:hint="default"/>
        </w:rPr>
        <w:t>rodné</w:t>
      </w:r>
      <w:r w:rsidRPr="009609F9">
        <w:rPr>
          <w:rFonts w:ascii="Arial Narrow" w:hAnsi="Arial Narrow" w:cs="Arial Narrow" w:hint="default"/>
        </w:rPr>
        <w:t xml:space="preserve">ho majetku SR o 202,2 mil. </w:t>
      </w:r>
      <w:r w:rsidRPr="009609F9" w:rsidR="004F5613">
        <w:rPr>
          <w:rFonts w:ascii="Arial Narrow" w:hAnsi="Arial Narrow" w:cs="Arial Narrow"/>
        </w:rPr>
        <w:t>e</w:t>
      </w:r>
      <w:r w:rsidRPr="009609F9">
        <w:rPr>
          <w:rFonts w:ascii="Arial Narrow" w:hAnsi="Arial Narrow" w:cs="Arial Narrow"/>
        </w:rPr>
        <w:t>ur a </w:t>
      </w:r>
      <w:r w:rsidRPr="009609F9">
        <w:rPr>
          <w:rFonts w:ascii="Arial Narrow" w:hAnsi="Arial Narrow" w:cs="Arial Narrow" w:hint="default"/>
        </w:rPr>
        <w:t>horší</w:t>
      </w:r>
      <w:r w:rsidRPr="009609F9">
        <w:rPr>
          <w:rFonts w:ascii="Arial Narrow" w:hAnsi="Arial Narrow" w:cs="Arial Narrow" w:hint="default"/>
        </w:rPr>
        <w:t xml:space="preserve"> vý</w:t>
      </w:r>
      <w:r w:rsidRPr="009609F9">
        <w:rPr>
          <w:rFonts w:ascii="Arial Narrow" w:hAnsi="Arial Narrow" w:cs="Arial Narrow" w:hint="default"/>
        </w:rPr>
        <w:t>sledok hospodá</w:t>
      </w:r>
      <w:r w:rsidRPr="009609F9">
        <w:rPr>
          <w:rFonts w:ascii="Arial Narrow" w:hAnsi="Arial Narrow" w:cs="Arial Narrow" w:hint="default"/>
        </w:rPr>
        <w:t>renia š</w:t>
      </w:r>
      <w:r w:rsidRPr="009609F9">
        <w:rPr>
          <w:rFonts w:ascii="Arial Narrow" w:hAnsi="Arial Narrow" w:cs="Arial Narrow" w:hint="default"/>
        </w:rPr>
        <w:t>tá</w:t>
      </w:r>
      <w:r w:rsidRPr="009609F9">
        <w:rPr>
          <w:rFonts w:ascii="Arial Narrow" w:hAnsi="Arial Narrow" w:cs="Arial Narrow" w:hint="default"/>
        </w:rPr>
        <w:t>tnych fondov o</w:t>
      </w:r>
      <w:r w:rsidRPr="009609F9" w:rsidR="00E31A35">
        <w:rPr>
          <w:rFonts w:ascii="Arial Narrow" w:hAnsi="Arial Narrow" w:cs="Arial Narrow"/>
        </w:rPr>
        <w:t> </w:t>
      </w:r>
      <w:r w:rsidRPr="009609F9">
        <w:rPr>
          <w:rFonts w:ascii="Arial Narrow" w:hAnsi="Arial Narrow" w:cs="Arial Narrow"/>
        </w:rPr>
        <w:t>8</w:t>
      </w:r>
      <w:r w:rsidRPr="009609F9" w:rsidR="00E31A35">
        <w:rPr>
          <w:rFonts w:ascii="Arial Narrow" w:hAnsi="Arial Narrow" w:cs="Arial Narrow"/>
        </w:rPr>
        <w:t>6,1</w:t>
      </w:r>
      <w:r w:rsidRPr="009609F9">
        <w:rPr>
          <w:rFonts w:ascii="Arial Narrow" w:hAnsi="Arial Narrow" w:cs="Arial Narrow"/>
        </w:rPr>
        <w:t xml:space="preserve"> mil. </w:t>
      </w:r>
      <w:r w:rsidRPr="009609F9" w:rsidR="004F5613">
        <w:rPr>
          <w:rFonts w:ascii="Arial Narrow" w:hAnsi="Arial Narrow" w:cs="Arial Narrow"/>
        </w:rPr>
        <w:t>e</w:t>
      </w:r>
      <w:r w:rsidRPr="009609F9">
        <w:rPr>
          <w:rFonts w:ascii="Arial Narrow" w:hAnsi="Arial Narrow" w:cs="Arial Narrow" w:hint="default"/>
        </w:rPr>
        <w:t>ur. Lepší</w:t>
      </w:r>
      <w:r w:rsidRPr="009609F9">
        <w:rPr>
          <w:rFonts w:ascii="Arial Narrow" w:hAnsi="Arial Narrow" w:cs="Arial Narrow" w:hint="default"/>
        </w:rPr>
        <w:t xml:space="preserve"> vý</w:t>
      </w:r>
      <w:r w:rsidRPr="009609F9">
        <w:rPr>
          <w:rFonts w:ascii="Arial Narrow" w:hAnsi="Arial Narrow" w:cs="Arial Narrow" w:hint="default"/>
        </w:rPr>
        <w:t>voj š</w:t>
      </w:r>
      <w:r w:rsidRPr="009609F9">
        <w:rPr>
          <w:rFonts w:ascii="Arial Narrow" w:hAnsi="Arial Narrow" w:cs="Arial Narrow" w:hint="default"/>
        </w:rPr>
        <w:t>tá</w:t>
      </w:r>
      <w:r w:rsidRPr="009609F9">
        <w:rPr>
          <w:rFonts w:ascii="Arial Narrow" w:hAnsi="Arial Narrow" w:cs="Arial Narrow" w:hint="default"/>
        </w:rPr>
        <w:t>tnych finanč</w:t>
      </w:r>
      <w:r w:rsidRPr="009609F9">
        <w:rPr>
          <w:rFonts w:ascii="Arial Narrow" w:hAnsi="Arial Narrow" w:cs="Arial Narrow" w:hint="default"/>
        </w:rPr>
        <w:t>ný</w:t>
      </w:r>
      <w:r w:rsidRPr="009609F9">
        <w:rPr>
          <w:rFonts w:ascii="Arial Narrow" w:hAnsi="Arial Narrow" w:cs="Arial Narrow" w:hint="default"/>
        </w:rPr>
        <w:t>ch aktí</w:t>
      </w:r>
      <w:r w:rsidRPr="009609F9">
        <w:rPr>
          <w:rFonts w:ascii="Arial Narrow" w:hAnsi="Arial Narrow" w:cs="Arial Narrow" w:hint="default"/>
        </w:rPr>
        <w:t>v bude mať</w:t>
      </w:r>
      <w:r w:rsidRPr="009609F9">
        <w:rPr>
          <w:rFonts w:ascii="Arial Narrow" w:hAnsi="Arial Narrow" w:cs="Arial Narrow" w:hint="default"/>
        </w:rPr>
        <w:t xml:space="preserve"> pozití</w:t>
      </w:r>
      <w:r w:rsidRPr="009609F9">
        <w:rPr>
          <w:rFonts w:ascii="Arial Narrow" w:hAnsi="Arial Narrow" w:cs="Arial Narrow" w:hint="default"/>
        </w:rPr>
        <w:t>vny vplyv</w:t>
      </w:r>
      <w:r w:rsidRPr="009609F9">
        <w:rPr>
          <w:rFonts w:ascii="Arial Narrow" w:hAnsi="Arial Narrow" w:cs="Arial Narrow" w:hint="default"/>
        </w:rPr>
        <w:t xml:space="preserve"> na deficit vo výš</w:t>
      </w:r>
      <w:r w:rsidRPr="009609F9">
        <w:rPr>
          <w:rFonts w:ascii="Arial Narrow" w:hAnsi="Arial Narrow" w:cs="Arial Narrow" w:hint="default"/>
        </w:rPr>
        <w:t>ke 6</w:t>
      </w:r>
      <w:r w:rsidRPr="009609F9" w:rsidR="00E31A35">
        <w:rPr>
          <w:rFonts w:ascii="Arial Narrow" w:hAnsi="Arial Narrow" w:cs="Arial Narrow"/>
        </w:rPr>
        <w:t>3,5</w:t>
      </w:r>
      <w:r w:rsidRPr="009609F9">
        <w:rPr>
          <w:rFonts w:ascii="Arial Narrow" w:hAnsi="Arial Narrow" w:cs="Arial Narrow"/>
        </w:rPr>
        <w:t xml:space="preserve"> mil. </w:t>
      </w:r>
      <w:r w:rsidRPr="009609F9" w:rsidR="004F5613">
        <w:rPr>
          <w:rFonts w:ascii="Arial Narrow" w:hAnsi="Arial Narrow" w:cs="Arial Narrow"/>
        </w:rPr>
        <w:t>e</w:t>
      </w:r>
      <w:r w:rsidRPr="009609F9">
        <w:rPr>
          <w:rFonts w:ascii="Arial Narrow" w:hAnsi="Arial Narrow" w:cs="Arial Narrow"/>
        </w:rPr>
        <w:t>ur.</w:t>
      </w:r>
    </w:p>
    <w:p w:rsidR="003A58B0" w:rsidP="003A58B0">
      <w:pPr>
        <w:bidi w:val="0"/>
        <w:spacing w:after="0" w:line="240" w:lineRule="auto"/>
        <w:ind w:firstLine="709"/>
        <w:rPr>
          <w:rFonts w:ascii="Arial Narrow" w:hAnsi="Arial Narrow" w:cs="Arial Narrow"/>
        </w:rPr>
      </w:pPr>
    </w:p>
    <w:tbl>
      <w:tblPr>
        <w:tblStyle w:val="TableNormal"/>
        <w:tblW w:w="8657" w:type="dxa"/>
        <w:jc w:val="center"/>
        <w:tblInd w:w="-776" w:type="dxa"/>
        <w:tblCellMar>
          <w:left w:w="70" w:type="dxa"/>
          <w:right w:w="70" w:type="dxa"/>
        </w:tblCellMar>
      </w:tblPr>
      <w:tblGrid>
        <w:gridCol w:w="5680"/>
        <w:gridCol w:w="1456"/>
        <w:gridCol w:w="1521"/>
      </w:tblGrid>
      <w:tr>
        <w:tblPrEx>
          <w:tblW w:w="8657" w:type="dxa"/>
          <w:jc w:val="center"/>
          <w:tblInd w:w="-776" w:type="dxa"/>
          <w:tblCellMar>
            <w:left w:w="70" w:type="dxa"/>
            <w:right w:w="70" w:type="dxa"/>
          </w:tblCellMar>
        </w:tblPrEx>
        <w:trPr>
          <w:trHeight w:val="270"/>
          <w:jc w:val="center"/>
        </w:trPr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 w:hint="default"/>
                <w:b/>
                <w:bCs/>
                <w:sz w:val="18"/>
                <w:szCs w:val="18"/>
              </w:rPr>
              <w:t>Predbež</w:t>
            </w:r>
            <w:r>
              <w:rPr>
                <w:rFonts w:ascii="Arial Narrow" w:hAnsi="Arial Narrow" w:cs="Arial" w:hint="default"/>
                <w:b/>
                <w:bCs/>
                <w:sz w:val="18"/>
                <w:szCs w:val="18"/>
              </w:rPr>
              <w:t>ný</w:t>
            </w:r>
            <w:r>
              <w:rPr>
                <w:rFonts w:ascii="Arial Narrow" w:hAnsi="Arial Narrow" w:cs="Arial" w:hint="default"/>
                <w:b/>
                <w:bCs/>
                <w:sz w:val="18"/>
                <w:szCs w:val="18"/>
              </w:rPr>
              <w:t xml:space="preserve"> odhad salda verejnej sprá</w:t>
            </w:r>
            <w:r>
              <w:rPr>
                <w:rFonts w:ascii="Arial Narrow" w:hAnsi="Arial Narrow" w:cs="Arial" w:hint="default"/>
                <w:b/>
                <w:bCs/>
                <w:sz w:val="18"/>
                <w:szCs w:val="18"/>
              </w:rPr>
              <w:t xml:space="preserve">vy za rok 2010 </w:t>
            </w:r>
            <w:r>
              <w:rPr>
                <w:rFonts w:ascii="Arial Narrow" w:hAnsi="Arial Narrow" w:cs="Arial"/>
                <w:sz w:val="18"/>
                <w:szCs w:val="18"/>
              </w:rPr>
              <w:t>(ESA 95)</w:t>
            </w:r>
          </w:p>
        </w:tc>
      </w:tr>
      <w:tr>
        <w:tblPrEx>
          <w:tblW w:w="8657" w:type="dxa"/>
          <w:jc w:val="center"/>
          <w:tblInd w:w="-776" w:type="dxa"/>
          <w:tblCellMar>
            <w:left w:w="70" w:type="dxa"/>
            <w:right w:w="70" w:type="dxa"/>
          </w:tblCellMar>
        </w:tblPrEx>
        <w:trPr>
          <w:trHeight w:val="285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mil. eur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% HDP</w:t>
            </w:r>
          </w:p>
        </w:tc>
      </w:tr>
      <w:tr>
        <w:tblPrEx>
          <w:tblW w:w="8657" w:type="dxa"/>
          <w:jc w:val="center"/>
          <w:tblInd w:w="-776" w:type="dxa"/>
          <w:tblCellMar>
            <w:left w:w="70" w:type="dxa"/>
            <w:right w:w="70" w:type="dxa"/>
          </w:tblCellMar>
        </w:tblPrEx>
        <w:trPr>
          <w:trHeight w:val="270"/>
          <w:jc w:val="center"/>
        </w:trPr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rPr>
                <w:rFonts w:ascii="Arial Narrow" w:hAnsi="Arial Narrow" w:cs="Arial" w:hint="default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 w:hint="default"/>
                <w:b/>
                <w:bCs/>
                <w:sz w:val="18"/>
                <w:szCs w:val="18"/>
              </w:rPr>
              <w:t>Schodok VS po schvá</w:t>
            </w:r>
            <w:r>
              <w:rPr>
                <w:rFonts w:ascii="Arial Narrow" w:hAnsi="Arial Narrow" w:cs="Arial" w:hint="default"/>
                <w:b/>
                <w:bCs/>
                <w:sz w:val="18"/>
                <w:szCs w:val="18"/>
              </w:rPr>
              <w:t>lení</w:t>
            </w:r>
            <w:r>
              <w:rPr>
                <w:rFonts w:ascii="Arial Narrow" w:hAnsi="Arial Narrow" w:cs="Arial" w:hint="default"/>
                <w:b/>
                <w:bCs/>
                <w:sz w:val="18"/>
                <w:szCs w:val="18"/>
              </w:rPr>
              <w:t xml:space="preserve"> jednotlivý</w:t>
            </w:r>
            <w:r>
              <w:rPr>
                <w:rFonts w:ascii="Arial Narrow" w:hAnsi="Arial Narrow" w:cs="Arial" w:hint="default"/>
                <w:b/>
                <w:bCs/>
                <w:sz w:val="18"/>
                <w:szCs w:val="18"/>
              </w:rPr>
              <w:t>ch rozpoč</w:t>
            </w:r>
            <w:r>
              <w:rPr>
                <w:rFonts w:ascii="Arial Narrow" w:hAnsi="Arial Narrow" w:cs="Arial" w:hint="default"/>
                <w:b/>
                <w:bCs/>
                <w:sz w:val="18"/>
                <w:szCs w:val="18"/>
              </w:rPr>
              <w:t>tov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-3 705,8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-5,50</w:t>
            </w:r>
          </w:p>
        </w:tc>
      </w:tr>
      <w:tr>
        <w:tblPrEx>
          <w:tblW w:w="8657" w:type="dxa"/>
          <w:jc w:val="center"/>
          <w:tblInd w:w="-776" w:type="dxa"/>
          <w:tblCellMar>
            <w:left w:w="70" w:type="dxa"/>
            <w:right w:w="70" w:type="dxa"/>
          </w:tblCellMar>
        </w:tblPrEx>
        <w:trPr>
          <w:trHeight w:val="270"/>
          <w:jc w:val="center"/>
        </w:trPr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rPr>
                <w:rFonts w:ascii="Arial Narrow" w:hAnsi="Arial Narrow" w:cs="Arial" w:hint="default"/>
                <w:sz w:val="18"/>
                <w:szCs w:val="18"/>
              </w:rPr>
            </w:pPr>
            <w:r>
              <w:rPr>
                <w:rFonts w:ascii="Arial Narrow" w:hAnsi="Arial Narrow" w:cs="Arial" w:hint="default"/>
                <w:sz w:val="18"/>
                <w:szCs w:val="18"/>
              </w:rPr>
              <w:t>Š</w:t>
            </w:r>
            <w:r>
              <w:rPr>
                <w:rFonts w:ascii="Arial Narrow" w:hAnsi="Arial Narrow" w:cs="Arial" w:hint="default"/>
                <w:sz w:val="18"/>
                <w:szCs w:val="18"/>
              </w:rPr>
              <w:t>tá</w:t>
            </w:r>
            <w:r>
              <w:rPr>
                <w:rFonts w:ascii="Arial Narrow" w:hAnsi="Arial Narrow" w:cs="Arial" w:hint="default"/>
                <w:sz w:val="18"/>
                <w:szCs w:val="18"/>
              </w:rPr>
              <w:t>tny rozpoč</w:t>
            </w:r>
            <w:r>
              <w:rPr>
                <w:rFonts w:ascii="Arial Narrow" w:hAnsi="Arial Narrow" w:cs="Arial" w:hint="default"/>
                <w:sz w:val="18"/>
                <w:szCs w:val="18"/>
              </w:rPr>
              <w:t>et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-742,4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-1,13</w:t>
            </w:r>
          </w:p>
        </w:tc>
      </w:tr>
      <w:tr>
        <w:tblPrEx>
          <w:tblW w:w="8657" w:type="dxa"/>
          <w:jc w:val="center"/>
          <w:tblInd w:w="-776" w:type="dxa"/>
          <w:tblCellMar>
            <w:left w:w="70" w:type="dxa"/>
            <w:right w:w="70" w:type="dxa"/>
          </w:tblCellMar>
        </w:tblPrEx>
        <w:trPr>
          <w:trHeight w:val="270"/>
          <w:jc w:val="center"/>
        </w:trPr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rPr>
                <w:rFonts w:ascii="Arial Narrow" w:hAnsi="Arial Narrow" w:cs="Arial" w:hint="default"/>
                <w:sz w:val="18"/>
                <w:szCs w:val="18"/>
              </w:rPr>
            </w:pPr>
            <w:r>
              <w:rPr>
                <w:rFonts w:ascii="Arial Narrow" w:hAnsi="Arial Narrow" w:cs="Arial" w:hint="default"/>
                <w:sz w:val="18"/>
                <w:szCs w:val="18"/>
              </w:rPr>
              <w:t>Š</w:t>
            </w:r>
            <w:r>
              <w:rPr>
                <w:rFonts w:ascii="Arial Narrow" w:hAnsi="Arial Narrow" w:cs="Arial" w:hint="default"/>
                <w:sz w:val="18"/>
                <w:szCs w:val="18"/>
              </w:rPr>
              <w:t>tá</w:t>
            </w:r>
            <w:r>
              <w:rPr>
                <w:rFonts w:ascii="Arial Narrow" w:hAnsi="Arial Narrow" w:cs="Arial" w:hint="default"/>
                <w:sz w:val="18"/>
                <w:szCs w:val="18"/>
              </w:rPr>
              <w:t>tne finanč</w:t>
            </w:r>
            <w:r>
              <w:rPr>
                <w:rFonts w:ascii="Arial Narrow" w:hAnsi="Arial Narrow" w:cs="Arial" w:hint="default"/>
                <w:sz w:val="18"/>
                <w:szCs w:val="18"/>
              </w:rPr>
              <w:t>né</w:t>
            </w:r>
            <w:r>
              <w:rPr>
                <w:rFonts w:ascii="Arial Narrow" w:hAnsi="Arial Narrow" w:cs="Arial" w:hint="default"/>
                <w:sz w:val="18"/>
                <w:szCs w:val="18"/>
              </w:rPr>
              <w:t xml:space="preserve"> aktí</w:t>
            </w:r>
            <w:r>
              <w:rPr>
                <w:rFonts w:ascii="Arial Narrow" w:hAnsi="Arial Narrow" w:cs="Arial" w:hint="default"/>
                <w:sz w:val="18"/>
                <w:szCs w:val="18"/>
              </w:rPr>
              <w:t>va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63,5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0,10</w:t>
            </w:r>
          </w:p>
        </w:tc>
      </w:tr>
      <w:tr>
        <w:tblPrEx>
          <w:tblW w:w="8657" w:type="dxa"/>
          <w:jc w:val="center"/>
          <w:tblInd w:w="-776" w:type="dxa"/>
          <w:tblCellMar>
            <w:left w:w="70" w:type="dxa"/>
            <w:right w:w="70" w:type="dxa"/>
          </w:tblCellMar>
        </w:tblPrEx>
        <w:trPr>
          <w:trHeight w:val="270"/>
          <w:jc w:val="center"/>
        </w:trPr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rPr>
                <w:rFonts w:ascii="Arial Narrow" w:hAnsi="Arial Narrow" w:cs="Arial" w:hint="default"/>
                <w:sz w:val="18"/>
                <w:szCs w:val="18"/>
              </w:rPr>
            </w:pPr>
            <w:r>
              <w:rPr>
                <w:rFonts w:ascii="Arial Narrow" w:hAnsi="Arial Narrow" w:cs="Arial" w:hint="default"/>
                <w:sz w:val="18"/>
                <w:szCs w:val="18"/>
              </w:rPr>
              <w:t>Mimorozpoč</w:t>
            </w:r>
            <w:r>
              <w:rPr>
                <w:rFonts w:ascii="Arial Narrow" w:hAnsi="Arial Narrow" w:cs="Arial" w:hint="default"/>
                <w:sz w:val="18"/>
                <w:szCs w:val="18"/>
              </w:rPr>
              <w:t>tové</w:t>
            </w:r>
            <w:r>
              <w:rPr>
                <w:rFonts w:ascii="Arial Narrow" w:hAnsi="Arial Narrow" w:cs="Arial" w:hint="default"/>
                <w:sz w:val="18"/>
                <w:szCs w:val="18"/>
              </w:rPr>
              <w:t xml:space="preserve"> úč</w:t>
            </w:r>
            <w:r>
              <w:rPr>
                <w:rFonts w:ascii="Arial Narrow" w:hAnsi="Arial Narrow" w:cs="Arial" w:hint="default"/>
                <w:sz w:val="18"/>
                <w:szCs w:val="18"/>
              </w:rPr>
              <w:t>ty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-5,5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-0,01</w:t>
            </w:r>
          </w:p>
        </w:tc>
      </w:tr>
      <w:tr>
        <w:tblPrEx>
          <w:tblW w:w="8657" w:type="dxa"/>
          <w:jc w:val="center"/>
          <w:tblInd w:w="-776" w:type="dxa"/>
          <w:tblCellMar>
            <w:left w:w="70" w:type="dxa"/>
            <w:right w:w="70" w:type="dxa"/>
          </w:tblCellMar>
        </w:tblPrEx>
        <w:trPr>
          <w:trHeight w:val="270"/>
          <w:jc w:val="center"/>
        </w:trPr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rPr>
                <w:rFonts w:ascii="Arial Narrow" w:hAnsi="Arial Narrow" w:cs="Arial" w:hint="default"/>
                <w:sz w:val="18"/>
                <w:szCs w:val="18"/>
              </w:rPr>
            </w:pPr>
            <w:r>
              <w:rPr>
                <w:rFonts w:ascii="Arial Narrow" w:hAnsi="Arial Narrow" w:cs="Arial" w:hint="default"/>
                <w:sz w:val="18"/>
                <w:szCs w:val="18"/>
              </w:rPr>
              <w:t>Ostatné</w:t>
            </w:r>
            <w:r>
              <w:rPr>
                <w:rFonts w:ascii="Arial Narrow" w:hAnsi="Arial Narrow" w:cs="Arial" w:hint="default"/>
                <w:sz w:val="18"/>
                <w:szCs w:val="18"/>
              </w:rPr>
              <w:t xml:space="preserve"> subjekty verejnej sprá</w:t>
            </w:r>
            <w:r>
              <w:rPr>
                <w:rFonts w:ascii="Arial Narrow" w:hAnsi="Arial Narrow" w:cs="Arial" w:hint="default"/>
                <w:sz w:val="18"/>
                <w:szCs w:val="18"/>
              </w:rPr>
              <w:t>vy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-779,0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-1,18</w:t>
            </w:r>
          </w:p>
        </w:tc>
      </w:tr>
      <w:tr>
        <w:tblPrEx>
          <w:tblW w:w="8657" w:type="dxa"/>
          <w:jc w:val="center"/>
          <w:tblInd w:w="-776" w:type="dxa"/>
          <w:tblCellMar>
            <w:left w:w="70" w:type="dxa"/>
            <w:right w:w="70" w:type="dxa"/>
          </w:tblCellMar>
        </w:tblPrEx>
        <w:trPr>
          <w:trHeight w:val="270"/>
          <w:jc w:val="center"/>
        </w:trPr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rPr>
                <w:rFonts w:ascii="Arial Narrow" w:hAnsi="Arial Narrow" w:cs="Arial" w:hint="default"/>
                <w:sz w:val="18"/>
                <w:szCs w:val="18"/>
              </w:rPr>
            </w:pPr>
            <w:r>
              <w:rPr>
                <w:rFonts w:ascii="Arial Narrow" w:hAnsi="Arial Narrow" w:cs="Arial" w:hint="default"/>
                <w:sz w:val="18"/>
                <w:szCs w:val="18"/>
              </w:rPr>
              <w:t xml:space="preserve"> - Obce a VÚ</w:t>
            </w:r>
            <w:r>
              <w:rPr>
                <w:rFonts w:ascii="Arial Narrow" w:hAnsi="Arial Narrow" w:cs="Arial" w:hint="default"/>
                <w:sz w:val="18"/>
                <w:szCs w:val="18"/>
              </w:rPr>
              <w:t>C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-404,0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-0,61</w:t>
            </w:r>
          </w:p>
        </w:tc>
      </w:tr>
      <w:tr>
        <w:tblPrEx>
          <w:tblW w:w="8657" w:type="dxa"/>
          <w:jc w:val="center"/>
          <w:tblInd w:w="-776" w:type="dxa"/>
          <w:tblCellMar>
            <w:left w:w="70" w:type="dxa"/>
            <w:right w:w="70" w:type="dxa"/>
          </w:tblCellMar>
        </w:tblPrEx>
        <w:trPr>
          <w:trHeight w:val="270"/>
          <w:jc w:val="center"/>
        </w:trPr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rPr>
                <w:rFonts w:ascii="Arial Narrow" w:hAnsi="Arial Narrow" w:cs="Arial" w:hint="default"/>
                <w:sz w:val="18"/>
                <w:szCs w:val="18"/>
              </w:rPr>
            </w:pPr>
            <w:r>
              <w:rPr>
                <w:rFonts w:ascii="Arial Narrow" w:hAnsi="Arial Narrow" w:cs="Arial" w:hint="default"/>
                <w:sz w:val="18"/>
                <w:szCs w:val="18"/>
              </w:rPr>
              <w:t xml:space="preserve"> - Sociá</w:t>
            </w:r>
            <w:r>
              <w:rPr>
                <w:rFonts w:ascii="Arial Narrow" w:hAnsi="Arial Narrow" w:cs="Arial" w:hint="default"/>
                <w:sz w:val="18"/>
                <w:szCs w:val="18"/>
              </w:rPr>
              <w:t>lna poisť</w:t>
            </w:r>
            <w:r>
              <w:rPr>
                <w:rFonts w:ascii="Arial Narrow" w:hAnsi="Arial Narrow" w:cs="Arial" w:hint="default"/>
                <w:sz w:val="18"/>
                <w:szCs w:val="18"/>
              </w:rPr>
              <w:t>ovň</w:t>
            </w:r>
            <w:r>
              <w:rPr>
                <w:rFonts w:ascii="Arial Narrow" w:hAnsi="Arial Narrow" w:cs="Arial" w:hint="default"/>
                <w:sz w:val="18"/>
                <w:szCs w:val="18"/>
              </w:rPr>
              <w:t>a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-39,4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-0,06</w:t>
            </w:r>
          </w:p>
        </w:tc>
      </w:tr>
      <w:tr>
        <w:tblPrEx>
          <w:tblW w:w="8657" w:type="dxa"/>
          <w:jc w:val="center"/>
          <w:tblInd w:w="-776" w:type="dxa"/>
          <w:tblCellMar>
            <w:left w:w="70" w:type="dxa"/>
            <w:right w:w="70" w:type="dxa"/>
          </w:tblCellMar>
        </w:tblPrEx>
        <w:trPr>
          <w:trHeight w:val="270"/>
          <w:jc w:val="center"/>
        </w:trPr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rPr>
                <w:rFonts w:ascii="Arial Narrow" w:hAnsi="Arial Narrow" w:cs="Arial" w:hint="default"/>
                <w:sz w:val="18"/>
                <w:szCs w:val="18"/>
              </w:rPr>
            </w:pPr>
            <w:r>
              <w:rPr>
                <w:rFonts w:ascii="Arial Narrow" w:hAnsi="Arial Narrow" w:cs="Arial" w:hint="default"/>
                <w:sz w:val="18"/>
                <w:szCs w:val="18"/>
              </w:rPr>
              <w:t xml:space="preserve"> - Š</w:t>
            </w:r>
            <w:r>
              <w:rPr>
                <w:rFonts w:ascii="Arial Narrow" w:hAnsi="Arial Narrow" w:cs="Arial" w:hint="default"/>
                <w:sz w:val="18"/>
                <w:szCs w:val="18"/>
              </w:rPr>
              <w:t>tá</w:t>
            </w:r>
            <w:r>
              <w:rPr>
                <w:rFonts w:ascii="Arial Narrow" w:hAnsi="Arial Narrow" w:cs="Arial" w:hint="default"/>
                <w:sz w:val="18"/>
                <w:szCs w:val="18"/>
              </w:rPr>
              <w:t>tne fondy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-86,1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-0,13</w:t>
            </w:r>
          </w:p>
        </w:tc>
      </w:tr>
      <w:tr>
        <w:tblPrEx>
          <w:tblW w:w="8657" w:type="dxa"/>
          <w:jc w:val="center"/>
          <w:tblInd w:w="-776" w:type="dxa"/>
          <w:tblCellMar>
            <w:left w:w="70" w:type="dxa"/>
            <w:right w:w="70" w:type="dxa"/>
          </w:tblCellMar>
        </w:tblPrEx>
        <w:trPr>
          <w:trHeight w:val="270"/>
          <w:jc w:val="center"/>
        </w:trPr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- FNM SR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-202,2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-0,31</w:t>
            </w:r>
          </w:p>
        </w:tc>
      </w:tr>
      <w:tr>
        <w:tblPrEx>
          <w:tblW w:w="8657" w:type="dxa"/>
          <w:jc w:val="center"/>
          <w:tblInd w:w="-776" w:type="dxa"/>
          <w:tblCellMar>
            <w:left w:w="70" w:type="dxa"/>
            <w:right w:w="70" w:type="dxa"/>
          </w:tblCellMar>
        </w:tblPrEx>
        <w:trPr>
          <w:trHeight w:val="285"/>
          <w:jc w:val="center"/>
        </w:trPr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rPr>
                <w:rFonts w:ascii="Arial Narrow" w:hAnsi="Arial Narrow" w:cs="Arial" w:hint="default"/>
                <w:sz w:val="18"/>
                <w:szCs w:val="18"/>
              </w:rPr>
            </w:pPr>
            <w:r>
              <w:rPr>
                <w:rFonts w:ascii="Arial Narrow" w:hAnsi="Arial Narrow" w:cs="Arial" w:hint="default"/>
                <w:sz w:val="18"/>
                <w:szCs w:val="18"/>
              </w:rPr>
              <w:t xml:space="preserve"> - Ostatné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-47,3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-0,07</w:t>
            </w:r>
          </w:p>
        </w:tc>
      </w:tr>
      <w:tr>
        <w:tblPrEx>
          <w:tblW w:w="8657" w:type="dxa"/>
          <w:jc w:val="center"/>
          <w:tblInd w:w="-776" w:type="dxa"/>
          <w:tblCellMar>
            <w:left w:w="70" w:type="dxa"/>
            <w:right w:w="70" w:type="dxa"/>
          </w:tblCellMar>
        </w:tblPrEx>
        <w:trPr>
          <w:trHeight w:val="285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rPr>
                <w:rFonts w:ascii="Arial Narrow" w:hAnsi="Arial Narrow" w:cs="Arial" w:hint="default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 w:hint="default"/>
                <w:b/>
                <w:bCs/>
                <w:sz w:val="18"/>
                <w:szCs w:val="18"/>
              </w:rPr>
              <w:t>Aktuá</w:t>
            </w:r>
            <w:r>
              <w:rPr>
                <w:rFonts w:ascii="Arial Narrow" w:hAnsi="Arial Narrow" w:cs="Arial" w:hint="default"/>
                <w:b/>
                <w:bCs/>
                <w:sz w:val="18"/>
                <w:szCs w:val="18"/>
              </w:rPr>
              <w:t>lny odhad schodku VS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-5 169,2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-7,84</w:t>
            </w:r>
          </w:p>
        </w:tc>
      </w:tr>
      <w:tr>
        <w:tblPrEx>
          <w:tblW w:w="8657" w:type="dxa"/>
          <w:jc w:val="center"/>
          <w:tblInd w:w="-776" w:type="dxa"/>
          <w:tblCellMar>
            <w:left w:w="70" w:type="dxa"/>
            <w:right w:w="70" w:type="dxa"/>
          </w:tblCellMar>
        </w:tblPrEx>
        <w:trPr>
          <w:trHeight w:val="285"/>
          <w:jc w:val="center"/>
        </w:trPr>
        <w:tc>
          <w:tcPr>
            <w:tcW w:w="7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rPr>
                <w:rFonts w:ascii="Arial Narrow" w:hAnsi="Arial Narrow" w:cs="Arial" w:hint="default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   z </w:t>
            </w:r>
            <w:r>
              <w:rPr>
                <w:rFonts w:ascii="Arial Narrow" w:hAnsi="Arial Narrow" w:cs="Arial" w:hint="default"/>
                <w:sz w:val="16"/>
                <w:szCs w:val="16"/>
              </w:rPr>
              <w:t>toho: zhorš</w:t>
            </w:r>
            <w:r>
              <w:rPr>
                <w:rFonts w:ascii="Arial Narrow" w:hAnsi="Arial Narrow" w:cs="Arial" w:hint="default"/>
                <w:sz w:val="16"/>
                <w:szCs w:val="16"/>
              </w:rPr>
              <w:t>enie deficitu vplyvom aktualizá</w:t>
            </w:r>
            <w:r>
              <w:rPr>
                <w:rFonts w:ascii="Arial Narrow" w:hAnsi="Arial Narrow" w:cs="Arial" w:hint="default"/>
                <w:sz w:val="16"/>
                <w:szCs w:val="16"/>
              </w:rPr>
              <w:t>cie odhadu HDP</w:t>
            </w:r>
          </w:p>
        </w:tc>
        <w:tc>
          <w:tcPr>
            <w:tcW w:w="1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A58B0" w:rsidP="003A58B0">
            <w:pPr>
              <w:bidi w:val="0"/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-0,17</w:t>
            </w:r>
          </w:p>
        </w:tc>
      </w:tr>
    </w:tbl>
    <w:p w:rsidR="003A58B0" w:rsidP="004F5613">
      <w:pPr>
        <w:bidi w:val="0"/>
        <w:ind w:firstLine="709"/>
        <w:rPr>
          <w:rFonts w:ascii="Arial Narrow" w:hAnsi="Arial Narrow" w:cs="Arial Narrow"/>
        </w:rPr>
      </w:pPr>
    </w:p>
    <w:p w:rsidR="009F6ABF" w:rsidP="003A58B0">
      <w:pPr>
        <w:bidi w:val="0"/>
        <w:spacing w:line="240" w:lineRule="auto"/>
        <w:ind w:firstLine="709"/>
        <w:rPr>
          <w:rFonts w:ascii="Arial Narrow" w:hAnsi="Arial Narrow" w:cs="Arial Narrow"/>
        </w:rPr>
      </w:pPr>
      <w:r w:rsidRPr="00885F30" w:rsidR="00885F30">
        <w:rPr>
          <w:rFonts w:ascii="Arial Narrow" w:hAnsi="Arial Narrow" w:cs="Arial Narrow" w:hint="default"/>
        </w:rPr>
        <w:t>Zhorš</w:t>
      </w:r>
      <w:r w:rsidRPr="00885F30" w:rsidR="00885F30">
        <w:rPr>
          <w:rFonts w:ascii="Arial Narrow" w:hAnsi="Arial Narrow" w:cs="Arial Narrow" w:hint="default"/>
        </w:rPr>
        <w:t>enie š</w:t>
      </w:r>
      <w:r w:rsidRPr="00885F30" w:rsidR="00885F30">
        <w:rPr>
          <w:rFonts w:ascii="Arial Narrow" w:hAnsi="Arial Narrow" w:cs="Arial Narrow" w:hint="default"/>
        </w:rPr>
        <w:t>tá</w:t>
      </w:r>
      <w:r w:rsidRPr="00885F30" w:rsidR="00885F30">
        <w:rPr>
          <w:rFonts w:ascii="Arial Narrow" w:hAnsi="Arial Narrow" w:cs="Arial Narrow" w:hint="default"/>
        </w:rPr>
        <w:t>tneho rozpoč</w:t>
      </w:r>
      <w:r w:rsidRPr="00885F30" w:rsidR="00885F30">
        <w:rPr>
          <w:rFonts w:ascii="Arial Narrow" w:hAnsi="Arial Narrow" w:cs="Arial Narrow" w:hint="default"/>
        </w:rPr>
        <w:t>tu je zapríč</w:t>
      </w:r>
      <w:r w:rsidRPr="00885F30" w:rsidR="00885F30">
        <w:rPr>
          <w:rFonts w:ascii="Arial Narrow" w:hAnsi="Arial Narrow" w:cs="Arial Narrow" w:hint="default"/>
        </w:rPr>
        <w:t>inené</w:t>
      </w:r>
      <w:r w:rsidRPr="00885F30" w:rsidR="00885F30">
        <w:rPr>
          <w:rFonts w:ascii="Arial Narrow" w:hAnsi="Arial Narrow" w:cs="Arial Narrow" w:hint="default"/>
        </w:rPr>
        <w:t xml:space="preserve"> hlavne horší</w:t>
      </w:r>
      <w:r w:rsidRPr="00885F30" w:rsidR="00885F30">
        <w:rPr>
          <w:rFonts w:ascii="Arial Narrow" w:hAnsi="Arial Narrow" w:cs="Arial Narrow" w:hint="default"/>
        </w:rPr>
        <w:t>m vý</w:t>
      </w:r>
      <w:r w:rsidRPr="00885F30" w:rsidR="00885F30">
        <w:rPr>
          <w:rFonts w:ascii="Arial Narrow" w:hAnsi="Arial Narrow" w:cs="Arial Narrow" w:hint="default"/>
        </w:rPr>
        <w:t>vojom daň</w:t>
      </w:r>
      <w:r w:rsidRPr="00885F30" w:rsidR="00885F30">
        <w:rPr>
          <w:rFonts w:ascii="Arial Narrow" w:hAnsi="Arial Narrow" w:cs="Arial Narrow" w:hint="default"/>
        </w:rPr>
        <w:t>ový</w:t>
      </w:r>
      <w:r w:rsidRPr="00885F30" w:rsidR="00885F30">
        <w:rPr>
          <w:rFonts w:ascii="Arial Narrow" w:hAnsi="Arial Narrow" w:cs="Arial Narrow" w:hint="default"/>
        </w:rPr>
        <w:t>ch prí</w:t>
      </w:r>
      <w:r w:rsidRPr="00885F30" w:rsidR="00885F30">
        <w:rPr>
          <w:rFonts w:ascii="Arial Narrow" w:hAnsi="Arial Narrow" w:cs="Arial Narrow" w:hint="default"/>
        </w:rPr>
        <w:t>jmov ako sa predpokl</w:t>
      </w:r>
      <w:r w:rsidR="009B32A8">
        <w:rPr>
          <w:rFonts w:ascii="Arial Narrow" w:hAnsi="Arial Narrow" w:cs="Arial Narrow" w:hint="default"/>
        </w:rPr>
        <w:t>adalo, č</w:t>
      </w:r>
      <w:r w:rsidR="009B32A8">
        <w:rPr>
          <w:rFonts w:ascii="Arial Narrow" w:hAnsi="Arial Narrow" w:cs="Arial Narrow" w:hint="default"/>
        </w:rPr>
        <w:t>o mož</w:t>
      </w:r>
      <w:r w:rsidR="009B32A8">
        <w:rPr>
          <w:rFonts w:ascii="Arial Narrow" w:hAnsi="Arial Narrow" w:cs="Arial Narrow" w:hint="default"/>
        </w:rPr>
        <w:t>no pripí</w:t>
      </w:r>
      <w:r w:rsidR="009B32A8">
        <w:rPr>
          <w:rFonts w:ascii="Arial Narrow" w:hAnsi="Arial Narrow" w:cs="Arial Narrow" w:hint="default"/>
        </w:rPr>
        <w:t>sať</w:t>
      </w:r>
      <w:r w:rsidR="009B32A8">
        <w:rPr>
          <w:rFonts w:ascii="Arial Narrow" w:hAnsi="Arial Narrow" w:cs="Arial Narrow" w:hint="default"/>
        </w:rPr>
        <w:t xml:space="preserve"> vý</w:t>
      </w:r>
      <w:r w:rsidR="009B32A8">
        <w:rPr>
          <w:rFonts w:ascii="Arial Narrow" w:hAnsi="Arial Narrow" w:cs="Arial Narrow" w:hint="default"/>
        </w:rPr>
        <w:t>voju</w:t>
      </w:r>
      <w:r w:rsidRPr="00885F30" w:rsidR="00885F30">
        <w:rPr>
          <w:rFonts w:ascii="Arial Narrow" w:hAnsi="Arial Narrow" w:cs="Arial Narrow" w:hint="default"/>
        </w:rPr>
        <w:t xml:space="preserve"> zá</w:t>
      </w:r>
      <w:r w:rsidRPr="00885F30" w:rsidR="00885F30">
        <w:rPr>
          <w:rFonts w:ascii="Arial Narrow" w:hAnsi="Arial Narrow" w:cs="Arial Narrow" w:hint="default"/>
        </w:rPr>
        <w:t>kladný</w:t>
      </w:r>
      <w:r w:rsidRPr="00885F30" w:rsidR="00885F30">
        <w:rPr>
          <w:rFonts w:ascii="Arial Narrow" w:hAnsi="Arial Narrow" w:cs="Arial Narrow" w:hint="default"/>
        </w:rPr>
        <w:t>ch makroekonomický</w:t>
      </w:r>
      <w:r w:rsidRPr="00885F30" w:rsidR="00885F30">
        <w:rPr>
          <w:rFonts w:ascii="Arial Narrow" w:hAnsi="Arial Narrow" w:cs="Arial Narrow" w:hint="default"/>
        </w:rPr>
        <w:t>ch veličí</w:t>
      </w:r>
      <w:r w:rsidRPr="00885F30" w:rsidR="00885F30">
        <w:rPr>
          <w:rFonts w:ascii="Arial Narrow" w:hAnsi="Arial Narrow" w:cs="Arial Narrow" w:hint="default"/>
        </w:rPr>
        <w:t>n (vý</w:t>
      </w:r>
      <w:r w:rsidRPr="00885F30" w:rsidR="00885F30">
        <w:rPr>
          <w:rFonts w:ascii="Arial Narrow" w:hAnsi="Arial Narrow" w:cs="Arial Narrow" w:hint="default"/>
        </w:rPr>
        <w:t>voj daň</w:t>
      </w:r>
      <w:r w:rsidRPr="00885F30" w:rsidR="00885F30">
        <w:rPr>
          <w:rFonts w:ascii="Arial Narrow" w:hAnsi="Arial Narrow" w:cs="Arial Narrow" w:hint="default"/>
        </w:rPr>
        <w:t>ový</w:t>
      </w:r>
      <w:r w:rsidRPr="00885F30" w:rsidR="00885F30">
        <w:rPr>
          <w:rFonts w:ascii="Arial Narrow" w:hAnsi="Arial Narrow" w:cs="Arial Narrow" w:hint="default"/>
        </w:rPr>
        <w:t>ch prí</w:t>
      </w:r>
      <w:r w:rsidRPr="00885F30" w:rsidR="00885F30">
        <w:rPr>
          <w:rFonts w:ascii="Arial Narrow" w:hAnsi="Arial Narrow" w:cs="Arial Narrow" w:hint="default"/>
        </w:rPr>
        <w:t>jmov š</w:t>
      </w:r>
      <w:r w:rsidRPr="00885F30" w:rsidR="00885F30">
        <w:rPr>
          <w:rFonts w:ascii="Arial Narrow" w:hAnsi="Arial Narrow" w:cs="Arial Narrow" w:hint="default"/>
        </w:rPr>
        <w:t>tá</w:t>
      </w:r>
      <w:r w:rsidRPr="00885F30" w:rsidR="00885F30">
        <w:rPr>
          <w:rFonts w:ascii="Arial Narrow" w:hAnsi="Arial Narrow" w:cs="Arial Narrow" w:hint="default"/>
        </w:rPr>
        <w:t>tneho rozpoč</w:t>
      </w:r>
      <w:r w:rsidRPr="00885F30" w:rsidR="00885F30">
        <w:rPr>
          <w:rFonts w:ascii="Arial Narrow" w:hAnsi="Arial Narrow" w:cs="Arial Narrow" w:hint="default"/>
        </w:rPr>
        <w:t>tu na hotovostnej bá</w:t>
      </w:r>
      <w:r w:rsidRPr="00885F30" w:rsidR="00885F30">
        <w:rPr>
          <w:rFonts w:ascii="Arial Narrow" w:hAnsi="Arial Narrow" w:cs="Arial Narrow" w:hint="default"/>
        </w:rPr>
        <w:t>ze je uvedený</w:t>
      </w:r>
      <w:r w:rsidRPr="00885F30" w:rsidR="00885F30">
        <w:rPr>
          <w:rFonts w:ascii="Arial Narrow" w:hAnsi="Arial Narrow" w:cs="Arial Narrow" w:hint="default"/>
        </w:rPr>
        <w:t xml:space="preserve"> v </w:t>
      </w:r>
      <w:r w:rsidRPr="00885F30" w:rsidR="00885F30">
        <w:rPr>
          <w:rFonts w:ascii="Arial Narrow" w:hAnsi="Arial Narrow" w:cs="Arial Narrow" w:hint="default"/>
        </w:rPr>
        <w:t>osobitnej č</w:t>
      </w:r>
      <w:r w:rsidRPr="00885F30" w:rsidR="00885F30">
        <w:rPr>
          <w:rFonts w:ascii="Arial Narrow" w:hAnsi="Arial Narrow" w:cs="Arial Narrow" w:hint="default"/>
        </w:rPr>
        <w:t>asti dô</w:t>
      </w:r>
      <w:r w:rsidRPr="00885F30" w:rsidR="00885F30">
        <w:rPr>
          <w:rFonts w:ascii="Arial Narrow" w:hAnsi="Arial Narrow" w:cs="Arial Narrow" w:hint="default"/>
        </w:rPr>
        <w:t>vodovej sprá</w:t>
      </w:r>
      <w:r w:rsidRPr="00885F30" w:rsidR="00885F30">
        <w:rPr>
          <w:rFonts w:ascii="Arial Narrow" w:hAnsi="Arial Narrow" w:cs="Arial Narrow" w:hint="default"/>
        </w:rPr>
        <w:t xml:space="preserve">vy). </w:t>
      </w:r>
    </w:p>
    <w:p w:rsidR="001C3500" w:rsidP="003A58B0">
      <w:pPr>
        <w:bidi w:val="0"/>
        <w:spacing w:line="240" w:lineRule="auto"/>
        <w:ind w:firstLine="709"/>
        <w:rPr>
          <w:rFonts w:ascii="Arial Narrow" w:hAnsi="Arial Narrow" w:cs="Arial Narrow"/>
        </w:rPr>
      </w:pPr>
      <w:r w:rsidRPr="009609F9" w:rsidR="009609F9">
        <w:rPr>
          <w:rFonts w:ascii="Arial Narrow" w:hAnsi="Arial Narrow" w:cs="Arial Narrow" w:hint="default"/>
        </w:rPr>
        <w:t>Na strane vý</w:t>
      </w:r>
      <w:r w:rsidRPr="009609F9" w:rsidR="009609F9">
        <w:rPr>
          <w:rFonts w:ascii="Arial Narrow" w:hAnsi="Arial Narrow" w:cs="Arial Narrow" w:hint="default"/>
        </w:rPr>
        <w:t>davkov sa oč</w:t>
      </w:r>
      <w:r w:rsidRPr="009609F9" w:rsidR="009609F9">
        <w:rPr>
          <w:rFonts w:ascii="Arial Narrow" w:hAnsi="Arial Narrow" w:cs="Arial Narrow" w:hint="default"/>
        </w:rPr>
        <w:t>aká</w:t>
      </w:r>
      <w:r w:rsidRPr="009609F9" w:rsidR="009609F9">
        <w:rPr>
          <w:rFonts w:ascii="Arial Narrow" w:hAnsi="Arial Narrow" w:cs="Arial Narrow" w:hint="default"/>
        </w:rPr>
        <w:t>va prekroč</w:t>
      </w:r>
      <w:r w:rsidRPr="009609F9" w:rsidR="009609F9">
        <w:rPr>
          <w:rFonts w:ascii="Arial Narrow" w:hAnsi="Arial Narrow" w:cs="Arial Narrow" w:hint="default"/>
        </w:rPr>
        <w:t>enie schvá</w:t>
      </w:r>
      <w:r w:rsidRPr="009609F9" w:rsidR="009609F9">
        <w:rPr>
          <w:rFonts w:ascii="Arial Narrow" w:hAnsi="Arial Narrow" w:cs="Arial Narrow" w:hint="default"/>
        </w:rPr>
        <w:t>lené</w:t>
      </w:r>
      <w:r w:rsidRPr="009609F9" w:rsidR="009609F9">
        <w:rPr>
          <w:rFonts w:ascii="Arial Narrow" w:hAnsi="Arial Narrow" w:cs="Arial Narrow" w:hint="default"/>
        </w:rPr>
        <w:t>ho rozpoč</w:t>
      </w:r>
      <w:r w:rsidRPr="009609F9" w:rsidR="009609F9">
        <w:rPr>
          <w:rFonts w:ascii="Arial Narrow" w:hAnsi="Arial Narrow" w:cs="Arial Narrow" w:hint="default"/>
        </w:rPr>
        <w:t xml:space="preserve">tu </w:t>
      </w:r>
      <w:r w:rsidR="00A35EC3">
        <w:rPr>
          <w:rFonts w:ascii="Arial Narrow" w:hAnsi="Arial Narrow" w:cs="Arial Narrow" w:hint="default"/>
        </w:rPr>
        <w:t>vý</w:t>
      </w:r>
      <w:r w:rsidR="00A35EC3">
        <w:rPr>
          <w:rFonts w:ascii="Arial Narrow" w:hAnsi="Arial Narrow" w:cs="Arial Narrow" w:hint="default"/>
        </w:rPr>
        <w:t>davkov š</w:t>
      </w:r>
      <w:r w:rsidR="00A35EC3">
        <w:rPr>
          <w:rFonts w:ascii="Arial Narrow" w:hAnsi="Arial Narrow" w:cs="Arial Narrow" w:hint="default"/>
        </w:rPr>
        <w:t>tá</w:t>
      </w:r>
      <w:r w:rsidR="00A35EC3">
        <w:rPr>
          <w:rFonts w:ascii="Arial Narrow" w:hAnsi="Arial Narrow" w:cs="Arial Narrow" w:hint="default"/>
        </w:rPr>
        <w:t>tneho rozpoč</w:t>
      </w:r>
      <w:r w:rsidR="00A35EC3">
        <w:rPr>
          <w:rFonts w:ascii="Arial Narrow" w:hAnsi="Arial Narrow" w:cs="Arial Narrow" w:hint="default"/>
        </w:rPr>
        <w:t>tu najmä</w:t>
      </w:r>
      <w:r w:rsidR="00A35EC3">
        <w:rPr>
          <w:rFonts w:ascii="Arial Narrow" w:hAnsi="Arial Narrow" w:cs="Arial Narrow" w:hint="default"/>
        </w:rPr>
        <w:t xml:space="preserve"> z </w:t>
      </w:r>
      <w:r w:rsidR="00A35EC3">
        <w:rPr>
          <w:rFonts w:ascii="Arial Narrow" w:hAnsi="Arial Narrow" w:cs="Arial Narrow" w:hint="default"/>
        </w:rPr>
        <w:t>dô</w:t>
      </w:r>
      <w:r w:rsidR="00A35EC3">
        <w:rPr>
          <w:rFonts w:ascii="Arial Narrow" w:hAnsi="Arial Narrow" w:cs="Arial Narrow" w:hint="default"/>
        </w:rPr>
        <w:t>vodu nevyhnutné</w:t>
      </w:r>
      <w:r w:rsidR="00A35EC3">
        <w:rPr>
          <w:rFonts w:ascii="Arial Narrow" w:hAnsi="Arial Narrow" w:cs="Arial Narrow" w:hint="default"/>
        </w:rPr>
        <w:t>ho pokrytia rizí</w:t>
      </w:r>
      <w:r w:rsidR="00A35EC3">
        <w:rPr>
          <w:rFonts w:ascii="Arial Narrow" w:hAnsi="Arial Narrow" w:cs="Arial Narrow" w:hint="default"/>
        </w:rPr>
        <w:t>k š</w:t>
      </w:r>
      <w:r w:rsidR="00A35EC3">
        <w:rPr>
          <w:rFonts w:ascii="Arial Narrow" w:hAnsi="Arial Narrow" w:cs="Arial Narrow" w:hint="default"/>
        </w:rPr>
        <w:t>tá</w:t>
      </w:r>
      <w:r w:rsidR="00A35EC3">
        <w:rPr>
          <w:rFonts w:ascii="Arial Narrow" w:hAnsi="Arial Narrow" w:cs="Arial Narrow" w:hint="default"/>
        </w:rPr>
        <w:t>tneho rozpoč</w:t>
      </w:r>
      <w:r w:rsidR="00A35EC3">
        <w:rPr>
          <w:rFonts w:ascii="Arial Narrow" w:hAnsi="Arial Narrow" w:cs="Arial Narrow" w:hint="default"/>
        </w:rPr>
        <w:t>tu a </w:t>
      </w:r>
      <w:r w:rsidR="00A35EC3">
        <w:rPr>
          <w:rFonts w:ascii="Arial Narrow" w:hAnsi="Arial Narrow" w:cs="Arial Narrow" w:hint="default"/>
        </w:rPr>
        <w:t>negatí</w:t>
      </w:r>
      <w:r w:rsidR="00A35EC3">
        <w:rPr>
          <w:rFonts w:ascii="Arial Narrow" w:hAnsi="Arial Narrow" w:cs="Arial Narrow" w:hint="default"/>
        </w:rPr>
        <w:t>vneho salda</w:t>
      </w:r>
      <w:r w:rsidR="00A35EC3">
        <w:rPr>
          <w:rFonts w:ascii="Arial Narrow" w:hAnsi="Arial Narrow" w:cs="Arial Narrow" w:hint="default"/>
        </w:rPr>
        <w:t xml:space="preserve"> medziroč</w:t>
      </w:r>
      <w:r w:rsidR="00A35EC3">
        <w:rPr>
          <w:rFonts w:ascii="Arial Narrow" w:hAnsi="Arial Narrow" w:cs="Arial Narrow" w:hint="default"/>
        </w:rPr>
        <w:t>né</w:t>
      </w:r>
      <w:r w:rsidR="00A35EC3">
        <w:rPr>
          <w:rFonts w:ascii="Arial Narrow" w:hAnsi="Arial Narrow" w:cs="Arial Narrow" w:hint="default"/>
        </w:rPr>
        <w:t>ho vplyvu prenáš</w:t>
      </w:r>
      <w:r w:rsidR="00A35EC3">
        <w:rPr>
          <w:rFonts w:ascii="Arial Narrow" w:hAnsi="Arial Narrow" w:cs="Arial Narrow" w:hint="default"/>
        </w:rPr>
        <w:t>aný</w:t>
      </w:r>
      <w:r w:rsidR="00A35EC3">
        <w:rPr>
          <w:rFonts w:ascii="Arial Narrow" w:hAnsi="Arial Narrow" w:cs="Arial Narrow" w:hint="default"/>
        </w:rPr>
        <w:t>ch limitov vý</w:t>
      </w:r>
      <w:r w:rsidR="00A35EC3">
        <w:rPr>
          <w:rFonts w:ascii="Arial Narrow" w:hAnsi="Arial Narrow" w:cs="Arial Narrow" w:hint="default"/>
        </w:rPr>
        <w:t>davkov š</w:t>
      </w:r>
      <w:r w:rsidR="00A35EC3">
        <w:rPr>
          <w:rFonts w:ascii="Arial Narrow" w:hAnsi="Arial Narrow" w:cs="Arial Narrow" w:hint="default"/>
        </w:rPr>
        <w:t>tá</w:t>
      </w:r>
      <w:r w:rsidR="00A35EC3">
        <w:rPr>
          <w:rFonts w:ascii="Arial Narrow" w:hAnsi="Arial Narrow" w:cs="Arial Narrow" w:hint="default"/>
        </w:rPr>
        <w:t>tneho rozpoč</w:t>
      </w:r>
      <w:r w:rsidR="00A35EC3">
        <w:rPr>
          <w:rFonts w:ascii="Arial Narrow" w:hAnsi="Arial Narrow" w:cs="Arial Narrow" w:hint="default"/>
        </w:rPr>
        <w:t xml:space="preserve">tu. </w:t>
      </w:r>
      <w:r w:rsidR="009F6ABF">
        <w:rPr>
          <w:rFonts w:ascii="Arial Narrow" w:hAnsi="Arial Narrow" w:cs="Arial Narrow"/>
        </w:rPr>
        <w:t xml:space="preserve"> </w:t>
      </w:r>
    </w:p>
    <w:p w:rsidR="001C3500" w:rsidP="003A58B0">
      <w:pPr>
        <w:bidi w:val="0"/>
        <w:spacing w:line="240" w:lineRule="auto"/>
        <w:ind w:firstLine="709"/>
        <w:rPr>
          <w:rFonts w:ascii="Arial Narrow" w:hAnsi="Arial Narrow" w:cs="Arial Narrow" w:hint="default"/>
        </w:rPr>
      </w:pPr>
      <w:r w:rsidRPr="00885F30" w:rsidR="007F78B1">
        <w:rPr>
          <w:rFonts w:ascii="Arial Narrow" w:hAnsi="Arial Narrow" w:cs="Arial Narrow"/>
        </w:rPr>
        <w:t>Pokles HDP a </w:t>
      </w:r>
      <w:r w:rsidRPr="00885F30" w:rsidR="007F78B1">
        <w:rPr>
          <w:rFonts w:ascii="Arial Narrow" w:hAnsi="Arial Narrow" w:cs="Arial Narrow" w:hint="default"/>
        </w:rPr>
        <w:t>s tý</w:t>
      </w:r>
      <w:r w:rsidRPr="00885F30" w:rsidR="007F78B1">
        <w:rPr>
          <w:rFonts w:ascii="Arial Narrow" w:hAnsi="Arial Narrow" w:cs="Arial Narrow" w:hint="default"/>
        </w:rPr>
        <w:t>m sú</w:t>
      </w:r>
      <w:r w:rsidRPr="00885F30" w:rsidR="007F78B1">
        <w:rPr>
          <w:rFonts w:ascii="Arial Narrow" w:hAnsi="Arial Narrow" w:cs="Arial Narrow" w:hint="default"/>
        </w:rPr>
        <w:t>visiaci pokles daň</w:t>
      </w:r>
      <w:r w:rsidRPr="00885F30" w:rsidR="007F78B1">
        <w:rPr>
          <w:rFonts w:ascii="Arial Narrow" w:hAnsi="Arial Narrow" w:cs="Arial Narrow" w:hint="default"/>
        </w:rPr>
        <w:t>ový</w:t>
      </w:r>
      <w:r w:rsidRPr="00885F30" w:rsidR="007F78B1">
        <w:rPr>
          <w:rFonts w:ascii="Arial Narrow" w:hAnsi="Arial Narrow" w:cs="Arial Narrow" w:hint="default"/>
        </w:rPr>
        <w:t>ch prí</w:t>
      </w:r>
      <w:r w:rsidRPr="00885F30" w:rsidR="007F78B1">
        <w:rPr>
          <w:rFonts w:ascii="Arial Narrow" w:hAnsi="Arial Narrow" w:cs="Arial Narrow" w:hint="default"/>
        </w:rPr>
        <w:t>jmov verejnej sprá</w:t>
      </w:r>
      <w:r w:rsidRPr="00885F30" w:rsidR="007F78B1">
        <w:rPr>
          <w:rFonts w:ascii="Arial Narrow" w:hAnsi="Arial Narrow" w:cs="Arial Narrow" w:hint="default"/>
        </w:rPr>
        <w:t>vy sa prejavil aj v </w:t>
      </w:r>
      <w:r w:rsidRPr="00885F30" w:rsidR="007F78B1">
        <w:rPr>
          <w:rFonts w:ascii="Arial Narrow" w:hAnsi="Arial Narrow" w:cs="Arial Narrow" w:hint="default"/>
        </w:rPr>
        <w:t>nižší</w:t>
      </w:r>
      <w:r w:rsidRPr="00885F30" w:rsidR="007F78B1">
        <w:rPr>
          <w:rFonts w:ascii="Arial Narrow" w:hAnsi="Arial Narrow" w:cs="Arial Narrow" w:hint="default"/>
        </w:rPr>
        <w:t>ch daň</w:t>
      </w:r>
      <w:r w:rsidRPr="00885F30" w:rsidR="007F78B1">
        <w:rPr>
          <w:rFonts w:ascii="Arial Narrow" w:hAnsi="Arial Narrow" w:cs="Arial Narrow" w:hint="default"/>
        </w:rPr>
        <w:t>ový</w:t>
      </w:r>
      <w:r w:rsidRPr="00885F30" w:rsidR="007F78B1">
        <w:rPr>
          <w:rFonts w:ascii="Arial Narrow" w:hAnsi="Arial Narrow" w:cs="Arial Narrow" w:hint="default"/>
        </w:rPr>
        <w:t>ch prí</w:t>
      </w:r>
      <w:r w:rsidRPr="00885F30" w:rsidR="007F78B1">
        <w:rPr>
          <w:rFonts w:ascii="Arial Narrow" w:hAnsi="Arial Narrow" w:cs="Arial Narrow" w:hint="default"/>
        </w:rPr>
        <w:t>jmoch obcí</w:t>
      </w:r>
      <w:r w:rsidRPr="00885F30" w:rsidR="007F78B1">
        <w:rPr>
          <w:rFonts w:ascii="Arial Narrow" w:hAnsi="Arial Narrow" w:cs="Arial Narrow" w:hint="default"/>
        </w:rPr>
        <w:t xml:space="preserve"> a </w:t>
      </w:r>
      <w:r w:rsidRPr="00885F30" w:rsidR="007F78B1">
        <w:rPr>
          <w:rFonts w:ascii="Arial Narrow" w:hAnsi="Arial Narrow" w:cs="Arial Narrow" w:hint="default"/>
        </w:rPr>
        <w:t>VÚ</w:t>
      </w:r>
      <w:r w:rsidRPr="00885F30" w:rsidR="007F78B1">
        <w:rPr>
          <w:rFonts w:ascii="Arial Narrow" w:hAnsi="Arial Narrow" w:cs="Arial Narrow" w:hint="default"/>
        </w:rPr>
        <w:t xml:space="preserve">C. </w:t>
      </w:r>
      <w:r>
        <w:rPr>
          <w:rFonts w:ascii="Arial Narrow" w:hAnsi="Arial Narrow" w:cs="Arial Narrow"/>
        </w:rPr>
        <w:t>V</w:t>
      </w:r>
      <w:r w:rsidRPr="00332D7E">
        <w:rPr>
          <w:rFonts w:ascii="Arial Narrow" w:hAnsi="Arial Narrow" w:cs="Arial Narrow" w:hint="default"/>
        </w:rPr>
        <w:t>ý</w:t>
      </w:r>
      <w:r w:rsidRPr="00332D7E">
        <w:rPr>
          <w:rFonts w:ascii="Arial Narrow" w:hAnsi="Arial Narrow" w:cs="Arial Narrow" w:hint="default"/>
        </w:rPr>
        <w:t>padky prí</w:t>
      </w:r>
      <w:r w:rsidRPr="00332D7E">
        <w:rPr>
          <w:rFonts w:ascii="Arial Narrow" w:hAnsi="Arial Narrow" w:cs="Arial Narrow" w:hint="default"/>
        </w:rPr>
        <w:t>jmov na ú</w:t>
      </w:r>
      <w:r w:rsidRPr="00332D7E">
        <w:rPr>
          <w:rFonts w:ascii="Arial Narrow" w:hAnsi="Arial Narrow" w:cs="Arial Narrow" w:hint="default"/>
        </w:rPr>
        <w:t>rovni samosprá</w:t>
      </w:r>
      <w:r w:rsidRPr="00332D7E">
        <w:rPr>
          <w:rFonts w:ascii="Arial Narrow" w:hAnsi="Arial Narrow" w:cs="Arial Narrow" w:hint="default"/>
        </w:rPr>
        <w:t>v nie sú</w:t>
      </w:r>
      <w:r w:rsidRPr="00332D7E">
        <w:rPr>
          <w:rFonts w:ascii="Arial Narrow" w:hAnsi="Arial Narrow" w:cs="Arial Narrow" w:hint="default"/>
        </w:rPr>
        <w:t xml:space="preserve"> sprevá</w:t>
      </w:r>
      <w:r w:rsidRPr="00332D7E">
        <w:rPr>
          <w:rFonts w:ascii="Arial Narrow" w:hAnsi="Arial Narrow" w:cs="Arial Narrow" w:hint="default"/>
        </w:rPr>
        <w:t>dzané</w:t>
      </w:r>
      <w:r w:rsidRPr="00332D7E">
        <w:rPr>
          <w:rFonts w:ascii="Arial Narrow" w:hAnsi="Arial Narrow" w:cs="Arial Narrow" w:hint="default"/>
        </w:rPr>
        <w:t xml:space="preserve"> adekvá</w:t>
      </w:r>
      <w:r w:rsidRPr="00332D7E">
        <w:rPr>
          <w:rFonts w:ascii="Arial Narrow" w:hAnsi="Arial Narrow" w:cs="Arial Narrow" w:hint="default"/>
        </w:rPr>
        <w:t>tnymi ú</w:t>
      </w:r>
      <w:r w:rsidRPr="00332D7E">
        <w:rPr>
          <w:rFonts w:ascii="Arial Narrow" w:hAnsi="Arial Narrow" w:cs="Arial Narrow" w:hint="default"/>
        </w:rPr>
        <w:t>sporami a nedostatok zdro</w:t>
      </w:r>
      <w:r>
        <w:rPr>
          <w:rFonts w:ascii="Arial Narrow" w:hAnsi="Arial Narrow" w:cs="Arial Narrow"/>
        </w:rPr>
        <w:t>jov</w:t>
      </w:r>
      <w:r w:rsidRPr="00332D7E">
        <w:rPr>
          <w:rFonts w:ascii="Arial Narrow" w:hAnsi="Arial Narrow" w:cs="Arial Narrow" w:hint="default"/>
        </w:rPr>
        <w:t xml:space="preserve"> rieš</w:t>
      </w:r>
      <w:r w:rsidRPr="00332D7E">
        <w:rPr>
          <w:rFonts w:ascii="Arial Narrow" w:hAnsi="Arial Narrow" w:cs="Arial Narrow" w:hint="default"/>
        </w:rPr>
        <w:t>i</w:t>
      </w:r>
      <w:r>
        <w:rPr>
          <w:rFonts w:ascii="Arial Narrow" w:hAnsi="Arial Narrow" w:cs="Arial Narrow" w:hint="default"/>
        </w:rPr>
        <w:t>a samosprá</w:t>
      </w:r>
      <w:r>
        <w:rPr>
          <w:rFonts w:ascii="Arial Narrow" w:hAnsi="Arial Narrow" w:cs="Arial Narrow" w:hint="default"/>
        </w:rPr>
        <w:t>vy</w:t>
      </w:r>
      <w:r w:rsidRPr="00332D7E">
        <w:rPr>
          <w:rFonts w:ascii="Arial Narrow" w:hAnsi="Arial Narrow" w:cs="Arial Narrow" w:hint="default"/>
        </w:rPr>
        <w:t xml:space="preserve"> vyšší</w:t>
      </w:r>
      <w:r w:rsidRPr="00332D7E">
        <w:rPr>
          <w:rFonts w:ascii="Arial Narrow" w:hAnsi="Arial Narrow" w:cs="Arial Narrow" w:hint="default"/>
        </w:rPr>
        <w:t>m č</w:t>
      </w:r>
      <w:r w:rsidRPr="00332D7E">
        <w:rPr>
          <w:rFonts w:ascii="Arial Narrow" w:hAnsi="Arial Narrow" w:cs="Arial Narrow" w:hint="default"/>
        </w:rPr>
        <w:t>erpaní</w:t>
      </w:r>
      <w:r w:rsidRPr="00332D7E">
        <w:rPr>
          <w:rFonts w:ascii="Arial Narrow" w:hAnsi="Arial Narrow" w:cs="Arial Narrow" w:hint="default"/>
        </w:rPr>
        <w:t>m ú</w:t>
      </w:r>
      <w:r w:rsidRPr="00332D7E">
        <w:rPr>
          <w:rFonts w:ascii="Arial Narrow" w:hAnsi="Arial Narrow" w:cs="Arial Narrow" w:hint="default"/>
        </w:rPr>
        <w:t>verov</w:t>
      </w:r>
      <w:r>
        <w:rPr>
          <w:rFonts w:ascii="Arial Narrow" w:hAnsi="Arial Narrow" w:cs="Arial Narrow"/>
        </w:rPr>
        <w:t xml:space="preserve"> a </w:t>
      </w:r>
      <w:r>
        <w:rPr>
          <w:rFonts w:ascii="Arial Narrow" w:hAnsi="Arial Narrow" w:cs="Arial Narrow" w:hint="default"/>
        </w:rPr>
        <w:t>zapá</w:t>
      </w:r>
      <w:r>
        <w:rPr>
          <w:rFonts w:ascii="Arial Narrow" w:hAnsi="Arial Narrow" w:cs="Arial Narrow" w:hint="default"/>
        </w:rPr>
        <w:t>janí</w:t>
      </w:r>
      <w:r>
        <w:rPr>
          <w:rFonts w:ascii="Arial Narrow" w:hAnsi="Arial Narrow" w:cs="Arial Narrow" w:hint="default"/>
        </w:rPr>
        <w:t>m uš</w:t>
      </w:r>
      <w:r>
        <w:rPr>
          <w:rFonts w:ascii="Arial Narrow" w:hAnsi="Arial Narrow" w:cs="Arial Narrow" w:hint="default"/>
        </w:rPr>
        <w:t>etrený</w:t>
      </w:r>
      <w:r>
        <w:rPr>
          <w:rFonts w:ascii="Arial Narrow" w:hAnsi="Arial Narrow" w:cs="Arial Narrow" w:hint="default"/>
        </w:rPr>
        <w:t>ch prostriedkov z </w:t>
      </w:r>
      <w:r>
        <w:rPr>
          <w:rFonts w:ascii="Arial Narrow" w:hAnsi="Arial Narrow" w:cs="Arial Narrow" w:hint="default"/>
        </w:rPr>
        <w:t>peň</w:t>
      </w:r>
      <w:r>
        <w:rPr>
          <w:rFonts w:ascii="Arial Narrow" w:hAnsi="Arial Narrow" w:cs="Arial Narrow" w:hint="default"/>
        </w:rPr>
        <w:t>až</w:t>
      </w:r>
      <w:r>
        <w:rPr>
          <w:rFonts w:ascii="Arial Narrow" w:hAnsi="Arial Narrow" w:cs="Arial Narrow" w:hint="default"/>
        </w:rPr>
        <w:t>ný</w:t>
      </w:r>
      <w:r>
        <w:rPr>
          <w:rFonts w:ascii="Arial Narrow" w:hAnsi="Arial Narrow" w:cs="Arial Narrow" w:hint="default"/>
        </w:rPr>
        <w:t>ch fondov a prostriedkov z </w:t>
      </w:r>
      <w:r>
        <w:rPr>
          <w:rFonts w:ascii="Arial Narrow" w:hAnsi="Arial Narrow" w:cs="Arial Narrow" w:hint="default"/>
        </w:rPr>
        <w:t>predchá</w:t>
      </w:r>
      <w:r>
        <w:rPr>
          <w:rFonts w:ascii="Arial Narrow" w:hAnsi="Arial Narrow" w:cs="Arial Narrow" w:hint="default"/>
        </w:rPr>
        <w:t>dzajú</w:t>
      </w:r>
      <w:r>
        <w:rPr>
          <w:rFonts w:ascii="Arial Narrow" w:hAnsi="Arial Narrow" w:cs="Arial Narrow" w:hint="default"/>
        </w:rPr>
        <w:t>cich rokov do rozpoč</w:t>
      </w:r>
      <w:r>
        <w:rPr>
          <w:rFonts w:ascii="Arial Narrow" w:hAnsi="Arial Narrow" w:cs="Arial Narrow" w:hint="default"/>
        </w:rPr>
        <w:t>tu</w:t>
      </w:r>
      <w:r w:rsidRPr="00332D7E">
        <w:rPr>
          <w:rFonts w:ascii="Arial Narrow" w:hAnsi="Arial Narrow" w:cs="Arial Narrow" w:hint="default"/>
        </w:rPr>
        <w:t>. Rizikom pre obce je tiež</w:t>
      </w:r>
      <w:r w:rsidRPr="00332D7E">
        <w:rPr>
          <w:rFonts w:ascii="Arial Narrow" w:hAnsi="Arial Narrow" w:cs="Arial Narrow" w:hint="default"/>
        </w:rPr>
        <w:t xml:space="preserve"> otá</w:t>
      </w:r>
      <w:r w:rsidRPr="00332D7E">
        <w:rPr>
          <w:rFonts w:ascii="Arial Narrow" w:hAnsi="Arial Narrow" w:cs="Arial Narrow" w:hint="default"/>
        </w:rPr>
        <w:t>zka</w:t>
      </w:r>
      <w:r w:rsidR="002346FF">
        <w:rPr>
          <w:rFonts w:ascii="Arial Narrow" w:hAnsi="Arial Narrow" w:cs="Arial Narrow"/>
        </w:rPr>
        <w:t>,</w:t>
      </w:r>
      <w:r w:rsidRPr="00332D7E">
        <w:rPr>
          <w:rFonts w:ascii="Arial Narrow" w:hAnsi="Arial Narrow" w:cs="Arial Narrow" w:hint="default"/>
        </w:rPr>
        <w:t xml:space="preserve"> ako sa na ich hospodá</w:t>
      </w:r>
      <w:r w:rsidRPr="00332D7E">
        <w:rPr>
          <w:rFonts w:ascii="Arial Narrow" w:hAnsi="Arial Narrow" w:cs="Arial Narrow" w:hint="default"/>
        </w:rPr>
        <w:t>rení</w:t>
      </w:r>
      <w:r w:rsidRPr="00332D7E">
        <w:rPr>
          <w:rFonts w:ascii="Arial Narrow" w:hAnsi="Arial Narrow" w:cs="Arial Narrow" w:hint="default"/>
        </w:rPr>
        <w:t xml:space="preserve"> prejavia jes</w:t>
      </w:r>
      <w:r w:rsidRPr="00332D7E">
        <w:rPr>
          <w:rFonts w:ascii="Arial Narrow" w:hAnsi="Arial Narrow" w:cs="Arial Narrow" w:hint="default"/>
        </w:rPr>
        <w:t>enné</w:t>
      </w:r>
      <w:r w:rsidRPr="00332D7E">
        <w:rPr>
          <w:rFonts w:ascii="Arial Narrow" w:hAnsi="Arial Narrow" w:cs="Arial Narrow" w:hint="default"/>
        </w:rPr>
        <w:t xml:space="preserve"> voľ</w:t>
      </w:r>
      <w:r w:rsidRPr="00332D7E">
        <w:rPr>
          <w:rFonts w:ascii="Arial Narrow" w:hAnsi="Arial Narrow" w:cs="Arial Narrow" w:hint="default"/>
        </w:rPr>
        <w:t>by do miestnych samosprá</w:t>
      </w:r>
      <w:r w:rsidRPr="00332D7E">
        <w:rPr>
          <w:rFonts w:ascii="Arial Narrow" w:hAnsi="Arial Narrow" w:cs="Arial Narrow" w:hint="default"/>
        </w:rPr>
        <w:t>v a dodato</w:t>
      </w:r>
      <w:r>
        <w:rPr>
          <w:rFonts w:ascii="Arial Narrow" w:hAnsi="Arial Narrow" w:cs="Arial Narrow" w:hint="default"/>
        </w:rPr>
        <w:t>č</w:t>
      </w:r>
      <w:r>
        <w:rPr>
          <w:rFonts w:ascii="Arial Narrow" w:hAnsi="Arial Narrow" w:cs="Arial Narrow" w:hint="default"/>
        </w:rPr>
        <w:t>né</w:t>
      </w:r>
      <w:r>
        <w:rPr>
          <w:rFonts w:ascii="Arial Narrow" w:hAnsi="Arial Narrow" w:cs="Arial Narrow" w:hint="default"/>
        </w:rPr>
        <w:t xml:space="preserve"> vý</w:t>
      </w:r>
      <w:r>
        <w:rPr>
          <w:rFonts w:ascii="Arial Narrow" w:hAnsi="Arial Narrow" w:cs="Arial Narrow" w:hint="default"/>
        </w:rPr>
        <w:t>davky spojené</w:t>
      </w:r>
      <w:r>
        <w:rPr>
          <w:rFonts w:ascii="Arial Narrow" w:hAnsi="Arial Narrow" w:cs="Arial Narrow" w:hint="default"/>
        </w:rPr>
        <w:t xml:space="preserve"> s </w:t>
      </w:r>
      <w:r>
        <w:rPr>
          <w:rFonts w:ascii="Arial Narrow" w:hAnsi="Arial Narrow" w:cs="Arial Narrow" w:hint="default"/>
        </w:rPr>
        <w:t>povodň</w:t>
      </w:r>
      <w:r>
        <w:rPr>
          <w:rFonts w:ascii="Arial Narrow" w:hAnsi="Arial Narrow" w:cs="Arial Narrow" w:hint="default"/>
        </w:rPr>
        <w:t>ami.</w:t>
      </w:r>
    </w:p>
    <w:p w:rsidR="001C3500" w:rsidP="003A58B0">
      <w:pPr>
        <w:bidi w:val="0"/>
        <w:spacing w:line="240" w:lineRule="auto"/>
        <w:ind w:firstLine="709"/>
        <w:rPr>
          <w:rFonts w:ascii="Arial Narrow" w:hAnsi="Arial Narrow" w:cs="Arial Narrow"/>
        </w:rPr>
      </w:pPr>
      <w:r>
        <w:rPr>
          <w:rFonts w:ascii="Arial Narrow" w:hAnsi="Arial Narrow" w:cs="Arial Narrow"/>
          <w:bCs/>
        </w:rPr>
        <w:t>H</w:t>
      </w:r>
      <w:r w:rsidRPr="001C3500">
        <w:rPr>
          <w:rFonts w:ascii="Arial Narrow" w:hAnsi="Arial Narrow" w:cs="Arial Narrow" w:hint="default"/>
          <w:bCs/>
        </w:rPr>
        <w:t>ospodá</w:t>
      </w:r>
      <w:r w:rsidRPr="001C3500">
        <w:rPr>
          <w:rFonts w:ascii="Arial Narrow" w:hAnsi="Arial Narrow" w:cs="Arial Narrow" w:hint="default"/>
          <w:bCs/>
        </w:rPr>
        <w:t>renie Sociá</w:t>
      </w:r>
      <w:r w:rsidRPr="001C3500">
        <w:rPr>
          <w:rFonts w:ascii="Arial Narrow" w:hAnsi="Arial Narrow" w:cs="Arial Narrow" w:hint="default"/>
          <w:bCs/>
        </w:rPr>
        <w:t>lnej poisť</w:t>
      </w:r>
      <w:r w:rsidRPr="001C3500">
        <w:rPr>
          <w:rFonts w:ascii="Arial Narrow" w:hAnsi="Arial Narrow" w:cs="Arial Narrow" w:hint="default"/>
          <w:bCs/>
        </w:rPr>
        <w:t>ovne v roku 2010</w:t>
      </w:r>
      <w:r w:rsidR="004C2B51">
        <w:rPr>
          <w:rFonts w:ascii="Arial Narrow" w:hAnsi="Arial Narrow" w:cs="Arial Narrow"/>
        </w:rPr>
        <w:t xml:space="preserve"> v metodike ESA 95 </w:t>
      </w:r>
      <w:r w:rsidR="002346FF">
        <w:rPr>
          <w:rFonts w:ascii="Arial Narrow" w:hAnsi="Arial Narrow" w:cs="Arial Narrow" w:hint="default"/>
        </w:rPr>
        <w:t>sa predpokladá</w:t>
      </w:r>
      <w:r w:rsidRPr="001C3500">
        <w:rPr>
          <w:rFonts w:ascii="Arial Narrow" w:hAnsi="Arial Narrow" w:cs="Arial Narrow"/>
          <w:bCs/>
        </w:rPr>
        <w:t xml:space="preserve"> o</w:t>
      </w:r>
      <w:r w:rsidR="00A35EC3">
        <w:rPr>
          <w:rFonts w:ascii="Arial Narrow" w:hAnsi="Arial Narrow" w:cs="Arial Narrow"/>
          <w:bCs/>
        </w:rPr>
        <w:t> </w:t>
      </w:r>
      <w:r w:rsidR="00A35EC3">
        <w:rPr>
          <w:rFonts w:ascii="Arial Narrow" w:hAnsi="Arial Narrow" w:cs="Arial Narrow"/>
          <w:bCs/>
        </w:rPr>
        <w:t>39,4 mil</w:t>
      </w:r>
      <w:r w:rsidRPr="001C3500">
        <w:rPr>
          <w:rFonts w:ascii="Arial Narrow" w:hAnsi="Arial Narrow" w:cs="Arial Narrow"/>
          <w:bCs/>
        </w:rPr>
        <w:t xml:space="preserve">. </w:t>
      </w:r>
      <w:r w:rsidR="009F6ABF">
        <w:rPr>
          <w:rFonts w:ascii="Arial Narrow" w:hAnsi="Arial Narrow" w:cs="Arial Narrow"/>
          <w:bCs/>
        </w:rPr>
        <w:t>e</w:t>
      </w:r>
      <w:r w:rsidRPr="001C3500">
        <w:rPr>
          <w:rFonts w:ascii="Arial Narrow" w:hAnsi="Arial Narrow" w:cs="Arial Narrow"/>
          <w:bCs/>
        </w:rPr>
        <w:t>ur</w:t>
      </w:r>
      <w:r w:rsidR="004C2B51">
        <w:rPr>
          <w:rFonts w:ascii="Arial Narrow" w:hAnsi="Arial Narrow" w:cs="Arial Narrow" w:hint="default"/>
          <w:bCs/>
        </w:rPr>
        <w:t xml:space="preserve"> horš</w:t>
      </w:r>
      <w:r w:rsidR="004C2B51">
        <w:rPr>
          <w:rFonts w:ascii="Arial Narrow" w:hAnsi="Arial Narrow" w:cs="Arial Narrow" w:hint="default"/>
          <w:bCs/>
        </w:rPr>
        <w:t>ie</w:t>
      </w:r>
      <w:r w:rsidRPr="001C3500">
        <w:rPr>
          <w:rFonts w:ascii="Arial Narrow" w:hAnsi="Arial Narrow" w:cs="Arial Narrow" w:hint="default"/>
          <w:bCs/>
        </w:rPr>
        <w:t xml:space="preserve"> ako sa rozpoč</w:t>
      </w:r>
      <w:r w:rsidRPr="001C3500">
        <w:rPr>
          <w:rFonts w:ascii="Arial Narrow" w:hAnsi="Arial Narrow" w:cs="Arial Narrow" w:hint="default"/>
          <w:bCs/>
        </w:rPr>
        <w:t>tovalo</w:t>
      </w:r>
      <w:r w:rsidRPr="001C3500">
        <w:rPr>
          <w:rFonts w:ascii="Arial Narrow" w:hAnsi="Arial Narrow" w:cs="Arial Narrow"/>
        </w:rPr>
        <w:t xml:space="preserve">. </w:t>
      </w:r>
      <w:r>
        <w:rPr>
          <w:rFonts w:ascii="Arial Narrow" w:hAnsi="Arial Narrow" w:cs="Arial Narrow" w:hint="default"/>
        </w:rPr>
        <w:t>Dô</w:t>
      </w:r>
      <w:r>
        <w:rPr>
          <w:rFonts w:ascii="Arial Narrow" w:hAnsi="Arial Narrow" w:cs="Arial Narrow" w:hint="default"/>
        </w:rPr>
        <w:t>vodom je najmä</w:t>
      </w:r>
      <w:r>
        <w:rPr>
          <w:rFonts w:ascii="Arial Narrow" w:hAnsi="Arial Narrow" w:cs="Arial Narrow" w:hint="default"/>
        </w:rPr>
        <w:t xml:space="preserve"> nižší</w:t>
      </w:r>
      <w:r>
        <w:rPr>
          <w:rFonts w:ascii="Arial Narrow" w:hAnsi="Arial Narrow" w:cs="Arial Narrow" w:hint="default"/>
        </w:rPr>
        <w:t xml:space="preserve"> vý</w:t>
      </w:r>
      <w:r>
        <w:rPr>
          <w:rFonts w:ascii="Arial Narrow" w:hAnsi="Arial Narrow" w:cs="Arial Narrow" w:hint="default"/>
        </w:rPr>
        <w:t>ber</w:t>
      </w:r>
      <w:r w:rsidRPr="00D83D94">
        <w:rPr>
          <w:rFonts w:ascii="Arial Narrow" w:hAnsi="Arial Narrow" w:cs="Arial Narrow" w:hint="default"/>
        </w:rPr>
        <w:t xml:space="preserve"> poistné</w:t>
      </w:r>
      <w:r w:rsidRPr="00D83D94">
        <w:rPr>
          <w:rFonts w:ascii="Arial Narrow" w:hAnsi="Arial Narrow" w:cs="Arial Narrow" w:hint="default"/>
        </w:rPr>
        <w:t xml:space="preserve">ho </w:t>
      </w:r>
      <w:r>
        <w:rPr>
          <w:rFonts w:ascii="Arial Narrow" w:hAnsi="Arial Narrow" w:cs="Arial Narrow" w:hint="default"/>
        </w:rPr>
        <w:t>spô</w:t>
      </w:r>
      <w:r>
        <w:rPr>
          <w:rFonts w:ascii="Arial Narrow" w:hAnsi="Arial Narrow" w:cs="Arial Narrow" w:hint="default"/>
        </w:rPr>
        <w:t>sobený</w:t>
      </w:r>
      <w:r>
        <w:rPr>
          <w:rFonts w:ascii="Arial Narrow" w:hAnsi="Arial Narrow" w:cs="Arial Narrow" w:hint="default"/>
        </w:rPr>
        <w:t xml:space="preserve"> poklesom z</w:t>
      </w:r>
      <w:r>
        <w:rPr>
          <w:rFonts w:ascii="Arial Narrow" w:hAnsi="Arial Narrow" w:cs="Arial Narrow" w:hint="default"/>
        </w:rPr>
        <w:t>amestnanosti a </w:t>
      </w:r>
      <w:r>
        <w:rPr>
          <w:rFonts w:ascii="Arial Narrow" w:hAnsi="Arial Narrow" w:cs="Arial Narrow" w:hint="default"/>
        </w:rPr>
        <w:t>nižší</w:t>
      </w:r>
      <w:r>
        <w:rPr>
          <w:rFonts w:ascii="Arial Narrow" w:hAnsi="Arial Narrow" w:cs="Arial Narrow" w:hint="default"/>
        </w:rPr>
        <w:t xml:space="preserve">m rastom </w:t>
      </w:r>
      <w:r w:rsidR="004C2B51">
        <w:rPr>
          <w:rFonts w:ascii="Arial Narrow" w:hAnsi="Arial Narrow" w:cs="Arial Narrow" w:hint="default"/>
        </w:rPr>
        <w:t>nominá</w:t>
      </w:r>
      <w:r w:rsidR="004C2B51">
        <w:rPr>
          <w:rFonts w:ascii="Arial Narrow" w:hAnsi="Arial Narrow" w:cs="Arial Narrow" w:hint="default"/>
        </w:rPr>
        <w:t xml:space="preserve">lnych </w:t>
      </w:r>
      <w:r>
        <w:rPr>
          <w:rFonts w:ascii="Arial Narrow" w:hAnsi="Arial Narrow" w:cs="Arial Narrow"/>
        </w:rPr>
        <w:t>miezd.</w:t>
      </w:r>
    </w:p>
    <w:p w:rsidR="001C3500" w:rsidP="003A58B0">
      <w:pPr>
        <w:bidi w:val="0"/>
        <w:spacing w:line="240" w:lineRule="auto"/>
        <w:ind w:firstLine="709"/>
        <w:rPr>
          <w:rFonts w:ascii="Arial Narrow" w:hAnsi="Arial Narrow" w:cs="Arial Narrow"/>
        </w:rPr>
      </w:pPr>
      <w:r w:rsidRPr="00F74A5B" w:rsidR="00057FBE">
        <w:rPr>
          <w:rFonts w:ascii="Arial Narrow" w:hAnsi="Arial Narrow" w:cs="Arial Narrow"/>
        </w:rPr>
        <w:t>V </w:t>
      </w:r>
      <w:r w:rsidRPr="00F74A5B" w:rsidR="00057FBE">
        <w:rPr>
          <w:rFonts w:ascii="Arial Narrow" w:hAnsi="Arial Narrow" w:cs="Arial Narrow" w:hint="default"/>
        </w:rPr>
        <w:t>rá</w:t>
      </w:r>
      <w:r w:rsidRPr="00F74A5B" w:rsidR="00057FBE">
        <w:rPr>
          <w:rFonts w:ascii="Arial Narrow" w:hAnsi="Arial Narrow" w:cs="Arial Narrow" w:hint="default"/>
        </w:rPr>
        <w:t>mci š</w:t>
      </w:r>
      <w:r w:rsidRPr="00F74A5B" w:rsidR="00057FBE">
        <w:rPr>
          <w:rFonts w:ascii="Arial Narrow" w:hAnsi="Arial Narrow" w:cs="Arial Narrow" w:hint="default"/>
        </w:rPr>
        <w:t>tá</w:t>
      </w:r>
      <w:r w:rsidRPr="00F74A5B" w:rsidR="00057FBE">
        <w:rPr>
          <w:rFonts w:ascii="Arial Narrow" w:hAnsi="Arial Narrow" w:cs="Arial Narrow" w:hint="default"/>
        </w:rPr>
        <w:t>tnych fondov sa oč</w:t>
      </w:r>
      <w:r w:rsidRPr="00F74A5B" w:rsidR="00057FBE">
        <w:rPr>
          <w:rFonts w:ascii="Arial Narrow" w:hAnsi="Arial Narrow" w:cs="Arial Narrow" w:hint="default"/>
        </w:rPr>
        <w:t>aká</w:t>
      </w:r>
      <w:r w:rsidRPr="00F74A5B" w:rsidR="00057FBE">
        <w:rPr>
          <w:rFonts w:ascii="Arial Narrow" w:hAnsi="Arial Narrow" w:cs="Arial Narrow" w:hint="default"/>
        </w:rPr>
        <w:t>va, ž</w:t>
      </w:r>
      <w:r w:rsidRPr="00F74A5B" w:rsidR="00057FBE">
        <w:rPr>
          <w:rFonts w:ascii="Arial Narrow" w:hAnsi="Arial Narrow" w:cs="Arial Narrow" w:hint="default"/>
        </w:rPr>
        <w:t>e ich hospodá</w:t>
      </w:r>
      <w:r w:rsidRPr="00F74A5B" w:rsidR="00057FBE">
        <w:rPr>
          <w:rFonts w:ascii="Arial Narrow" w:hAnsi="Arial Narrow" w:cs="Arial Narrow" w:hint="default"/>
        </w:rPr>
        <w:t xml:space="preserve">renie bude </w:t>
      </w:r>
      <w:r w:rsidRPr="00057FBE" w:rsidR="00057FBE">
        <w:rPr>
          <w:rFonts w:ascii="Arial Narrow" w:hAnsi="Arial Narrow" w:cs="Arial Narrow" w:hint="default"/>
          <w:bCs/>
        </w:rPr>
        <w:t>horš</w:t>
      </w:r>
      <w:r w:rsidRPr="00057FBE" w:rsidR="00057FBE">
        <w:rPr>
          <w:rFonts w:ascii="Arial Narrow" w:hAnsi="Arial Narrow" w:cs="Arial Narrow" w:hint="default"/>
          <w:bCs/>
        </w:rPr>
        <w:t>ie o</w:t>
      </w:r>
      <w:r w:rsidR="00A35EC3">
        <w:rPr>
          <w:rFonts w:ascii="Arial Narrow" w:hAnsi="Arial Narrow" w:cs="Arial Narrow"/>
          <w:bCs/>
        </w:rPr>
        <w:t> </w:t>
      </w:r>
      <w:r w:rsidR="00A35EC3">
        <w:rPr>
          <w:rFonts w:ascii="Arial Narrow" w:hAnsi="Arial Narrow" w:cs="Arial Narrow"/>
          <w:bCs/>
        </w:rPr>
        <w:t>86,1</w:t>
      </w:r>
      <w:r w:rsidRPr="00057FBE" w:rsidR="00057FBE">
        <w:rPr>
          <w:rFonts w:ascii="Arial Narrow" w:hAnsi="Arial Narrow" w:cs="Arial Narrow"/>
          <w:bCs/>
        </w:rPr>
        <w:t xml:space="preserve"> mil. </w:t>
      </w:r>
      <w:r w:rsidR="009F6ABF">
        <w:rPr>
          <w:rFonts w:ascii="Arial Narrow" w:hAnsi="Arial Narrow" w:cs="Arial Narrow"/>
          <w:bCs/>
        </w:rPr>
        <w:t>e</w:t>
      </w:r>
      <w:r w:rsidRPr="00057FBE" w:rsidR="00057FBE">
        <w:rPr>
          <w:rFonts w:ascii="Arial Narrow" w:hAnsi="Arial Narrow" w:cs="Arial Narrow"/>
          <w:bCs/>
        </w:rPr>
        <w:t>ur</w:t>
      </w:r>
      <w:r w:rsidRPr="00F74A5B" w:rsidR="00057FBE">
        <w:rPr>
          <w:rFonts w:ascii="Arial Narrow" w:hAnsi="Arial Narrow" w:cs="Arial Narrow"/>
        </w:rPr>
        <w:t>, a </w:t>
      </w:r>
      <w:r w:rsidRPr="00F74A5B" w:rsidR="00057FBE">
        <w:rPr>
          <w:rFonts w:ascii="Arial Narrow" w:hAnsi="Arial Narrow" w:cs="Arial Narrow" w:hint="default"/>
        </w:rPr>
        <w:t>to najmä</w:t>
      </w:r>
      <w:r w:rsidRPr="00F74A5B" w:rsidR="00057FBE">
        <w:rPr>
          <w:rFonts w:ascii="Arial Narrow" w:hAnsi="Arial Narrow" w:cs="Arial Narrow" w:hint="default"/>
        </w:rPr>
        <w:t xml:space="preserve"> v </w:t>
      </w:r>
      <w:r w:rsidRPr="00F74A5B" w:rsidR="00057FBE">
        <w:rPr>
          <w:rFonts w:ascii="Arial Narrow" w:hAnsi="Arial Narrow" w:cs="Arial Narrow" w:hint="default"/>
        </w:rPr>
        <w:t>sú</w:t>
      </w:r>
      <w:r w:rsidRPr="00F74A5B" w:rsidR="00057FBE">
        <w:rPr>
          <w:rFonts w:ascii="Arial Narrow" w:hAnsi="Arial Narrow" w:cs="Arial Narrow" w:hint="default"/>
        </w:rPr>
        <w:t>vislosti s</w:t>
      </w:r>
      <w:r w:rsidR="00057FBE">
        <w:rPr>
          <w:rFonts w:ascii="Arial Narrow" w:hAnsi="Arial Narrow" w:cs="Arial Narrow" w:hint="default"/>
        </w:rPr>
        <w:t>o zhorš</w:t>
      </w:r>
      <w:r w:rsidR="00057FBE">
        <w:rPr>
          <w:rFonts w:ascii="Arial Narrow" w:hAnsi="Arial Narrow" w:cs="Arial Narrow" w:hint="default"/>
        </w:rPr>
        <w:t>ený</w:t>
      </w:r>
      <w:r w:rsidR="00057FBE">
        <w:rPr>
          <w:rFonts w:ascii="Arial Narrow" w:hAnsi="Arial Narrow" w:cs="Arial Narrow" w:hint="default"/>
        </w:rPr>
        <w:t>m</w:t>
      </w:r>
      <w:r w:rsidRPr="00F74A5B" w:rsidR="00057FBE">
        <w:rPr>
          <w:rFonts w:ascii="Arial Narrow" w:hAnsi="Arial Narrow" w:cs="Arial Narrow"/>
        </w:rPr>
        <w:t> </w:t>
      </w:r>
      <w:r w:rsidRPr="00F74A5B" w:rsidR="00057FBE">
        <w:rPr>
          <w:rFonts w:ascii="Arial Narrow" w:hAnsi="Arial Narrow" w:cs="Arial Narrow" w:hint="default"/>
        </w:rPr>
        <w:t>hospodá</w:t>
      </w:r>
      <w:r w:rsidRPr="00F74A5B" w:rsidR="00057FBE">
        <w:rPr>
          <w:rFonts w:ascii="Arial Narrow" w:hAnsi="Arial Narrow" w:cs="Arial Narrow" w:hint="default"/>
        </w:rPr>
        <w:t>rení</w:t>
      </w:r>
      <w:r w:rsidRPr="00F74A5B" w:rsidR="00057FBE">
        <w:rPr>
          <w:rFonts w:ascii="Arial Narrow" w:hAnsi="Arial Narrow" w:cs="Arial Narrow" w:hint="default"/>
        </w:rPr>
        <w:t>m Ná</w:t>
      </w:r>
      <w:r w:rsidRPr="00F74A5B" w:rsidR="00057FBE">
        <w:rPr>
          <w:rFonts w:ascii="Arial Narrow" w:hAnsi="Arial Narrow" w:cs="Arial Narrow" w:hint="default"/>
        </w:rPr>
        <w:t>rodné</w:t>
      </w:r>
      <w:r w:rsidRPr="00F74A5B" w:rsidR="00057FBE">
        <w:rPr>
          <w:rFonts w:ascii="Arial Narrow" w:hAnsi="Arial Narrow" w:cs="Arial Narrow" w:hint="default"/>
        </w:rPr>
        <w:t>ho jadro</w:t>
      </w:r>
      <w:r w:rsidR="00057FBE">
        <w:rPr>
          <w:rFonts w:ascii="Arial Narrow" w:hAnsi="Arial Narrow" w:cs="Arial Narrow" w:hint="default"/>
        </w:rPr>
        <w:t>vé</w:t>
      </w:r>
      <w:r w:rsidR="00057FBE">
        <w:rPr>
          <w:rFonts w:ascii="Arial Narrow" w:hAnsi="Arial Narrow" w:cs="Arial Narrow" w:hint="default"/>
        </w:rPr>
        <w:t>ho fondu</w:t>
      </w:r>
      <w:r w:rsidRPr="00F74A5B" w:rsidR="00057FBE">
        <w:rPr>
          <w:rFonts w:ascii="Arial Narrow" w:hAnsi="Arial Narrow" w:cs="Arial Narrow"/>
        </w:rPr>
        <w:t xml:space="preserve"> z </w:t>
      </w:r>
      <w:r w:rsidRPr="00F74A5B" w:rsidR="00057FBE">
        <w:rPr>
          <w:rFonts w:ascii="Arial Narrow" w:hAnsi="Arial Narrow" w:cs="Arial Narrow" w:hint="default"/>
        </w:rPr>
        <w:t>titulu vý</w:t>
      </w:r>
      <w:r w:rsidRPr="00F74A5B" w:rsidR="00057FBE">
        <w:rPr>
          <w:rFonts w:ascii="Arial Narrow" w:hAnsi="Arial Narrow" w:cs="Arial Narrow" w:hint="default"/>
        </w:rPr>
        <w:t>padku prí</w:t>
      </w:r>
      <w:r w:rsidRPr="00F74A5B" w:rsidR="00057FBE">
        <w:rPr>
          <w:rFonts w:ascii="Arial Narrow" w:hAnsi="Arial Narrow" w:cs="Arial Narrow" w:hint="default"/>
        </w:rPr>
        <w:t>jmov z odvodu od prenosovej</w:t>
      </w:r>
      <w:r w:rsidRPr="00F74A5B" w:rsidR="00057FBE">
        <w:rPr>
          <w:rFonts w:ascii="Arial Narrow" w:hAnsi="Arial Narrow" w:cs="Arial Narrow" w:hint="default"/>
        </w:rPr>
        <w:t xml:space="preserve"> sú</w:t>
      </w:r>
      <w:r w:rsidRPr="00F74A5B" w:rsidR="00057FBE">
        <w:rPr>
          <w:rFonts w:ascii="Arial Narrow" w:hAnsi="Arial Narrow" w:cs="Arial Narrow" w:hint="default"/>
        </w:rPr>
        <w:t>stavy</w:t>
      </w:r>
      <w:r w:rsidR="00057FBE">
        <w:rPr>
          <w:rFonts w:ascii="Arial Narrow" w:hAnsi="Arial Narrow" w:cs="Arial Narrow" w:hint="default"/>
        </w:rPr>
        <w:t xml:space="preserve"> vo výš</w:t>
      </w:r>
      <w:r w:rsidR="00057FBE">
        <w:rPr>
          <w:rFonts w:ascii="Arial Narrow" w:hAnsi="Arial Narrow" w:cs="Arial Narrow" w:hint="default"/>
        </w:rPr>
        <w:t xml:space="preserve">ke </w:t>
      </w:r>
      <w:r w:rsidRPr="00A35EC3" w:rsidR="00057FBE">
        <w:rPr>
          <w:rFonts w:ascii="Arial Narrow" w:hAnsi="Arial Narrow" w:cs="Arial Narrow"/>
        </w:rPr>
        <w:t>16,6</w:t>
      </w:r>
      <w:r w:rsidR="00057FBE">
        <w:rPr>
          <w:rFonts w:ascii="Arial Narrow" w:hAnsi="Arial Narrow" w:cs="Arial Narrow"/>
        </w:rPr>
        <w:t xml:space="preserve"> mil. </w:t>
      </w:r>
      <w:r w:rsidR="009F6ABF">
        <w:rPr>
          <w:rFonts w:ascii="Arial Narrow" w:hAnsi="Arial Narrow" w:cs="Arial Narrow"/>
        </w:rPr>
        <w:t>e</w:t>
      </w:r>
      <w:r w:rsidR="00057FBE">
        <w:rPr>
          <w:rFonts w:ascii="Arial Narrow" w:hAnsi="Arial Narrow" w:cs="Arial Narrow"/>
        </w:rPr>
        <w:t>ur</w:t>
      </w:r>
      <w:r w:rsidRPr="00F74A5B" w:rsidR="00057FBE">
        <w:rPr>
          <w:rFonts w:ascii="Arial Narrow" w:hAnsi="Arial Narrow" w:cs="Arial Narrow" w:hint="default"/>
        </w:rPr>
        <w:t>, ktorý</w:t>
      </w:r>
      <w:r w:rsidRPr="00F74A5B" w:rsidR="00057FBE">
        <w:rPr>
          <w:rFonts w:ascii="Arial Narrow" w:hAnsi="Arial Narrow" w:cs="Arial Narrow" w:hint="default"/>
        </w:rPr>
        <w:t xml:space="preserve"> ustanovuje podľ</w:t>
      </w:r>
      <w:r w:rsidRPr="00F74A5B" w:rsidR="00057FBE">
        <w:rPr>
          <w:rFonts w:ascii="Arial Narrow" w:hAnsi="Arial Narrow" w:cs="Arial Narrow" w:hint="default"/>
        </w:rPr>
        <w:t>a §</w:t>
      </w:r>
      <w:r w:rsidRPr="00F74A5B" w:rsidR="00057FBE">
        <w:rPr>
          <w:rFonts w:ascii="Arial Narrow" w:hAnsi="Arial Narrow" w:cs="Arial Narrow" w:hint="default"/>
        </w:rPr>
        <w:t xml:space="preserve"> 7 ods. 4 a </w:t>
      </w:r>
      <w:r w:rsidRPr="00F74A5B" w:rsidR="00057FBE">
        <w:rPr>
          <w:rFonts w:ascii="Arial Narrow" w:hAnsi="Arial Narrow" w:cs="Arial Narrow" w:hint="default"/>
        </w:rPr>
        <w:t>5 zá</w:t>
      </w:r>
      <w:r w:rsidRPr="00F74A5B" w:rsidR="00057FBE">
        <w:rPr>
          <w:rFonts w:ascii="Arial Narrow" w:hAnsi="Arial Narrow" w:cs="Arial Narrow" w:hint="default"/>
        </w:rPr>
        <w:t>kona  č</w:t>
      </w:r>
      <w:r w:rsidRPr="00F74A5B" w:rsidR="00057FBE">
        <w:rPr>
          <w:rFonts w:ascii="Arial Narrow" w:hAnsi="Arial Narrow" w:cs="Arial Narrow" w:hint="default"/>
        </w:rPr>
        <w:t>. 238/2006 Z. z. nariadenie vlá</w:t>
      </w:r>
      <w:r w:rsidRPr="00F74A5B" w:rsidR="00057FBE">
        <w:rPr>
          <w:rFonts w:ascii="Arial Narrow" w:hAnsi="Arial Narrow" w:cs="Arial Narrow" w:hint="default"/>
        </w:rPr>
        <w:t>dy SR podľ</w:t>
      </w:r>
      <w:r w:rsidRPr="00F74A5B" w:rsidR="00057FBE">
        <w:rPr>
          <w:rFonts w:ascii="Arial Narrow" w:hAnsi="Arial Narrow" w:cs="Arial Narrow" w:hint="default"/>
        </w:rPr>
        <w:t>a schvá</w:t>
      </w:r>
      <w:r w:rsidRPr="00F74A5B" w:rsidR="00057FBE">
        <w:rPr>
          <w:rFonts w:ascii="Arial Narrow" w:hAnsi="Arial Narrow" w:cs="Arial Narrow" w:hint="default"/>
        </w:rPr>
        <w:t>lenej Straté</w:t>
      </w:r>
      <w:r w:rsidRPr="00F74A5B" w:rsidR="00057FBE">
        <w:rPr>
          <w:rFonts w:ascii="Arial Narrow" w:hAnsi="Arial Narrow" w:cs="Arial Narrow" w:hint="default"/>
        </w:rPr>
        <w:t>gie zá</w:t>
      </w:r>
      <w:r w:rsidRPr="00F74A5B" w:rsidR="00057FBE">
        <w:rPr>
          <w:rFonts w:ascii="Arial Narrow" w:hAnsi="Arial Narrow" w:cs="Arial Narrow" w:hint="default"/>
        </w:rPr>
        <w:t>vere</w:t>
      </w:r>
      <w:r w:rsidR="00057FBE">
        <w:rPr>
          <w:rFonts w:ascii="Arial Narrow" w:hAnsi="Arial Narrow" w:cs="Arial Narrow" w:hint="default"/>
        </w:rPr>
        <w:t>č</w:t>
      </w:r>
      <w:r w:rsidR="00057FBE">
        <w:rPr>
          <w:rFonts w:ascii="Arial Narrow" w:hAnsi="Arial Narrow" w:cs="Arial Narrow" w:hint="default"/>
        </w:rPr>
        <w:t>nej č</w:t>
      </w:r>
      <w:r w:rsidR="00057FBE">
        <w:rPr>
          <w:rFonts w:ascii="Arial Narrow" w:hAnsi="Arial Narrow" w:cs="Arial Narrow" w:hint="default"/>
        </w:rPr>
        <w:t>asti jadrovej energetiky. Ď</w:t>
      </w:r>
      <w:r w:rsidR="00057FBE">
        <w:rPr>
          <w:rFonts w:ascii="Arial Narrow" w:hAnsi="Arial Narrow" w:cs="Arial Narrow" w:hint="default"/>
        </w:rPr>
        <w:t>alší</w:t>
      </w:r>
      <w:r w:rsidR="00057FBE">
        <w:rPr>
          <w:rFonts w:ascii="Arial Narrow" w:hAnsi="Arial Narrow" w:cs="Arial Narrow" w:hint="default"/>
        </w:rPr>
        <w:t>m negatí</w:t>
      </w:r>
      <w:r w:rsidR="00057FBE">
        <w:rPr>
          <w:rFonts w:ascii="Arial Narrow" w:hAnsi="Arial Narrow" w:cs="Arial Narrow" w:hint="default"/>
        </w:rPr>
        <w:t>vom je nerealizovanie odpredaja emisný</w:t>
      </w:r>
      <w:r w:rsidR="00057FBE">
        <w:rPr>
          <w:rFonts w:ascii="Arial Narrow" w:hAnsi="Arial Narrow" w:cs="Arial Narrow" w:hint="default"/>
        </w:rPr>
        <w:t>ch kvó</w:t>
      </w:r>
      <w:r w:rsidR="00057FBE">
        <w:rPr>
          <w:rFonts w:ascii="Arial Narrow" w:hAnsi="Arial Narrow" w:cs="Arial Narrow" w:hint="default"/>
        </w:rPr>
        <w:t>t Environmentá</w:t>
      </w:r>
      <w:r w:rsidR="00057FBE">
        <w:rPr>
          <w:rFonts w:ascii="Arial Narrow" w:hAnsi="Arial Narrow" w:cs="Arial Narrow" w:hint="default"/>
        </w:rPr>
        <w:t>lny</w:t>
      </w:r>
      <w:r w:rsidR="00057FBE">
        <w:rPr>
          <w:rFonts w:ascii="Arial Narrow" w:hAnsi="Arial Narrow" w:cs="Arial Narrow" w:hint="default"/>
        </w:rPr>
        <w:t>m fondom, čí</w:t>
      </w:r>
      <w:r w:rsidR="00057FBE">
        <w:rPr>
          <w:rFonts w:ascii="Arial Narrow" w:hAnsi="Arial Narrow" w:cs="Arial Narrow" w:hint="default"/>
        </w:rPr>
        <w:t>m dochá</w:t>
      </w:r>
      <w:r w:rsidR="00057FBE">
        <w:rPr>
          <w:rFonts w:ascii="Arial Narrow" w:hAnsi="Arial Narrow" w:cs="Arial Narrow" w:hint="default"/>
        </w:rPr>
        <w:t>dza k </w:t>
      </w:r>
      <w:r w:rsidR="00057FBE">
        <w:rPr>
          <w:rFonts w:ascii="Arial Narrow" w:hAnsi="Arial Narrow" w:cs="Arial Narrow" w:hint="default"/>
        </w:rPr>
        <w:t>zvýš</w:t>
      </w:r>
      <w:r w:rsidR="00057FBE">
        <w:rPr>
          <w:rFonts w:ascii="Arial Narrow" w:hAnsi="Arial Narrow" w:cs="Arial Narrow" w:hint="default"/>
        </w:rPr>
        <w:t>eniu schodku rozpoč</w:t>
      </w:r>
      <w:r w:rsidR="00057FBE">
        <w:rPr>
          <w:rFonts w:ascii="Arial Narrow" w:hAnsi="Arial Narrow" w:cs="Arial Narrow" w:hint="default"/>
        </w:rPr>
        <w:t>tu verejnej sprá</w:t>
      </w:r>
      <w:r w:rsidR="00057FBE">
        <w:rPr>
          <w:rFonts w:ascii="Arial Narrow" w:hAnsi="Arial Narrow" w:cs="Arial Narrow" w:hint="default"/>
        </w:rPr>
        <w:t xml:space="preserve">vy </w:t>
      </w:r>
      <w:r w:rsidRPr="00A35EC3" w:rsidR="00057FBE">
        <w:rPr>
          <w:rFonts w:ascii="Arial Narrow" w:hAnsi="Arial Narrow" w:cs="Arial Narrow"/>
        </w:rPr>
        <w:t>o 66</w:t>
      </w:r>
      <w:r w:rsidR="00057FBE">
        <w:rPr>
          <w:rFonts w:ascii="Arial Narrow" w:hAnsi="Arial Narrow" w:cs="Arial Narrow"/>
        </w:rPr>
        <w:t xml:space="preserve"> mil. </w:t>
      </w:r>
      <w:r w:rsidR="009F6ABF">
        <w:rPr>
          <w:rFonts w:ascii="Arial Narrow" w:hAnsi="Arial Narrow" w:cs="Arial Narrow"/>
        </w:rPr>
        <w:t>e</w:t>
      </w:r>
      <w:r w:rsidR="00057FBE">
        <w:rPr>
          <w:rFonts w:ascii="Arial Narrow" w:hAnsi="Arial Narrow" w:cs="Arial Narrow"/>
        </w:rPr>
        <w:t>ur</w:t>
      </w:r>
      <w:r w:rsidR="009B723D">
        <w:rPr>
          <w:rFonts w:ascii="Arial Narrow" w:hAnsi="Arial Narrow" w:cs="Arial Narrow"/>
        </w:rPr>
        <w:t>.</w:t>
      </w:r>
    </w:p>
    <w:p w:rsidR="00DF102D" w:rsidP="003A58B0">
      <w:pPr>
        <w:bidi w:val="0"/>
        <w:spacing w:line="240" w:lineRule="auto"/>
        <w:ind w:firstLine="709"/>
        <w:rPr>
          <w:rFonts w:ascii="Arial Narrow" w:hAnsi="Arial Narrow"/>
        </w:rPr>
      </w:pPr>
      <w:r w:rsidRPr="00BF0BC5" w:rsidR="0044745C">
        <w:rPr>
          <w:rFonts w:ascii="Arial Narrow" w:hAnsi="Arial Narrow"/>
        </w:rPr>
        <w:t xml:space="preserve">V roku 2010 </w:t>
      </w:r>
      <w:r w:rsidRPr="00BF0BC5" w:rsidR="00711999">
        <w:rPr>
          <w:rFonts w:ascii="Arial Narrow" w:hAnsi="Arial Narrow"/>
        </w:rPr>
        <w:t xml:space="preserve">sa </w:t>
      </w:r>
      <w:r w:rsidRPr="00BF0BC5" w:rsidR="0044745C">
        <w:rPr>
          <w:rFonts w:ascii="Arial Narrow" w:hAnsi="Arial Narrow"/>
        </w:rPr>
        <w:t>v </w:t>
      </w:r>
      <w:r w:rsidRPr="00BF0BC5" w:rsidR="0044745C">
        <w:rPr>
          <w:rFonts w:ascii="Arial Narrow" w:hAnsi="Arial Narrow" w:hint="default"/>
        </w:rPr>
        <w:t>metodike ESA 95 predpokladá</w:t>
      </w:r>
      <w:r w:rsidRPr="00BF0BC5" w:rsidR="0044745C">
        <w:rPr>
          <w:rFonts w:ascii="Arial Narrow" w:hAnsi="Arial Narrow"/>
          <w:b/>
          <w:bCs/>
        </w:rPr>
        <w:t xml:space="preserve"> </w:t>
      </w:r>
      <w:r w:rsidRPr="00BF0BC5" w:rsidR="0044745C">
        <w:rPr>
          <w:rFonts w:ascii="Arial Narrow" w:hAnsi="Arial Narrow" w:hint="default"/>
        </w:rPr>
        <w:t>oproti schvá</w:t>
      </w:r>
      <w:r w:rsidRPr="00BF0BC5" w:rsidR="0044745C">
        <w:rPr>
          <w:rFonts w:ascii="Arial Narrow" w:hAnsi="Arial Narrow" w:hint="default"/>
        </w:rPr>
        <w:t>lené</w:t>
      </w:r>
      <w:r w:rsidRPr="00BF0BC5" w:rsidR="0044745C">
        <w:rPr>
          <w:rFonts w:ascii="Arial Narrow" w:hAnsi="Arial Narrow" w:hint="default"/>
        </w:rPr>
        <w:t>mu rozpoč</w:t>
      </w:r>
      <w:r w:rsidRPr="00BF0BC5" w:rsidR="0044745C">
        <w:rPr>
          <w:rFonts w:ascii="Arial Narrow" w:hAnsi="Arial Narrow" w:hint="default"/>
        </w:rPr>
        <w:t>tu</w:t>
      </w:r>
      <w:r w:rsidRPr="00BF0BC5" w:rsidR="0044745C">
        <w:rPr>
          <w:rFonts w:ascii="Arial Narrow" w:hAnsi="Arial Narrow" w:hint="default"/>
          <w:bCs/>
        </w:rPr>
        <w:t xml:space="preserve"> zhorš</w:t>
      </w:r>
      <w:r w:rsidRPr="00BF0BC5" w:rsidR="0044745C">
        <w:rPr>
          <w:rFonts w:ascii="Arial Narrow" w:hAnsi="Arial Narrow" w:hint="default"/>
          <w:bCs/>
        </w:rPr>
        <w:t>enie hospodá</w:t>
      </w:r>
      <w:r w:rsidRPr="00BF0BC5" w:rsidR="0044745C">
        <w:rPr>
          <w:rFonts w:ascii="Arial Narrow" w:hAnsi="Arial Narrow" w:hint="default"/>
          <w:bCs/>
        </w:rPr>
        <w:t xml:space="preserve">renia FNM SR o </w:t>
      </w:r>
      <w:r w:rsidRPr="00A35EC3" w:rsidR="0044745C">
        <w:rPr>
          <w:rFonts w:ascii="Arial Narrow" w:hAnsi="Arial Narrow"/>
          <w:bCs/>
        </w:rPr>
        <w:t>202,2</w:t>
      </w:r>
      <w:r w:rsidRPr="00BF0BC5" w:rsidR="0044745C">
        <w:rPr>
          <w:rFonts w:ascii="Arial Narrow" w:hAnsi="Arial Narrow"/>
          <w:bCs/>
        </w:rPr>
        <w:t xml:space="preserve"> mil. </w:t>
      </w:r>
      <w:r w:rsidR="009F6ABF">
        <w:rPr>
          <w:rFonts w:ascii="Arial Narrow" w:hAnsi="Arial Narrow"/>
          <w:bCs/>
        </w:rPr>
        <w:t>e</w:t>
      </w:r>
      <w:r w:rsidRPr="00BF0BC5" w:rsidR="0044745C">
        <w:rPr>
          <w:rFonts w:ascii="Arial Narrow" w:hAnsi="Arial Narrow"/>
          <w:bCs/>
        </w:rPr>
        <w:t>ur,</w:t>
      </w:r>
      <w:r w:rsidRPr="00BF0BC5" w:rsidR="0044745C">
        <w:rPr>
          <w:rFonts w:ascii="Arial Narrow" w:hAnsi="Arial Narrow"/>
          <w:b/>
          <w:bCs/>
        </w:rPr>
        <w:t xml:space="preserve"> </w:t>
      </w:r>
      <w:r w:rsidRPr="00BF0BC5" w:rsidR="0044745C">
        <w:rPr>
          <w:rFonts w:ascii="Arial Narrow" w:hAnsi="Arial Narrow" w:hint="default"/>
        </w:rPr>
        <w:t>spô</w:t>
      </w:r>
      <w:r w:rsidRPr="00BF0BC5" w:rsidR="0044745C">
        <w:rPr>
          <w:rFonts w:ascii="Arial Narrow" w:hAnsi="Arial Narrow" w:hint="default"/>
        </w:rPr>
        <w:t>sobené</w:t>
      </w:r>
      <w:r w:rsidRPr="00BF0BC5" w:rsidR="0044745C">
        <w:rPr>
          <w:rFonts w:ascii="Arial Narrow" w:hAnsi="Arial Narrow" w:hint="default"/>
        </w:rPr>
        <w:t xml:space="preserve"> najmä</w:t>
      </w:r>
      <w:r w:rsidRPr="00BF0BC5" w:rsidR="0044745C">
        <w:rPr>
          <w:rFonts w:ascii="Arial Narrow" w:hAnsi="Arial Narrow" w:hint="default"/>
        </w:rPr>
        <w:t xml:space="preserve"> prevodom prijatý</w:t>
      </w:r>
      <w:r w:rsidRPr="00BF0BC5" w:rsidR="0044745C">
        <w:rPr>
          <w:rFonts w:ascii="Arial Narrow" w:hAnsi="Arial Narrow" w:hint="default"/>
        </w:rPr>
        <w:t>ch mimoriadnych divid</w:t>
      </w:r>
      <w:r w:rsidRPr="00BF0BC5" w:rsidR="0044745C">
        <w:rPr>
          <w:rFonts w:ascii="Arial Narrow" w:hAnsi="Arial Narrow" w:hint="default"/>
        </w:rPr>
        <w:t xml:space="preserve">end (v roku 2010 v objeme 126,4 mil. </w:t>
      </w:r>
      <w:r w:rsidR="009F6ABF">
        <w:rPr>
          <w:rFonts w:ascii="Arial Narrow" w:hAnsi="Arial Narrow"/>
        </w:rPr>
        <w:t>e</w:t>
      </w:r>
      <w:r w:rsidRPr="00BF0BC5" w:rsidR="0044745C">
        <w:rPr>
          <w:rFonts w:ascii="Arial Narrow" w:hAnsi="Arial Narrow"/>
        </w:rPr>
        <w:t>ur a mimoriadnych dividend z </w:t>
      </w:r>
      <w:r w:rsidRPr="00BF0BC5" w:rsidR="0044745C">
        <w:rPr>
          <w:rFonts w:ascii="Arial Narrow" w:hAnsi="Arial Narrow" w:hint="default"/>
        </w:rPr>
        <w:t>SPP, a.s. prijatý</w:t>
      </w:r>
      <w:r w:rsidRPr="00BF0BC5" w:rsidR="0044745C">
        <w:rPr>
          <w:rFonts w:ascii="Arial Narrow" w:hAnsi="Arial Narrow" w:hint="default"/>
        </w:rPr>
        <w:t>ch v </w:t>
      </w:r>
      <w:r w:rsidRPr="00BF0BC5" w:rsidR="0044745C">
        <w:rPr>
          <w:rFonts w:ascii="Arial Narrow" w:hAnsi="Arial Narrow" w:hint="default"/>
        </w:rPr>
        <w:t>decembri 2009 vo výš</w:t>
      </w:r>
      <w:r w:rsidRPr="00BF0BC5" w:rsidR="0044745C">
        <w:rPr>
          <w:rFonts w:ascii="Arial Narrow" w:hAnsi="Arial Narrow" w:hint="default"/>
        </w:rPr>
        <w:t xml:space="preserve">ke 67,7 mil. </w:t>
      </w:r>
      <w:r w:rsidR="009F6ABF">
        <w:rPr>
          <w:rFonts w:ascii="Arial Narrow" w:hAnsi="Arial Narrow"/>
        </w:rPr>
        <w:t>e</w:t>
      </w:r>
      <w:r w:rsidRPr="00BF0BC5" w:rsidR="0044745C">
        <w:rPr>
          <w:rFonts w:ascii="Arial Narrow" w:hAnsi="Arial Narrow" w:hint="default"/>
        </w:rPr>
        <w:t>ur) do š</w:t>
      </w:r>
      <w:r w:rsidRPr="00BF0BC5" w:rsidR="0044745C">
        <w:rPr>
          <w:rFonts w:ascii="Arial Narrow" w:hAnsi="Arial Narrow" w:hint="default"/>
        </w:rPr>
        <w:t>tá</w:t>
      </w:r>
      <w:r w:rsidRPr="00BF0BC5" w:rsidR="0044745C">
        <w:rPr>
          <w:rFonts w:ascii="Arial Narrow" w:hAnsi="Arial Narrow" w:hint="default"/>
        </w:rPr>
        <w:t>tnych finanč</w:t>
      </w:r>
      <w:r w:rsidRPr="00BF0BC5" w:rsidR="0044745C">
        <w:rPr>
          <w:rFonts w:ascii="Arial Narrow" w:hAnsi="Arial Narrow" w:hint="default"/>
        </w:rPr>
        <w:t>ný</w:t>
      </w:r>
      <w:r w:rsidRPr="00BF0BC5" w:rsidR="0044745C">
        <w:rPr>
          <w:rFonts w:ascii="Arial Narrow" w:hAnsi="Arial Narrow" w:hint="default"/>
        </w:rPr>
        <w:t>ch aktí</w:t>
      </w:r>
      <w:r w:rsidRPr="00BF0BC5" w:rsidR="0044745C">
        <w:rPr>
          <w:rFonts w:ascii="Arial Narrow" w:hAnsi="Arial Narrow" w:hint="default"/>
        </w:rPr>
        <w:t>v. Oproti schvá</w:t>
      </w:r>
      <w:r w:rsidRPr="00BF0BC5" w:rsidR="0044745C">
        <w:rPr>
          <w:rFonts w:ascii="Arial Narrow" w:hAnsi="Arial Narrow" w:hint="default"/>
        </w:rPr>
        <w:t>lené</w:t>
      </w:r>
      <w:r w:rsidRPr="00BF0BC5" w:rsidR="0044745C">
        <w:rPr>
          <w:rFonts w:ascii="Arial Narrow" w:hAnsi="Arial Narrow" w:hint="default"/>
        </w:rPr>
        <w:t>mu rozpoč</w:t>
      </w:r>
      <w:r w:rsidRPr="00BF0BC5" w:rsidR="0044745C">
        <w:rPr>
          <w:rFonts w:ascii="Arial Narrow" w:hAnsi="Arial Narrow" w:hint="default"/>
        </w:rPr>
        <w:t>tu FNM SR sa oč</w:t>
      </w:r>
      <w:r w:rsidRPr="00BF0BC5" w:rsidR="0044745C">
        <w:rPr>
          <w:rFonts w:ascii="Arial Narrow" w:hAnsi="Arial Narrow" w:hint="default"/>
        </w:rPr>
        <w:t>aká</w:t>
      </w:r>
      <w:r w:rsidRPr="00BF0BC5" w:rsidR="0044745C">
        <w:rPr>
          <w:rFonts w:ascii="Arial Narrow" w:hAnsi="Arial Narrow" w:hint="default"/>
        </w:rPr>
        <w:t>va aj zvýš</w:t>
      </w:r>
      <w:r w:rsidRPr="00BF0BC5" w:rsidR="0044745C">
        <w:rPr>
          <w:rFonts w:ascii="Arial Narrow" w:hAnsi="Arial Narrow" w:hint="default"/>
        </w:rPr>
        <w:t>enie ná</w:t>
      </w:r>
      <w:r w:rsidRPr="00BF0BC5" w:rsidR="0044745C">
        <w:rPr>
          <w:rFonts w:ascii="Arial Narrow" w:hAnsi="Arial Narrow" w:hint="default"/>
        </w:rPr>
        <w:t>kladov spojený</w:t>
      </w:r>
      <w:r w:rsidRPr="00BF0BC5" w:rsidR="0044745C">
        <w:rPr>
          <w:rFonts w:ascii="Arial Narrow" w:hAnsi="Arial Narrow" w:hint="default"/>
        </w:rPr>
        <w:t>ch s </w:t>
      </w:r>
      <w:r w:rsidRPr="00BF0BC5" w:rsidR="0044745C">
        <w:rPr>
          <w:rFonts w:ascii="Arial Narrow" w:hAnsi="Arial Narrow" w:hint="default"/>
        </w:rPr>
        <w:t>mož</w:t>
      </w:r>
      <w:r w:rsidRPr="00BF0BC5" w:rsidR="0044745C">
        <w:rPr>
          <w:rFonts w:ascii="Arial Narrow" w:hAnsi="Arial Narrow" w:hint="default"/>
        </w:rPr>
        <w:t>ný</w:t>
      </w:r>
      <w:r w:rsidRPr="00BF0BC5" w:rsidR="0044745C">
        <w:rPr>
          <w:rFonts w:ascii="Arial Narrow" w:hAnsi="Arial Narrow" w:hint="default"/>
        </w:rPr>
        <w:t>m odkú</w:t>
      </w:r>
      <w:r w:rsidRPr="00BF0BC5" w:rsidR="0044745C">
        <w:rPr>
          <w:rFonts w:ascii="Arial Narrow" w:hAnsi="Arial Narrow" w:hint="default"/>
        </w:rPr>
        <w:t>pení</w:t>
      </w:r>
      <w:r w:rsidRPr="00BF0BC5" w:rsidR="0044745C">
        <w:rPr>
          <w:rFonts w:ascii="Arial Narrow" w:hAnsi="Arial Narrow" w:hint="default"/>
        </w:rPr>
        <w:t>m akc</w:t>
      </w:r>
      <w:r w:rsidRPr="00BF0BC5" w:rsidR="0044745C">
        <w:rPr>
          <w:rFonts w:ascii="Arial Narrow" w:hAnsi="Arial Narrow" w:hint="default"/>
        </w:rPr>
        <w:t>ií</w:t>
      </w:r>
      <w:r w:rsidRPr="00BF0BC5" w:rsidR="0044745C">
        <w:rPr>
          <w:rFonts w:ascii="Arial Narrow" w:hAnsi="Arial Narrow" w:hint="default"/>
        </w:rPr>
        <w:t xml:space="preserve"> z </w:t>
      </w:r>
      <w:r w:rsidRPr="00BF0BC5" w:rsidR="0044745C">
        <w:rPr>
          <w:rFonts w:ascii="Arial Narrow" w:hAnsi="Arial Narrow" w:hint="default"/>
        </w:rPr>
        <w:t>prvej vlny kupó</w:t>
      </w:r>
      <w:r w:rsidRPr="00BF0BC5" w:rsidR="0044745C">
        <w:rPr>
          <w:rFonts w:ascii="Arial Narrow" w:hAnsi="Arial Narrow" w:hint="default"/>
        </w:rPr>
        <w:t>novej privatizá</w:t>
      </w:r>
      <w:r w:rsidRPr="00BF0BC5" w:rsidR="0044745C">
        <w:rPr>
          <w:rFonts w:ascii="Arial Narrow" w:hAnsi="Arial Narrow" w:hint="default"/>
        </w:rPr>
        <w:t>cie od obč</w:t>
      </w:r>
      <w:r w:rsidRPr="00BF0BC5" w:rsidR="0044745C">
        <w:rPr>
          <w:rFonts w:ascii="Arial Narrow" w:hAnsi="Arial Narrow" w:hint="default"/>
        </w:rPr>
        <w:t>anov.</w:t>
      </w:r>
    </w:p>
    <w:p w:rsidR="00A54C73" w:rsidP="003A58B0">
      <w:pPr>
        <w:bidi w:val="0"/>
        <w:spacing w:line="240" w:lineRule="auto"/>
        <w:ind w:firstLine="709"/>
        <w:rPr>
          <w:rFonts w:ascii="Arial Narrow" w:hAnsi="Arial Narrow" w:cs="Arial Narrow"/>
        </w:rPr>
      </w:pPr>
      <w:r w:rsidRPr="00A35EC3" w:rsidR="009269E3">
        <w:rPr>
          <w:rFonts w:ascii="Arial Narrow" w:hAnsi="Arial Narrow" w:cs="Arial Narrow"/>
        </w:rPr>
        <w:t>Zmena odhadu deficitu verejnej</w:t>
      </w:r>
      <w:r w:rsidRPr="00A35EC3" w:rsidR="00A43DDC">
        <w:rPr>
          <w:rFonts w:ascii="Arial Narrow" w:hAnsi="Arial Narrow" w:cs="Arial Narrow"/>
        </w:rPr>
        <w:t xml:space="preserve"> </w:t>
      </w:r>
      <w:r w:rsidRPr="00A35EC3" w:rsidR="009269E3">
        <w:rPr>
          <w:rFonts w:ascii="Arial Narrow" w:hAnsi="Arial Narrow" w:cs="Arial Narrow"/>
        </w:rPr>
        <w:t>sp</w:t>
      </w:r>
      <w:r w:rsidRPr="00A35EC3" w:rsidR="00A43DDC">
        <w:rPr>
          <w:rFonts w:ascii="Arial Narrow" w:hAnsi="Arial Narrow" w:cs="Arial Narrow" w:hint="default"/>
        </w:rPr>
        <w:t>rá</w:t>
      </w:r>
      <w:r w:rsidRPr="00A35EC3" w:rsidR="00A43DDC">
        <w:rPr>
          <w:rFonts w:ascii="Arial Narrow" w:hAnsi="Arial Narrow" w:cs="Arial Narrow" w:hint="default"/>
        </w:rPr>
        <w:t>vy</w:t>
      </w:r>
      <w:r w:rsidRPr="00A35EC3" w:rsidR="009269E3">
        <w:rPr>
          <w:rFonts w:ascii="Arial Narrow" w:hAnsi="Arial Narrow" w:cs="Arial Narrow"/>
        </w:rPr>
        <w:t xml:space="preserve"> v metodike ESA</w:t>
      </w:r>
      <w:r w:rsidRPr="00A35EC3" w:rsidR="009F6ABF">
        <w:rPr>
          <w:rFonts w:ascii="Arial Narrow" w:hAnsi="Arial Narrow" w:cs="Arial Narrow"/>
        </w:rPr>
        <w:t xml:space="preserve"> </w:t>
      </w:r>
      <w:r w:rsidRPr="00A35EC3" w:rsidR="009269E3">
        <w:rPr>
          <w:rFonts w:ascii="Arial Narrow" w:hAnsi="Arial Narrow" w:cs="Arial Narrow" w:hint="default"/>
        </w:rPr>
        <w:t>95 je previazaná</w:t>
      </w:r>
      <w:r w:rsidRPr="00A35EC3" w:rsidR="009269E3">
        <w:rPr>
          <w:rFonts w:ascii="Arial Narrow" w:hAnsi="Arial Narrow" w:cs="Arial Narrow" w:hint="default"/>
        </w:rPr>
        <w:t xml:space="preserve"> s </w:t>
      </w:r>
      <w:r w:rsidRPr="00A35EC3" w:rsidR="009269E3">
        <w:rPr>
          <w:rFonts w:ascii="Arial Narrow" w:hAnsi="Arial Narrow" w:cs="Arial Narrow" w:hint="default"/>
        </w:rPr>
        <w:t>hospodá</w:t>
      </w:r>
      <w:r w:rsidRPr="00A35EC3" w:rsidR="009269E3">
        <w:rPr>
          <w:rFonts w:ascii="Arial Narrow" w:hAnsi="Arial Narrow" w:cs="Arial Narrow" w:hint="default"/>
        </w:rPr>
        <w:t>rení</w:t>
      </w:r>
      <w:r w:rsidRPr="00A35EC3" w:rsidR="009269E3">
        <w:rPr>
          <w:rFonts w:ascii="Arial Narrow" w:hAnsi="Arial Narrow" w:cs="Arial Narrow" w:hint="default"/>
        </w:rPr>
        <w:t>m verejnej</w:t>
      </w:r>
      <w:r w:rsidRPr="00A35EC3" w:rsidR="00A43DDC">
        <w:rPr>
          <w:rFonts w:ascii="Arial Narrow" w:hAnsi="Arial Narrow" w:cs="Arial Narrow"/>
        </w:rPr>
        <w:t xml:space="preserve"> </w:t>
      </w:r>
      <w:r w:rsidRPr="00A35EC3" w:rsidR="009269E3">
        <w:rPr>
          <w:rFonts w:ascii="Arial Narrow" w:hAnsi="Arial Narrow" w:cs="Arial Narrow"/>
        </w:rPr>
        <w:t>spr</w:t>
      </w:r>
      <w:r w:rsidRPr="00A35EC3" w:rsidR="00A43DDC">
        <w:rPr>
          <w:rFonts w:ascii="Arial Narrow" w:hAnsi="Arial Narrow" w:cs="Arial Narrow" w:hint="default"/>
        </w:rPr>
        <w:t>á</w:t>
      </w:r>
      <w:r w:rsidRPr="00A35EC3" w:rsidR="00A43DDC">
        <w:rPr>
          <w:rFonts w:ascii="Arial Narrow" w:hAnsi="Arial Narrow" w:cs="Arial Narrow" w:hint="default"/>
        </w:rPr>
        <w:t>vy</w:t>
      </w:r>
      <w:r w:rsidRPr="00A35EC3" w:rsidR="009269E3">
        <w:rPr>
          <w:rFonts w:ascii="Arial Narrow" w:hAnsi="Arial Narrow" w:cs="Arial Narrow" w:hint="default"/>
        </w:rPr>
        <w:t xml:space="preserve"> na hotovostnej bá</w:t>
      </w:r>
      <w:r w:rsidRPr="00A35EC3" w:rsidR="009269E3">
        <w:rPr>
          <w:rFonts w:ascii="Arial Narrow" w:hAnsi="Arial Narrow" w:cs="Arial Narrow" w:hint="default"/>
        </w:rPr>
        <w:t>z</w:t>
      </w:r>
      <w:r w:rsidRPr="00A35EC3" w:rsidR="00A43DDC">
        <w:rPr>
          <w:rFonts w:ascii="Arial Narrow" w:hAnsi="Arial Narrow" w:cs="Arial Narrow"/>
        </w:rPr>
        <w:t>e</w:t>
      </w:r>
      <w:r w:rsidRPr="00A35EC3" w:rsidR="009269E3">
        <w:rPr>
          <w:rFonts w:ascii="Arial Narrow" w:hAnsi="Arial Narrow" w:cs="Arial Narrow" w:hint="default"/>
        </w:rPr>
        <w:t>. Najvý</w:t>
      </w:r>
      <w:r w:rsidRPr="00A35EC3" w:rsidR="009269E3">
        <w:rPr>
          <w:rFonts w:ascii="Arial Narrow" w:hAnsi="Arial Narrow" w:cs="Arial Narrow" w:hint="default"/>
        </w:rPr>
        <w:t>znamnejš</w:t>
      </w:r>
      <w:r w:rsidRPr="00A35EC3" w:rsidR="009269E3">
        <w:rPr>
          <w:rFonts w:ascii="Arial Narrow" w:hAnsi="Arial Narrow" w:cs="Arial Narrow" w:hint="default"/>
        </w:rPr>
        <w:t>ou zlož</w:t>
      </w:r>
      <w:r w:rsidRPr="00A35EC3" w:rsidR="009269E3">
        <w:rPr>
          <w:rFonts w:ascii="Arial Narrow" w:hAnsi="Arial Narrow" w:cs="Arial Narrow" w:hint="default"/>
        </w:rPr>
        <w:t xml:space="preserve">kou je </w:t>
      </w:r>
      <w:r w:rsidRPr="00A35EC3" w:rsidR="00A43DDC">
        <w:rPr>
          <w:rFonts w:ascii="Arial Narrow" w:hAnsi="Arial Narrow" w:cs="Arial Narrow" w:hint="default"/>
        </w:rPr>
        <w:t>prá</w:t>
      </w:r>
      <w:r w:rsidRPr="00A35EC3" w:rsidR="00A43DDC">
        <w:rPr>
          <w:rFonts w:ascii="Arial Narrow" w:hAnsi="Arial Narrow" w:cs="Arial Narrow" w:hint="default"/>
        </w:rPr>
        <w:t xml:space="preserve">ve </w:t>
      </w:r>
      <w:r w:rsidRPr="00A35EC3" w:rsidR="009269E3">
        <w:rPr>
          <w:rFonts w:ascii="Arial Narrow" w:hAnsi="Arial Narrow" w:cs="Arial Narrow" w:hint="default"/>
        </w:rPr>
        <w:t>š</w:t>
      </w:r>
      <w:r w:rsidRPr="00A35EC3" w:rsidR="009269E3">
        <w:rPr>
          <w:rFonts w:ascii="Arial Narrow" w:hAnsi="Arial Narrow" w:cs="Arial Narrow" w:hint="default"/>
        </w:rPr>
        <w:t>tá</w:t>
      </w:r>
      <w:r w:rsidRPr="00A35EC3" w:rsidR="009269E3">
        <w:rPr>
          <w:rFonts w:ascii="Arial Narrow" w:hAnsi="Arial Narrow" w:cs="Arial Narrow" w:hint="default"/>
        </w:rPr>
        <w:t>tny rozpoč</w:t>
      </w:r>
      <w:r w:rsidRPr="00A35EC3" w:rsidR="009269E3">
        <w:rPr>
          <w:rFonts w:ascii="Arial Narrow" w:hAnsi="Arial Narrow" w:cs="Arial Narrow" w:hint="default"/>
        </w:rPr>
        <w:t>et, prič</w:t>
      </w:r>
      <w:r w:rsidRPr="00A35EC3" w:rsidR="009269E3">
        <w:rPr>
          <w:rFonts w:ascii="Arial Narrow" w:hAnsi="Arial Narrow" w:cs="Arial Narrow" w:hint="default"/>
        </w:rPr>
        <w:t>om fakt</w:t>
      </w:r>
      <w:r w:rsidRPr="00A35EC3" w:rsidR="00A43DDC">
        <w:rPr>
          <w:rFonts w:ascii="Arial Narrow" w:hAnsi="Arial Narrow" w:cs="Arial Narrow"/>
        </w:rPr>
        <w:t>o</w:t>
      </w:r>
      <w:r w:rsidRPr="00A35EC3" w:rsidR="009269E3">
        <w:rPr>
          <w:rFonts w:ascii="Arial Narrow" w:hAnsi="Arial Narrow" w:cs="Arial Narrow" w:hint="default"/>
        </w:rPr>
        <w:t>ry spô</w:t>
      </w:r>
      <w:r w:rsidRPr="00A35EC3" w:rsidR="009269E3">
        <w:rPr>
          <w:rFonts w:ascii="Arial Narrow" w:hAnsi="Arial Narrow" w:cs="Arial Narrow" w:hint="default"/>
        </w:rPr>
        <w:t>sobujú</w:t>
      </w:r>
      <w:r w:rsidRPr="00A35EC3" w:rsidR="009269E3">
        <w:rPr>
          <w:rFonts w:ascii="Arial Narrow" w:hAnsi="Arial Narrow" w:cs="Arial Narrow" w:hint="default"/>
        </w:rPr>
        <w:t xml:space="preserve">ce zmenu </w:t>
      </w:r>
      <w:r w:rsidRPr="00A35EC3" w:rsidR="009269E3">
        <w:rPr>
          <w:rFonts w:ascii="Arial Narrow" w:hAnsi="Arial Narrow" w:cs="Arial Narrow" w:hint="default"/>
        </w:rPr>
        <w:t>odhadu hotovostný</w:t>
      </w:r>
      <w:r w:rsidRPr="00A35EC3" w:rsidR="009269E3">
        <w:rPr>
          <w:rFonts w:ascii="Arial Narrow" w:hAnsi="Arial Narrow" w:cs="Arial Narrow" w:hint="default"/>
        </w:rPr>
        <w:t>ch prí</w:t>
      </w:r>
      <w:r w:rsidRPr="00A35EC3" w:rsidR="009269E3">
        <w:rPr>
          <w:rFonts w:ascii="Arial Narrow" w:hAnsi="Arial Narrow" w:cs="Arial Narrow" w:hint="default"/>
        </w:rPr>
        <w:t>jmov a </w:t>
      </w:r>
      <w:r w:rsidRPr="00A35EC3" w:rsidR="009269E3">
        <w:rPr>
          <w:rFonts w:ascii="Arial Narrow" w:hAnsi="Arial Narrow" w:cs="Arial Narrow" w:hint="default"/>
        </w:rPr>
        <w:t>vý</w:t>
      </w:r>
      <w:r w:rsidRPr="00A35EC3" w:rsidR="009269E3">
        <w:rPr>
          <w:rFonts w:ascii="Arial Narrow" w:hAnsi="Arial Narrow" w:cs="Arial Narrow" w:hint="default"/>
        </w:rPr>
        <w:t>davkov sú</w:t>
      </w:r>
      <w:r w:rsidRPr="00A35EC3" w:rsidR="009269E3">
        <w:rPr>
          <w:rFonts w:ascii="Arial Narrow" w:hAnsi="Arial Narrow" w:cs="Arial Narrow" w:hint="default"/>
        </w:rPr>
        <w:t xml:space="preserve"> uvedené</w:t>
      </w:r>
      <w:r w:rsidRPr="00A35EC3" w:rsidR="009269E3">
        <w:rPr>
          <w:rFonts w:ascii="Arial Narrow" w:hAnsi="Arial Narrow" w:cs="Arial Narrow" w:hint="default"/>
        </w:rPr>
        <w:t xml:space="preserve"> v </w:t>
      </w:r>
      <w:r w:rsidRPr="00A35EC3" w:rsidR="009269E3">
        <w:rPr>
          <w:rFonts w:ascii="Arial Narrow" w:hAnsi="Arial Narrow" w:cs="Arial Narrow" w:hint="default"/>
        </w:rPr>
        <w:t>Osobitnej č</w:t>
      </w:r>
      <w:r w:rsidRPr="00A35EC3" w:rsidR="009269E3">
        <w:rPr>
          <w:rFonts w:ascii="Arial Narrow" w:hAnsi="Arial Narrow" w:cs="Arial Narrow" w:hint="default"/>
        </w:rPr>
        <w:t>asti dô</w:t>
      </w:r>
      <w:r w:rsidRPr="00A35EC3" w:rsidR="009269E3">
        <w:rPr>
          <w:rFonts w:ascii="Arial Narrow" w:hAnsi="Arial Narrow" w:cs="Arial Narrow" w:hint="default"/>
        </w:rPr>
        <w:t>vodovej sprá</w:t>
      </w:r>
      <w:r w:rsidRPr="00A35EC3" w:rsidR="009269E3">
        <w:rPr>
          <w:rFonts w:ascii="Arial Narrow" w:hAnsi="Arial Narrow" w:cs="Arial Narrow" w:hint="default"/>
        </w:rPr>
        <w:t>vy.</w:t>
      </w:r>
    </w:p>
    <w:p w:rsidR="00916ABC" w:rsidP="003A58B0">
      <w:pPr>
        <w:pStyle w:val="BodyTextIndent"/>
        <w:bidi w:val="0"/>
        <w:spacing w:after="200"/>
        <w:ind w:left="0" w:firstLine="709"/>
        <w:rPr>
          <w:rFonts w:ascii="Arial Narrow" w:hAnsi="Arial Narrow"/>
          <w:sz w:val="22"/>
          <w:szCs w:val="22"/>
        </w:rPr>
      </w:pPr>
      <w:r w:rsidRPr="004953AE">
        <w:rPr>
          <w:rFonts w:ascii="Arial Narrow" w:hAnsi="Arial Narrow"/>
          <w:sz w:val="22"/>
          <w:szCs w:val="22"/>
        </w:rPr>
        <w:t>Návrh zákona je v súlade s Ústavou Slovenskej republiky, ústavnými zákonmi a ďalšími zákonmi platnými v Slovenskej republike, ako aj medzinárodnými zmluvami a inými dokumentmi, ktorými je Slovenská republika viazaná a s právom Európskej únie.</w:t>
      </w:r>
    </w:p>
    <w:p w:rsidR="00916ABC" w:rsidP="004953AE">
      <w:pPr>
        <w:bidi w:val="0"/>
        <w:rPr>
          <w:rFonts w:ascii="Arial Narrow" w:hAnsi="Arial Narrow" w:cs="Arial Narrow"/>
        </w:rPr>
      </w:pPr>
    </w:p>
    <w:p w:rsidR="00916ABC" w:rsidP="004953AE">
      <w:pPr>
        <w:bidi w:val="0"/>
        <w:rPr>
          <w:rFonts w:ascii="Arial Narrow" w:hAnsi="Arial Narrow" w:cs="Arial Narrow"/>
        </w:rPr>
      </w:pPr>
    </w:p>
    <w:p w:rsidR="00916ABC" w:rsidP="004953AE">
      <w:pPr>
        <w:bidi w:val="0"/>
        <w:rPr>
          <w:rFonts w:ascii="Arial Narrow" w:hAnsi="Arial Narrow" w:cs="Arial Narrow"/>
        </w:rPr>
      </w:pPr>
    </w:p>
    <w:p w:rsidR="00916ABC" w:rsidP="004953AE">
      <w:pPr>
        <w:bidi w:val="0"/>
        <w:rPr>
          <w:rFonts w:ascii="Arial Narrow" w:hAnsi="Arial Narrow" w:cs="Arial Narrow"/>
        </w:rPr>
      </w:pPr>
    </w:p>
    <w:p w:rsidR="00916ABC" w:rsidP="004953AE">
      <w:pPr>
        <w:bidi w:val="0"/>
        <w:rPr>
          <w:rFonts w:ascii="Arial Narrow" w:hAnsi="Arial Narrow" w:cs="Arial Narrow"/>
        </w:rPr>
      </w:pPr>
    </w:p>
    <w:p w:rsidR="00916ABC" w:rsidP="004953AE">
      <w:pPr>
        <w:bidi w:val="0"/>
        <w:rPr>
          <w:rFonts w:ascii="Arial Narrow" w:hAnsi="Arial Narrow" w:cs="Arial Narrow"/>
        </w:rPr>
      </w:pPr>
    </w:p>
    <w:p w:rsidR="00916ABC" w:rsidP="004953AE">
      <w:pPr>
        <w:bidi w:val="0"/>
        <w:rPr>
          <w:rFonts w:ascii="Arial Narrow" w:hAnsi="Arial Narrow" w:cs="Arial Narrow"/>
        </w:rPr>
      </w:pPr>
    </w:p>
    <w:p w:rsidR="00916ABC" w:rsidP="004953AE">
      <w:pPr>
        <w:bidi w:val="0"/>
        <w:rPr>
          <w:rFonts w:ascii="Arial Narrow" w:hAnsi="Arial Narrow" w:cs="Arial Narrow"/>
        </w:rPr>
      </w:pPr>
    </w:p>
    <w:p w:rsidR="00916ABC" w:rsidP="004953AE">
      <w:pPr>
        <w:bidi w:val="0"/>
        <w:rPr>
          <w:rFonts w:ascii="Arial Narrow" w:hAnsi="Arial Narrow" w:cs="Arial Narrow"/>
        </w:rPr>
      </w:pPr>
    </w:p>
    <w:p w:rsidR="00916ABC" w:rsidP="004953AE">
      <w:pPr>
        <w:bidi w:val="0"/>
        <w:rPr>
          <w:rFonts w:ascii="Arial Narrow" w:hAnsi="Arial Narrow" w:cs="Arial Narrow"/>
        </w:rPr>
      </w:pPr>
    </w:p>
    <w:p w:rsidR="00916ABC" w:rsidP="004953AE">
      <w:pPr>
        <w:bidi w:val="0"/>
        <w:rPr>
          <w:rFonts w:ascii="Arial Narrow" w:hAnsi="Arial Narrow" w:cs="Arial Narrow"/>
        </w:rPr>
      </w:pPr>
    </w:p>
    <w:p w:rsidR="00916ABC" w:rsidP="004953AE">
      <w:pPr>
        <w:bidi w:val="0"/>
        <w:rPr>
          <w:rFonts w:ascii="Arial Narrow" w:hAnsi="Arial Narrow" w:cs="Arial Narrow"/>
        </w:rPr>
      </w:pPr>
    </w:p>
    <w:p w:rsidR="00916ABC" w:rsidP="004953AE">
      <w:pPr>
        <w:bidi w:val="0"/>
        <w:rPr>
          <w:rFonts w:ascii="Arial Narrow" w:hAnsi="Arial Narrow" w:cs="Arial Narrow"/>
        </w:rPr>
      </w:pPr>
    </w:p>
    <w:p w:rsidR="00916ABC" w:rsidP="004953AE">
      <w:pPr>
        <w:bidi w:val="0"/>
        <w:rPr>
          <w:rFonts w:ascii="Arial Narrow" w:hAnsi="Arial Narrow" w:cs="Arial Narrow"/>
        </w:rPr>
      </w:pPr>
    </w:p>
    <w:p w:rsidR="00916ABC" w:rsidP="004953AE">
      <w:pPr>
        <w:bidi w:val="0"/>
        <w:rPr>
          <w:rFonts w:ascii="Arial Narrow" w:hAnsi="Arial Narrow" w:cs="Arial Narrow"/>
        </w:rPr>
      </w:pPr>
    </w:p>
    <w:p w:rsidR="00916ABC" w:rsidP="004953AE">
      <w:pPr>
        <w:bidi w:val="0"/>
        <w:rPr>
          <w:rFonts w:ascii="Arial Narrow" w:hAnsi="Arial Narrow" w:cs="Arial Narrow"/>
        </w:rPr>
      </w:pPr>
    </w:p>
    <w:p w:rsidR="00916ABC" w:rsidP="004953AE">
      <w:pPr>
        <w:bidi w:val="0"/>
        <w:rPr>
          <w:rFonts w:ascii="Arial Narrow" w:hAnsi="Arial Narrow" w:cs="Arial Narrow"/>
        </w:rPr>
      </w:pPr>
    </w:p>
    <w:p w:rsidR="00916ABC" w:rsidP="004953AE">
      <w:pPr>
        <w:bidi w:val="0"/>
        <w:rPr>
          <w:rFonts w:ascii="Arial Narrow" w:hAnsi="Arial Narrow" w:cs="Arial Narrow"/>
        </w:rPr>
      </w:pPr>
    </w:p>
    <w:p w:rsidR="00916ABC" w:rsidP="004953AE">
      <w:pPr>
        <w:bidi w:val="0"/>
        <w:rPr>
          <w:rFonts w:ascii="Arial Narrow" w:hAnsi="Arial Narrow" w:cs="Arial Narrow"/>
        </w:rPr>
      </w:pPr>
    </w:p>
    <w:p w:rsidR="00FB3F7C" w:rsidP="004953AE">
      <w:pPr>
        <w:bidi w:val="0"/>
        <w:rPr>
          <w:rFonts w:ascii="Arial Narrow" w:hAnsi="Arial Narrow" w:cs="Arial Narrow"/>
        </w:rPr>
      </w:pPr>
    </w:p>
    <w:p w:rsidR="00FB3F7C" w:rsidP="004953AE">
      <w:pPr>
        <w:bidi w:val="0"/>
        <w:rPr>
          <w:rFonts w:ascii="Arial Narrow" w:hAnsi="Arial Narrow" w:cs="Arial Narrow"/>
        </w:rPr>
      </w:pPr>
    </w:p>
    <w:p w:rsidR="00FB3F7C" w:rsidP="004953AE">
      <w:pPr>
        <w:bidi w:val="0"/>
        <w:rPr>
          <w:rFonts w:ascii="Arial Narrow" w:hAnsi="Arial Narrow" w:cs="Arial Narrow"/>
        </w:rPr>
      </w:pPr>
    </w:p>
    <w:p w:rsidR="00916ABC" w:rsidP="004953AE">
      <w:pPr>
        <w:bidi w:val="0"/>
        <w:rPr>
          <w:rFonts w:ascii="Arial Narrow" w:hAnsi="Arial Narrow" w:cs="Arial Narrow"/>
        </w:rPr>
      </w:pPr>
    </w:p>
    <w:p w:rsidR="00987796" w:rsidP="004953AE">
      <w:pPr>
        <w:bidi w:val="0"/>
        <w:rPr>
          <w:rFonts w:ascii="Arial Narrow" w:hAnsi="Arial Narrow" w:cs="Arial Narrow"/>
        </w:rPr>
      </w:pPr>
    </w:p>
    <w:p w:rsidR="00987796" w:rsidP="004953AE">
      <w:pPr>
        <w:bidi w:val="0"/>
        <w:rPr>
          <w:rFonts w:ascii="Arial Narrow" w:hAnsi="Arial Narrow" w:cs="Arial Narrow"/>
        </w:rPr>
      </w:pPr>
    </w:p>
    <w:p w:rsidR="00934975" w:rsidP="00934975">
      <w:pPr>
        <w:pStyle w:val="Zkladntext"/>
        <w:bidi w:val="0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II. Osobitná časť</w:t>
      </w:r>
    </w:p>
    <w:p w:rsidR="00934975" w:rsidP="00934975">
      <w:pPr>
        <w:pStyle w:val="Zkladntext"/>
        <w:bidi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</w:p>
    <w:p w:rsidR="001E5F52" w:rsidP="00934975">
      <w:pPr>
        <w:pStyle w:val="Zkladntext"/>
        <w:bidi w:val="0"/>
        <w:spacing w:line="360" w:lineRule="auto"/>
        <w:rPr>
          <w:rFonts w:ascii="Arial Narrow" w:hAnsi="Arial Narrow"/>
          <w:b/>
          <w:sz w:val="22"/>
          <w:szCs w:val="22"/>
        </w:rPr>
      </w:pPr>
      <w:r w:rsidRPr="00934975" w:rsidR="00934975">
        <w:rPr>
          <w:rFonts w:ascii="Arial Narrow" w:hAnsi="Arial Narrow"/>
          <w:b/>
          <w:sz w:val="22"/>
          <w:szCs w:val="22"/>
        </w:rPr>
        <w:t>K čl</w:t>
      </w:r>
      <w:r w:rsidR="007A72D5">
        <w:rPr>
          <w:rFonts w:ascii="Arial Narrow" w:hAnsi="Arial Narrow"/>
          <w:b/>
          <w:sz w:val="22"/>
          <w:szCs w:val="22"/>
        </w:rPr>
        <w:t>ánku</w:t>
      </w:r>
      <w:r w:rsidRPr="00934975" w:rsidR="00934975">
        <w:rPr>
          <w:rFonts w:ascii="Arial Narrow" w:hAnsi="Arial Narrow"/>
          <w:b/>
          <w:sz w:val="22"/>
          <w:szCs w:val="22"/>
        </w:rPr>
        <w:t xml:space="preserve"> I  </w:t>
      </w:r>
    </w:p>
    <w:p w:rsidR="008173F6" w:rsidRPr="00974C38" w:rsidP="008173F6">
      <w:pPr>
        <w:pStyle w:val="Zkladntext"/>
        <w:bidi w:val="0"/>
        <w:spacing w:line="360" w:lineRule="auto"/>
        <w:rPr>
          <w:rFonts w:ascii="Arial Narrow" w:hAnsi="Arial Narrow"/>
          <w:color w:val="auto"/>
          <w:sz w:val="22"/>
          <w:szCs w:val="22"/>
        </w:rPr>
      </w:pPr>
      <w:r w:rsidRPr="00974C38">
        <w:rPr>
          <w:rFonts w:ascii="Arial Narrow" w:hAnsi="Arial Narrow"/>
          <w:color w:val="auto"/>
          <w:sz w:val="22"/>
          <w:szCs w:val="22"/>
        </w:rPr>
        <w:t>K bodu 1 a 2</w:t>
      </w:r>
    </w:p>
    <w:p w:rsidR="008173F6" w:rsidRPr="002346FF" w:rsidP="002346FF">
      <w:pPr>
        <w:bidi w:val="0"/>
        <w:spacing w:line="240" w:lineRule="auto"/>
        <w:rPr>
          <w:rFonts w:ascii="Arial Narrow" w:hAnsi="Arial Narrow" w:hint="default"/>
        </w:rPr>
      </w:pPr>
      <w:r w:rsidRPr="002346FF">
        <w:rPr>
          <w:rFonts w:ascii="Arial Narrow" w:hAnsi="Arial Narrow" w:hint="default"/>
        </w:rPr>
        <w:t>Celkové</w:t>
      </w:r>
      <w:r w:rsidRPr="002346FF">
        <w:rPr>
          <w:rFonts w:ascii="Arial Narrow" w:hAnsi="Arial Narrow" w:hint="default"/>
        </w:rPr>
        <w:t xml:space="preserve"> prí</w:t>
      </w:r>
      <w:r w:rsidRPr="002346FF">
        <w:rPr>
          <w:rFonts w:ascii="Arial Narrow" w:hAnsi="Arial Narrow" w:hint="default"/>
        </w:rPr>
        <w:t>jmy š</w:t>
      </w:r>
      <w:r w:rsidRPr="002346FF">
        <w:rPr>
          <w:rFonts w:ascii="Arial Narrow" w:hAnsi="Arial Narrow" w:hint="default"/>
        </w:rPr>
        <w:t>tá</w:t>
      </w:r>
      <w:r w:rsidRPr="002346FF">
        <w:rPr>
          <w:rFonts w:ascii="Arial Narrow" w:hAnsi="Arial Narrow" w:hint="default"/>
        </w:rPr>
        <w:t>tneho rozpoč</w:t>
      </w:r>
      <w:r w:rsidRPr="002346FF">
        <w:rPr>
          <w:rFonts w:ascii="Arial Narrow" w:hAnsi="Arial Narrow" w:hint="default"/>
        </w:rPr>
        <w:t>tu sa upravujú</w:t>
      </w:r>
      <w:r w:rsidRPr="002346FF">
        <w:rPr>
          <w:rFonts w:ascii="Arial Narrow" w:hAnsi="Arial Narrow" w:hint="default"/>
        </w:rPr>
        <w:t xml:space="preserve"> v </w:t>
      </w:r>
      <w:r w:rsidRPr="002346FF">
        <w:rPr>
          <w:rFonts w:ascii="Arial Narrow" w:hAnsi="Arial Narrow" w:hint="default"/>
        </w:rPr>
        <w:t>sú</w:t>
      </w:r>
      <w:r w:rsidRPr="002346FF">
        <w:rPr>
          <w:rFonts w:ascii="Arial Narrow" w:hAnsi="Arial Narrow" w:hint="default"/>
        </w:rPr>
        <w:t>vislosti s</w:t>
      </w:r>
      <w:r w:rsidRPr="002346FF" w:rsidR="00A62333">
        <w:rPr>
          <w:rFonts w:ascii="Arial Narrow" w:hAnsi="Arial Narrow" w:hint="default"/>
        </w:rPr>
        <w:t>o zreá</w:t>
      </w:r>
      <w:r w:rsidRPr="002346FF" w:rsidR="00A62333">
        <w:rPr>
          <w:rFonts w:ascii="Arial Narrow" w:hAnsi="Arial Narrow" w:hint="default"/>
        </w:rPr>
        <w:t>lnení</w:t>
      </w:r>
      <w:r w:rsidRPr="002346FF" w:rsidR="00A62333">
        <w:rPr>
          <w:rFonts w:ascii="Arial Narrow" w:hAnsi="Arial Narrow" w:hint="default"/>
        </w:rPr>
        <w:t>m makroekonomický</w:t>
      </w:r>
      <w:r w:rsidRPr="002346FF" w:rsidR="00A62333">
        <w:rPr>
          <w:rFonts w:ascii="Arial Narrow" w:hAnsi="Arial Narrow" w:hint="default"/>
        </w:rPr>
        <w:t>ch ukazovateľ</w:t>
      </w:r>
      <w:r w:rsidRPr="002346FF" w:rsidR="00A62333">
        <w:rPr>
          <w:rFonts w:ascii="Arial Narrow" w:hAnsi="Arial Narrow" w:hint="default"/>
        </w:rPr>
        <w:t xml:space="preserve">ov a ich </w:t>
      </w:r>
      <w:r w:rsidRPr="002346FF" w:rsidR="00A62333">
        <w:rPr>
          <w:rFonts w:ascii="Arial Narrow" w:hAnsi="Arial Narrow" w:hint="default"/>
        </w:rPr>
        <w:t>vplyvom na daň</w:t>
      </w:r>
      <w:r w:rsidRPr="002346FF" w:rsidR="00A62333">
        <w:rPr>
          <w:rFonts w:ascii="Arial Narrow" w:hAnsi="Arial Narrow" w:hint="default"/>
        </w:rPr>
        <w:t>ové</w:t>
      </w:r>
      <w:r w:rsidRPr="002346FF" w:rsidR="00A62333">
        <w:rPr>
          <w:rFonts w:ascii="Arial Narrow" w:hAnsi="Arial Narrow" w:hint="default"/>
        </w:rPr>
        <w:t xml:space="preserve"> prí</w:t>
      </w:r>
      <w:r w:rsidRPr="002346FF" w:rsidR="00A62333">
        <w:rPr>
          <w:rFonts w:ascii="Arial Narrow" w:hAnsi="Arial Narrow" w:hint="default"/>
        </w:rPr>
        <w:t xml:space="preserve">jmy </w:t>
      </w:r>
      <w:r w:rsidR="002900DE">
        <w:rPr>
          <w:rFonts w:ascii="Arial Narrow" w:hAnsi="Arial Narrow" w:hint="default"/>
        </w:rPr>
        <w:t>vo výš</w:t>
      </w:r>
      <w:r w:rsidR="002900DE">
        <w:rPr>
          <w:rFonts w:ascii="Arial Narrow" w:hAnsi="Arial Narrow" w:hint="default"/>
        </w:rPr>
        <w:t xml:space="preserve">ke 620,5 mil. eur </w:t>
      </w:r>
      <w:r w:rsidRPr="002346FF" w:rsidR="00A62333">
        <w:rPr>
          <w:rFonts w:ascii="Arial Narrow" w:hAnsi="Arial Narrow"/>
        </w:rPr>
        <w:t>a v</w:t>
      </w:r>
      <w:r w:rsidRPr="002346FF">
        <w:rPr>
          <w:rFonts w:ascii="Arial Narrow" w:hAnsi="Arial Narrow"/>
        </w:rPr>
        <w:t> </w:t>
      </w:r>
      <w:r w:rsidRPr="002346FF">
        <w:rPr>
          <w:rFonts w:ascii="Arial Narrow" w:hAnsi="Arial Narrow" w:hint="default"/>
        </w:rPr>
        <w:t>nadvä</w:t>
      </w:r>
      <w:r w:rsidRPr="002346FF">
        <w:rPr>
          <w:rFonts w:ascii="Arial Narrow" w:hAnsi="Arial Narrow" w:hint="default"/>
        </w:rPr>
        <w:t>znosti na zreá</w:t>
      </w:r>
      <w:r w:rsidRPr="002346FF">
        <w:rPr>
          <w:rFonts w:ascii="Arial Narrow" w:hAnsi="Arial Narrow" w:hint="default"/>
        </w:rPr>
        <w:t>lnenie nedaň</w:t>
      </w:r>
      <w:r w:rsidRPr="002346FF">
        <w:rPr>
          <w:rFonts w:ascii="Arial Narrow" w:hAnsi="Arial Narrow" w:hint="default"/>
        </w:rPr>
        <w:t>ový</w:t>
      </w:r>
      <w:r w:rsidRPr="002346FF">
        <w:rPr>
          <w:rFonts w:ascii="Arial Narrow" w:hAnsi="Arial Narrow" w:hint="default"/>
        </w:rPr>
        <w:t>ch prí</w:t>
      </w:r>
      <w:r w:rsidRPr="002346FF">
        <w:rPr>
          <w:rFonts w:ascii="Arial Narrow" w:hAnsi="Arial Narrow" w:hint="default"/>
        </w:rPr>
        <w:t>jmov</w:t>
      </w:r>
      <w:r w:rsidR="002900DE">
        <w:rPr>
          <w:rFonts w:ascii="Arial Narrow" w:hAnsi="Arial Narrow"/>
        </w:rPr>
        <w:t xml:space="preserve"> o 43,5 mil. eur</w:t>
      </w:r>
      <w:r w:rsidRPr="002346FF">
        <w:rPr>
          <w:rFonts w:ascii="Arial Narrow" w:hAnsi="Arial Narrow"/>
        </w:rPr>
        <w:t xml:space="preserve">. </w:t>
      </w:r>
      <w:r w:rsidRPr="002346FF" w:rsidR="003A4A63">
        <w:rPr>
          <w:rFonts w:ascii="Arial Narrow" w:hAnsi="Arial Narrow" w:hint="default"/>
        </w:rPr>
        <w:t>Zá</w:t>
      </w:r>
      <w:r w:rsidRPr="002346FF" w:rsidR="003A4A63">
        <w:rPr>
          <w:rFonts w:ascii="Arial Narrow" w:hAnsi="Arial Narrow" w:hint="default"/>
        </w:rPr>
        <w:t>roveň</w:t>
      </w:r>
      <w:r w:rsidRPr="002346FF" w:rsidR="003A4A63">
        <w:rPr>
          <w:rFonts w:ascii="Arial Narrow" w:hAnsi="Arial Narrow" w:hint="default"/>
        </w:rPr>
        <w:t xml:space="preserve"> sa upravujú</w:t>
      </w:r>
      <w:r w:rsidRPr="002346FF" w:rsidR="003A4A63">
        <w:rPr>
          <w:rFonts w:ascii="Arial Narrow" w:hAnsi="Arial Narrow" w:hint="default"/>
        </w:rPr>
        <w:t xml:space="preserve"> aj celkové</w:t>
      </w:r>
      <w:r w:rsidRPr="002346FF" w:rsidR="003A4A63">
        <w:rPr>
          <w:rFonts w:ascii="Arial Narrow" w:hAnsi="Arial Narrow" w:hint="default"/>
        </w:rPr>
        <w:t xml:space="preserve"> vý</w:t>
      </w:r>
      <w:r w:rsidRPr="002346FF" w:rsidR="003A4A63">
        <w:rPr>
          <w:rFonts w:ascii="Arial Narrow" w:hAnsi="Arial Narrow" w:hint="default"/>
        </w:rPr>
        <w:t>davky š</w:t>
      </w:r>
      <w:r w:rsidRPr="002346FF" w:rsidR="003A4A63">
        <w:rPr>
          <w:rFonts w:ascii="Arial Narrow" w:hAnsi="Arial Narrow" w:hint="default"/>
        </w:rPr>
        <w:t>tá</w:t>
      </w:r>
      <w:r w:rsidRPr="002346FF" w:rsidR="003A4A63">
        <w:rPr>
          <w:rFonts w:ascii="Arial Narrow" w:hAnsi="Arial Narrow" w:hint="default"/>
        </w:rPr>
        <w:t>tneho rozpoč</w:t>
      </w:r>
      <w:r w:rsidRPr="002346FF" w:rsidR="003A4A63">
        <w:rPr>
          <w:rFonts w:ascii="Arial Narrow" w:hAnsi="Arial Narrow" w:hint="default"/>
        </w:rPr>
        <w:t>tu z </w:t>
      </w:r>
      <w:r w:rsidRPr="002346FF" w:rsidR="003A4A63">
        <w:rPr>
          <w:rFonts w:ascii="Arial Narrow" w:hAnsi="Arial Narrow" w:hint="default"/>
        </w:rPr>
        <w:t>dô</w:t>
      </w:r>
      <w:r w:rsidRPr="002346FF" w:rsidR="003A4A63">
        <w:rPr>
          <w:rFonts w:ascii="Arial Narrow" w:hAnsi="Arial Narrow" w:hint="default"/>
        </w:rPr>
        <w:t>vodu potreby zabezpeč</w:t>
      </w:r>
      <w:r w:rsidRPr="002346FF" w:rsidR="003A4A63">
        <w:rPr>
          <w:rFonts w:ascii="Arial Narrow" w:hAnsi="Arial Narrow" w:hint="default"/>
        </w:rPr>
        <w:t>enia krytia nevyhnutný</w:t>
      </w:r>
      <w:r w:rsidRPr="002346FF" w:rsidR="003A4A63">
        <w:rPr>
          <w:rFonts w:ascii="Arial Narrow" w:hAnsi="Arial Narrow" w:hint="default"/>
        </w:rPr>
        <w:t>ch</w:t>
      </w:r>
      <w:r w:rsidRPr="002346FF" w:rsidR="002346FF">
        <w:rPr>
          <w:rFonts w:ascii="Arial Narrow" w:hAnsi="Arial Narrow" w:hint="default"/>
        </w:rPr>
        <w:t xml:space="preserve"> vý</w:t>
      </w:r>
      <w:r w:rsidRPr="002346FF" w:rsidR="002346FF">
        <w:rPr>
          <w:rFonts w:ascii="Arial Narrow" w:hAnsi="Arial Narrow" w:hint="default"/>
        </w:rPr>
        <w:t>davkov vo výš</w:t>
      </w:r>
      <w:r w:rsidRPr="002346FF" w:rsidR="002346FF">
        <w:rPr>
          <w:rFonts w:ascii="Arial Narrow" w:hAnsi="Arial Narrow" w:hint="default"/>
        </w:rPr>
        <w:t xml:space="preserve">ke 200 mil. eur na </w:t>
      </w:r>
      <w:r w:rsidRPr="002346FF" w:rsidR="002346FF">
        <w:rPr>
          <w:rFonts w:ascii="Arial Narrow" w:hAnsi="Arial Narrow" w:hint="default"/>
        </w:rPr>
        <w:t>odstrá</w:t>
      </w:r>
      <w:r w:rsidRPr="002346FF" w:rsidR="002346FF">
        <w:rPr>
          <w:rFonts w:ascii="Arial Narrow" w:hAnsi="Arial Narrow" w:hint="default"/>
        </w:rPr>
        <w:t>nenie š</w:t>
      </w:r>
      <w:r w:rsidRPr="002346FF" w:rsidR="002346FF">
        <w:rPr>
          <w:rFonts w:ascii="Arial Narrow" w:hAnsi="Arial Narrow" w:hint="default"/>
        </w:rPr>
        <w:t>kô</w:t>
      </w:r>
      <w:r w:rsidRPr="002346FF" w:rsidR="002346FF">
        <w:rPr>
          <w:rFonts w:ascii="Arial Narrow" w:hAnsi="Arial Narrow" w:hint="default"/>
        </w:rPr>
        <w:t>d spô</w:t>
      </w:r>
      <w:r w:rsidRPr="002346FF" w:rsidR="002346FF">
        <w:rPr>
          <w:rFonts w:ascii="Arial Narrow" w:hAnsi="Arial Narrow" w:hint="default"/>
        </w:rPr>
        <w:t>sobený</w:t>
      </w:r>
      <w:r w:rsidRPr="002346FF" w:rsidR="002346FF">
        <w:rPr>
          <w:rFonts w:ascii="Arial Narrow" w:hAnsi="Arial Narrow" w:hint="default"/>
        </w:rPr>
        <w:t>ch povodň</w:t>
      </w:r>
      <w:r w:rsidRPr="002346FF" w:rsidR="002346FF">
        <w:rPr>
          <w:rFonts w:ascii="Arial Narrow" w:hAnsi="Arial Narrow" w:hint="default"/>
        </w:rPr>
        <w:t>ami, na zníž</w:t>
      </w:r>
      <w:r w:rsidRPr="002346FF" w:rsidR="002346FF">
        <w:rPr>
          <w:rFonts w:ascii="Arial Narrow" w:hAnsi="Arial Narrow" w:hint="default"/>
        </w:rPr>
        <w:t>enie deficitu zá</w:t>
      </w:r>
      <w:r w:rsidRPr="002346FF" w:rsidR="002346FF">
        <w:rPr>
          <w:rFonts w:ascii="Arial Narrow" w:hAnsi="Arial Narrow" w:hint="default"/>
        </w:rPr>
        <w:t>kladné</w:t>
      </w:r>
      <w:r w:rsidRPr="002346FF" w:rsidR="002346FF">
        <w:rPr>
          <w:rFonts w:ascii="Arial Narrow" w:hAnsi="Arial Narrow" w:hint="default"/>
        </w:rPr>
        <w:t>ho fondu starobné</w:t>
      </w:r>
      <w:r w:rsidRPr="002346FF" w:rsidR="002346FF">
        <w:rPr>
          <w:rFonts w:ascii="Arial Narrow" w:hAnsi="Arial Narrow" w:hint="default"/>
        </w:rPr>
        <w:t>ho poistenia a </w:t>
      </w:r>
      <w:r w:rsidRPr="002346FF" w:rsidR="002346FF">
        <w:rPr>
          <w:rFonts w:ascii="Arial Narrow" w:hAnsi="Arial Narrow" w:hint="default"/>
        </w:rPr>
        <w:t>na zabezpeč</w:t>
      </w:r>
      <w:r w:rsidRPr="002346FF" w:rsidR="002346FF">
        <w:rPr>
          <w:rFonts w:ascii="Arial Narrow" w:hAnsi="Arial Narrow" w:hint="default"/>
        </w:rPr>
        <w:t>enie zvýš</w:t>
      </w:r>
      <w:r w:rsidRPr="002346FF" w:rsidR="002346FF">
        <w:rPr>
          <w:rFonts w:ascii="Arial Narrow" w:hAnsi="Arial Narrow" w:hint="default"/>
        </w:rPr>
        <w:t>ený</w:t>
      </w:r>
      <w:r w:rsidRPr="002346FF" w:rsidR="002346FF">
        <w:rPr>
          <w:rFonts w:ascii="Arial Narrow" w:hAnsi="Arial Narrow" w:hint="default"/>
        </w:rPr>
        <w:t>ch vý</w:t>
      </w:r>
      <w:r w:rsidRPr="002346FF" w:rsidR="002346FF">
        <w:rPr>
          <w:rFonts w:ascii="Arial Narrow" w:hAnsi="Arial Narrow" w:hint="default"/>
        </w:rPr>
        <w:t>davkov na sociá</w:t>
      </w:r>
      <w:r w:rsidRPr="002346FF" w:rsidR="002346FF">
        <w:rPr>
          <w:rFonts w:ascii="Arial Narrow" w:hAnsi="Arial Narrow" w:hint="default"/>
        </w:rPr>
        <w:t>lnu inklú</w:t>
      </w:r>
      <w:r w:rsidRPr="002346FF" w:rsidR="002346FF">
        <w:rPr>
          <w:rFonts w:ascii="Arial Narrow" w:hAnsi="Arial Narrow" w:hint="default"/>
        </w:rPr>
        <w:t>ziu.</w:t>
      </w:r>
      <w:r w:rsidR="002346FF">
        <w:rPr>
          <w:rFonts w:ascii="Arial Narrow" w:hAnsi="Arial Narrow"/>
        </w:rPr>
        <w:t xml:space="preserve"> </w:t>
      </w:r>
      <w:r w:rsidRPr="002346FF" w:rsidR="003A4A63">
        <w:rPr>
          <w:rFonts w:ascii="Arial Narrow" w:hAnsi="Arial Narrow" w:hint="default"/>
        </w:rPr>
        <w:t>Realoká</w:t>
      </w:r>
      <w:r w:rsidRPr="002346FF" w:rsidR="003A4A63">
        <w:rPr>
          <w:rFonts w:ascii="Arial Narrow" w:hAnsi="Arial Narrow" w:hint="default"/>
        </w:rPr>
        <w:t>ciou sa zabezpečí</w:t>
      </w:r>
      <w:r w:rsidRPr="002346FF" w:rsidR="003A4A63">
        <w:rPr>
          <w:rFonts w:ascii="Arial Narrow" w:hAnsi="Arial Narrow" w:hint="default"/>
        </w:rPr>
        <w:t xml:space="preserve"> krytie vý</w:t>
      </w:r>
      <w:r w:rsidRPr="002346FF" w:rsidR="003A4A63">
        <w:rPr>
          <w:rFonts w:ascii="Arial Narrow" w:hAnsi="Arial Narrow" w:hint="default"/>
        </w:rPr>
        <w:t>davkov vo výš</w:t>
      </w:r>
      <w:r w:rsidRPr="002346FF" w:rsidR="003A4A63">
        <w:rPr>
          <w:rFonts w:ascii="Arial Narrow" w:hAnsi="Arial Narrow" w:hint="default"/>
        </w:rPr>
        <w:t>ke 70 mil. eur a o </w:t>
      </w:r>
      <w:r w:rsidRPr="002346FF" w:rsidR="003A4A63">
        <w:rPr>
          <w:rFonts w:ascii="Arial Narrow" w:hAnsi="Arial Narrow" w:hint="default"/>
        </w:rPr>
        <w:t>130 mil. eur sa zvyš</w:t>
      </w:r>
      <w:r w:rsidRPr="002346FF" w:rsidR="003A4A63">
        <w:rPr>
          <w:rFonts w:ascii="Arial Narrow" w:hAnsi="Arial Narrow" w:hint="default"/>
        </w:rPr>
        <w:t>uje suma cel</w:t>
      </w:r>
      <w:r w:rsidRPr="002346FF" w:rsidR="003A4A63">
        <w:rPr>
          <w:rFonts w:ascii="Arial Narrow" w:hAnsi="Arial Narrow" w:hint="default"/>
        </w:rPr>
        <w:t>kový</w:t>
      </w:r>
      <w:r w:rsidRPr="002346FF" w:rsidR="003A4A63">
        <w:rPr>
          <w:rFonts w:ascii="Arial Narrow" w:hAnsi="Arial Narrow" w:hint="default"/>
        </w:rPr>
        <w:t>ch vý</w:t>
      </w:r>
      <w:r w:rsidRPr="002346FF" w:rsidR="003A4A63">
        <w:rPr>
          <w:rFonts w:ascii="Arial Narrow" w:hAnsi="Arial Narrow" w:hint="default"/>
        </w:rPr>
        <w:t>davkov š</w:t>
      </w:r>
      <w:r w:rsidRPr="002346FF" w:rsidR="003A4A63">
        <w:rPr>
          <w:rFonts w:ascii="Arial Narrow" w:hAnsi="Arial Narrow" w:hint="default"/>
        </w:rPr>
        <w:t>tá</w:t>
      </w:r>
      <w:r w:rsidRPr="002346FF" w:rsidR="003A4A63">
        <w:rPr>
          <w:rFonts w:ascii="Arial Narrow" w:hAnsi="Arial Narrow" w:hint="default"/>
        </w:rPr>
        <w:t>tneho rozpoč</w:t>
      </w:r>
      <w:r w:rsidRPr="002346FF" w:rsidR="003A4A63">
        <w:rPr>
          <w:rFonts w:ascii="Arial Narrow" w:hAnsi="Arial Narrow" w:hint="default"/>
        </w:rPr>
        <w:t>tu. V </w:t>
      </w:r>
      <w:r w:rsidRPr="002346FF" w:rsidR="003A4A63">
        <w:rPr>
          <w:rFonts w:ascii="Arial Narrow" w:hAnsi="Arial Narrow" w:hint="default"/>
        </w:rPr>
        <w:t>nadvä</w:t>
      </w:r>
      <w:r w:rsidRPr="002346FF" w:rsidR="003A4A63">
        <w:rPr>
          <w:rFonts w:ascii="Arial Narrow" w:hAnsi="Arial Narrow" w:hint="default"/>
        </w:rPr>
        <w:t>znosti na zmenu celkový</w:t>
      </w:r>
      <w:r w:rsidRPr="002346FF" w:rsidR="003A4A63">
        <w:rPr>
          <w:rFonts w:ascii="Arial Narrow" w:hAnsi="Arial Narrow" w:hint="default"/>
        </w:rPr>
        <w:t>ch prí</w:t>
      </w:r>
      <w:r w:rsidRPr="002346FF" w:rsidR="003A4A63">
        <w:rPr>
          <w:rFonts w:ascii="Arial Narrow" w:hAnsi="Arial Narrow" w:hint="default"/>
        </w:rPr>
        <w:t>jmov a </w:t>
      </w:r>
      <w:r w:rsidRPr="002346FF" w:rsidR="003A4A63">
        <w:rPr>
          <w:rFonts w:ascii="Arial Narrow" w:hAnsi="Arial Narrow" w:hint="default"/>
        </w:rPr>
        <w:t>celkový</w:t>
      </w:r>
      <w:r w:rsidRPr="002346FF" w:rsidR="003A4A63">
        <w:rPr>
          <w:rFonts w:ascii="Arial Narrow" w:hAnsi="Arial Narrow" w:hint="default"/>
        </w:rPr>
        <w:t>ch vý</w:t>
      </w:r>
      <w:r w:rsidRPr="002346FF" w:rsidR="003A4A63">
        <w:rPr>
          <w:rFonts w:ascii="Arial Narrow" w:hAnsi="Arial Narrow" w:hint="default"/>
        </w:rPr>
        <w:t xml:space="preserve">davkov </w:t>
      </w:r>
      <w:r w:rsidRPr="002346FF">
        <w:rPr>
          <w:rFonts w:ascii="Arial Narrow" w:hAnsi="Arial Narrow" w:hint="default"/>
        </w:rPr>
        <w:t>sa upravuje aj schodok š</w:t>
      </w:r>
      <w:r w:rsidRPr="002346FF">
        <w:rPr>
          <w:rFonts w:ascii="Arial Narrow" w:hAnsi="Arial Narrow" w:hint="default"/>
        </w:rPr>
        <w:t>tá</w:t>
      </w:r>
      <w:r w:rsidRPr="002346FF">
        <w:rPr>
          <w:rFonts w:ascii="Arial Narrow" w:hAnsi="Arial Narrow" w:hint="default"/>
        </w:rPr>
        <w:t>tneho rozpoč</w:t>
      </w:r>
      <w:r w:rsidRPr="002346FF">
        <w:rPr>
          <w:rFonts w:ascii="Arial Narrow" w:hAnsi="Arial Narrow" w:hint="default"/>
        </w:rPr>
        <w:t xml:space="preserve">tu.  </w:t>
      </w:r>
    </w:p>
    <w:p w:rsidR="008173F6" w:rsidP="008173F6">
      <w:pPr>
        <w:pStyle w:val="Zkladntext"/>
        <w:bidi w:val="0"/>
        <w:spacing w:line="240" w:lineRule="auto"/>
        <w:rPr>
          <w:rFonts w:ascii="Arial Narrow" w:hAnsi="Arial Narrow"/>
          <w:sz w:val="22"/>
          <w:szCs w:val="22"/>
        </w:rPr>
      </w:pPr>
    </w:p>
    <w:p w:rsidR="007A49EB" w:rsidP="00CF14EF">
      <w:pPr>
        <w:bidi w:val="0"/>
        <w:spacing w:line="240" w:lineRule="auto"/>
        <w:contextualSpacing/>
        <w:rPr>
          <w:rFonts w:ascii="Arial Narrow" w:hAnsi="Arial Narrow"/>
        </w:rPr>
      </w:pPr>
      <w:r w:rsidR="008173F6">
        <w:rPr>
          <w:rFonts w:ascii="Arial Narrow" w:hAnsi="Arial Narrow"/>
        </w:rPr>
        <w:t xml:space="preserve">K bodu </w:t>
      </w:r>
      <w:r w:rsidR="00987796">
        <w:rPr>
          <w:rFonts w:ascii="Arial Narrow" w:hAnsi="Arial Narrow"/>
        </w:rPr>
        <w:t>3</w:t>
      </w:r>
      <w:r w:rsidR="008173F6">
        <w:rPr>
          <w:rFonts w:ascii="Arial Narrow" w:hAnsi="Arial Narrow"/>
        </w:rPr>
        <w:t xml:space="preserve"> </w:t>
      </w:r>
    </w:p>
    <w:p w:rsidR="003911BE" w:rsidP="00CF14EF">
      <w:pPr>
        <w:bidi w:val="0"/>
        <w:spacing w:line="240" w:lineRule="auto"/>
        <w:contextualSpacing/>
        <w:rPr>
          <w:rFonts w:ascii="Arial Narrow" w:hAnsi="Arial Narrow"/>
        </w:rPr>
      </w:pPr>
    </w:p>
    <w:p w:rsidR="00AE2F8C" w:rsidRPr="004953AE" w:rsidP="00CF14EF">
      <w:pPr>
        <w:bidi w:val="0"/>
        <w:spacing w:line="240" w:lineRule="auto"/>
        <w:rPr>
          <w:rFonts w:ascii="Arial Narrow" w:hAnsi="Arial Narrow"/>
        </w:rPr>
      </w:pPr>
      <w:r w:rsidRPr="00D35546" w:rsidR="008173F6">
        <w:rPr>
          <w:rFonts w:ascii="Arial Narrow" w:hAnsi="Arial Narrow" w:hint="default"/>
        </w:rPr>
        <w:t>Jednotlivé</w:t>
      </w:r>
      <w:r w:rsidRPr="00D35546" w:rsidR="008173F6">
        <w:rPr>
          <w:rFonts w:ascii="Arial Narrow" w:hAnsi="Arial Narrow" w:hint="default"/>
        </w:rPr>
        <w:t xml:space="preserve"> polož</w:t>
      </w:r>
      <w:r w:rsidRPr="00D35546" w:rsidR="008173F6">
        <w:rPr>
          <w:rFonts w:ascii="Arial Narrow" w:hAnsi="Arial Narrow" w:hint="default"/>
        </w:rPr>
        <w:t>ky prí</w:t>
      </w:r>
      <w:r w:rsidRPr="00D35546" w:rsidR="008173F6">
        <w:rPr>
          <w:rFonts w:ascii="Arial Narrow" w:hAnsi="Arial Narrow" w:hint="default"/>
        </w:rPr>
        <w:t>jmov š</w:t>
      </w:r>
      <w:r w:rsidRPr="00D35546" w:rsidR="008173F6">
        <w:rPr>
          <w:rFonts w:ascii="Arial Narrow" w:hAnsi="Arial Narrow" w:hint="default"/>
        </w:rPr>
        <w:t>tá</w:t>
      </w:r>
      <w:r w:rsidRPr="00D35546" w:rsidR="008173F6">
        <w:rPr>
          <w:rFonts w:ascii="Arial Narrow" w:hAnsi="Arial Narrow" w:hint="default"/>
        </w:rPr>
        <w:t>tneho rozpoč</w:t>
      </w:r>
      <w:r w:rsidRPr="00D35546" w:rsidR="008173F6">
        <w:rPr>
          <w:rFonts w:ascii="Arial Narrow" w:hAnsi="Arial Narrow" w:hint="default"/>
        </w:rPr>
        <w:t>tu sa upravujú</w:t>
      </w:r>
      <w:r w:rsidRPr="00D35546" w:rsidR="008173F6">
        <w:rPr>
          <w:rFonts w:ascii="Arial Narrow" w:hAnsi="Arial Narrow" w:hint="default"/>
        </w:rPr>
        <w:t xml:space="preserve"> v </w:t>
      </w:r>
      <w:r w:rsidRPr="00D35546" w:rsidR="008173F6">
        <w:rPr>
          <w:rFonts w:ascii="Arial Narrow" w:hAnsi="Arial Narrow" w:hint="default"/>
        </w:rPr>
        <w:t>sú</w:t>
      </w:r>
      <w:r w:rsidRPr="00D35546" w:rsidR="008173F6">
        <w:rPr>
          <w:rFonts w:ascii="Arial Narrow" w:hAnsi="Arial Narrow" w:hint="default"/>
        </w:rPr>
        <w:t>vislosti so </w:t>
      </w:r>
      <w:r w:rsidRPr="00D35546" w:rsidR="008173F6">
        <w:rPr>
          <w:rFonts w:ascii="Arial Narrow" w:hAnsi="Arial Narrow" w:hint="default"/>
        </w:rPr>
        <w:t>zreá</w:t>
      </w:r>
      <w:r w:rsidRPr="00D35546" w:rsidR="008173F6">
        <w:rPr>
          <w:rFonts w:ascii="Arial Narrow" w:hAnsi="Arial Narrow" w:hint="default"/>
        </w:rPr>
        <w:t>lnení</w:t>
      </w:r>
      <w:r w:rsidRPr="00D35546" w:rsidR="008173F6">
        <w:rPr>
          <w:rFonts w:ascii="Arial Narrow" w:hAnsi="Arial Narrow" w:hint="default"/>
        </w:rPr>
        <w:t>m daň</w:t>
      </w:r>
      <w:r w:rsidRPr="00D35546" w:rsidR="008173F6">
        <w:rPr>
          <w:rFonts w:ascii="Arial Narrow" w:hAnsi="Arial Narrow" w:hint="default"/>
        </w:rPr>
        <w:t>ový</w:t>
      </w:r>
      <w:r w:rsidRPr="00D35546" w:rsidR="008173F6">
        <w:rPr>
          <w:rFonts w:ascii="Arial Narrow" w:hAnsi="Arial Narrow" w:hint="default"/>
        </w:rPr>
        <w:t>ch a nedaň</w:t>
      </w:r>
      <w:r w:rsidRPr="00D35546" w:rsidR="008173F6">
        <w:rPr>
          <w:rFonts w:ascii="Arial Narrow" w:hAnsi="Arial Narrow" w:hint="default"/>
        </w:rPr>
        <w:t>ový</w:t>
      </w:r>
      <w:r w:rsidRPr="00D35546" w:rsidR="008173F6">
        <w:rPr>
          <w:rFonts w:ascii="Arial Narrow" w:hAnsi="Arial Narrow" w:hint="default"/>
        </w:rPr>
        <w:t>ch prí</w:t>
      </w:r>
      <w:r w:rsidRPr="00D35546" w:rsidR="008173F6">
        <w:rPr>
          <w:rFonts w:ascii="Arial Narrow" w:hAnsi="Arial Narrow" w:hint="default"/>
        </w:rPr>
        <w:t>jmov.</w:t>
      </w:r>
      <w:r w:rsidRPr="00D35546" w:rsidR="00605AAD">
        <w:rPr>
          <w:rFonts w:ascii="Arial Narrow" w:hAnsi="Arial Narrow"/>
        </w:rPr>
        <w:t xml:space="preserve"> </w:t>
      </w:r>
      <w:r w:rsidRPr="00D35546" w:rsidR="00D35546">
        <w:rPr>
          <w:rFonts w:ascii="Arial Narrow" w:hAnsi="Arial Narrow" w:hint="default"/>
        </w:rPr>
        <w:t>Reá</w:t>
      </w:r>
      <w:r w:rsidRPr="00D35546" w:rsidR="00D35546">
        <w:rPr>
          <w:rFonts w:ascii="Arial Narrow" w:hAnsi="Arial Narrow" w:hint="default"/>
        </w:rPr>
        <w:t>lny rast HDP je sí</w:t>
      </w:r>
      <w:r w:rsidRPr="00D35546" w:rsidR="00D35546">
        <w:rPr>
          <w:rFonts w:ascii="Arial Narrow" w:hAnsi="Arial Narrow" w:hint="default"/>
        </w:rPr>
        <w:t>ce v </w:t>
      </w:r>
      <w:r w:rsidRPr="00D35546" w:rsidR="00D35546">
        <w:rPr>
          <w:rFonts w:ascii="Arial Narrow" w:hAnsi="Arial Narrow" w:hint="default"/>
        </w:rPr>
        <w:t>porovnaní</w:t>
      </w:r>
      <w:r w:rsidRPr="00D35546" w:rsidR="00D35546">
        <w:rPr>
          <w:rFonts w:ascii="Arial Narrow" w:hAnsi="Arial Narrow" w:hint="default"/>
        </w:rPr>
        <w:t xml:space="preserve"> s </w:t>
      </w:r>
      <w:r w:rsidRPr="00D35546" w:rsidR="00D35546">
        <w:rPr>
          <w:rFonts w:ascii="Arial Narrow" w:hAnsi="Arial Narrow" w:hint="default"/>
        </w:rPr>
        <w:t>predpokladom pri tvorbe rozpoč</w:t>
      </w:r>
      <w:r w:rsidRPr="00D35546" w:rsidR="00D35546">
        <w:rPr>
          <w:rFonts w:ascii="Arial Narrow" w:hAnsi="Arial Narrow" w:hint="default"/>
        </w:rPr>
        <w:t>tu vyšší</w:t>
      </w:r>
      <w:r w:rsidRPr="00D35546" w:rsidR="00D35546">
        <w:rPr>
          <w:rFonts w:ascii="Arial Narrow" w:hAnsi="Arial Narrow" w:hint="default"/>
        </w:rPr>
        <w:t>, ale nominá</w:t>
      </w:r>
      <w:r w:rsidRPr="00D35546" w:rsidR="00D35546">
        <w:rPr>
          <w:rFonts w:ascii="Arial Narrow" w:hAnsi="Arial Narrow" w:hint="default"/>
        </w:rPr>
        <w:t>lny rast HDP je vď</w:t>
      </w:r>
      <w:r w:rsidRPr="00D35546" w:rsidR="00D35546">
        <w:rPr>
          <w:rFonts w:ascii="Arial Narrow" w:hAnsi="Arial Narrow" w:hint="default"/>
        </w:rPr>
        <w:t>aka podstatne nižš</w:t>
      </w:r>
      <w:r w:rsidRPr="00D35546" w:rsidR="00D35546">
        <w:rPr>
          <w:rFonts w:ascii="Arial Narrow" w:hAnsi="Arial Narrow" w:hint="default"/>
        </w:rPr>
        <w:t>ej inflá</w:t>
      </w:r>
      <w:r w:rsidRPr="00D35546" w:rsidR="00D35546">
        <w:rPr>
          <w:rFonts w:ascii="Arial Narrow" w:hAnsi="Arial Narrow" w:hint="default"/>
        </w:rPr>
        <w:t>cii pod ú</w:t>
      </w:r>
      <w:r w:rsidRPr="00D35546" w:rsidR="00D35546">
        <w:rPr>
          <w:rFonts w:ascii="Arial Narrow" w:hAnsi="Arial Narrow" w:hint="default"/>
        </w:rPr>
        <w:t>rovň</w:t>
      </w:r>
      <w:r w:rsidRPr="00D35546" w:rsidR="00D35546">
        <w:rPr>
          <w:rFonts w:ascii="Arial Narrow" w:hAnsi="Arial Narrow" w:hint="default"/>
        </w:rPr>
        <w:t>ou, ktorá</w:t>
      </w:r>
      <w:r w:rsidRPr="00D35546" w:rsidR="00D35546">
        <w:rPr>
          <w:rFonts w:ascii="Arial Narrow" w:hAnsi="Arial Narrow" w:hint="default"/>
        </w:rPr>
        <w:t xml:space="preserve"> bola predpokladaná</w:t>
      </w:r>
      <w:r w:rsidRPr="00D35546" w:rsidR="00D35546">
        <w:rPr>
          <w:rFonts w:ascii="Arial Narrow" w:hAnsi="Arial Narrow" w:hint="default"/>
        </w:rPr>
        <w:t xml:space="preserve"> pri tvorbe rozpoč</w:t>
      </w:r>
      <w:r w:rsidRPr="00D35546" w:rsidR="00D35546">
        <w:rPr>
          <w:rFonts w:ascii="Arial Narrow" w:hAnsi="Arial Narrow" w:hint="default"/>
        </w:rPr>
        <w:t>tu na rok 2010. Ostatné</w:t>
      </w:r>
      <w:r w:rsidRPr="00D35546" w:rsidR="00D35546">
        <w:rPr>
          <w:rFonts w:ascii="Arial Narrow" w:hAnsi="Arial Narrow" w:hint="default"/>
        </w:rPr>
        <w:t xml:space="preserve"> makroekonomické</w:t>
      </w:r>
      <w:r w:rsidRPr="00D35546" w:rsidR="00D35546">
        <w:rPr>
          <w:rFonts w:ascii="Arial Narrow" w:hAnsi="Arial Narrow" w:hint="default"/>
        </w:rPr>
        <w:t xml:space="preserve"> zá</w:t>
      </w:r>
      <w:r w:rsidRPr="00D35546" w:rsidR="00D35546">
        <w:rPr>
          <w:rFonts w:ascii="Arial Narrow" w:hAnsi="Arial Narrow" w:hint="default"/>
        </w:rPr>
        <w:t>kladne vplý</w:t>
      </w:r>
      <w:r w:rsidRPr="00D35546" w:rsidR="00D35546">
        <w:rPr>
          <w:rFonts w:ascii="Arial Narrow" w:hAnsi="Arial Narrow" w:hint="default"/>
        </w:rPr>
        <w:t>vajú</w:t>
      </w:r>
      <w:r w:rsidRPr="00D35546" w:rsidR="00D35546">
        <w:rPr>
          <w:rFonts w:ascii="Arial Narrow" w:hAnsi="Arial Narrow" w:hint="default"/>
        </w:rPr>
        <w:t>ce na vý</w:t>
      </w:r>
      <w:r w:rsidRPr="00D35546" w:rsidR="00D35546">
        <w:rPr>
          <w:rFonts w:ascii="Arial Narrow" w:hAnsi="Arial Narrow" w:hint="default"/>
        </w:rPr>
        <w:t>nos daní</w:t>
      </w:r>
      <w:r w:rsidRPr="00D35546" w:rsidR="00D35546">
        <w:rPr>
          <w:rFonts w:ascii="Arial Narrow" w:hAnsi="Arial Narrow" w:hint="default"/>
        </w:rPr>
        <w:t>, najmä</w:t>
      </w:r>
      <w:r w:rsidRPr="00D35546" w:rsidR="00D35546">
        <w:rPr>
          <w:rFonts w:ascii="Arial Narrow" w:hAnsi="Arial Narrow" w:hint="default"/>
        </w:rPr>
        <w:t xml:space="preserve"> rast zamestnanosti, miezd a </w:t>
      </w:r>
      <w:r w:rsidRPr="00D35546" w:rsidR="00D35546">
        <w:rPr>
          <w:rFonts w:ascii="Arial Narrow" w:hAnsi="Arial Narrow" w:hint="default"/>
        </w:rPr>
        <w:t>spotreby domá</w:t>
      </w:r>
      <w:r w:rsidRPr="00D35546" w:rsidR="00D35546">
        <w:rPr>
          <w:rFonts w:ascii="Arial Narrow" w:hAnsi="Arial Narrow" w:hint="default"/>
        </w:rPr>
        <w:t>cností</w:t>
      </w:r>
      <w:r w:rsidRPr="00D35546" w:rsidR="00D35546">
        <w:rPr>
          <w:rFonts w:ascii="Arial Narrow" w:hAnsi="Arial Narrow" w:hint="default"/>
        </w:rPr>
        <w:t xml:space="preserve"> sú</w:t>
      </w:r>
      <w:r w:rsidRPr="00D35546" w:rsidR="00D35546">
        <w:rPr>
          <w:rFonts w:ascii="Arial Narrow" w:hAnsi="Arial Narrow" w:hint="default"/>
        </w:rPr>
        <w:t xml:space="preserve"> nižš</w:t>
      </w:r>
      <w:r w:rsidRPr="00D35546" w:rsidR="00D35546">
        <w:rPr>
          <w:rFonts w:ascii="Arial Narrow" w:hAnsi="Arial Narrow" w:hint="default"/>
        </w:rPr>
        <w:t>ie v </w:t>
      </w:r>
      <w:r w:rsidRPr="00D35546" w:rsidR="00D35546">
        <w:rPr>
          <w:rFonts w:ascii="Arial Narrow" w:hAnsi="Arial Narrow" w:hint="default"/>
        </w:rPr>
        <w:t>porovnaní</w:t>
      </w:r>
      <w:r w:rsidRPr="00D35546" w:rsidR="00D35546">
        <w:rPr>
          <w:rFonts w:ascii="Arial Narrow" w:hAnsi="Arial Narrow" w:hint="default"/>
        </w:rPr>
        <w:t xml:space="preserve"> s predpokladmi v </w:t>
      </w:r>
      <w:r w:rsidRPr="00D35546" w:rsidR="00D35546">
        <w:rPr>
          <w:rFonts w:ascii="Arial Narrow" w:hAnsi="Arial Narrow" w:hint="default"/>
        </w:rPr>
        <w:t>rozpoč</w:t>
      </w:r>
      <w:r w:rsidRPr="00D35546" w:rsidR="00D35546">
        <w:rPr>
          <w:rFonts w:ascii="Arial Narrow" w:hAnsi="Arial Narrow" w:hint="default"/>
        </w:rPr>
        <w:t>te.</w:t>
      </w:r>
      <w:r w:rsidR="00D35546">
        <w:rPr>
          <w:rFonts w:ascii="Arial Narrow" w:hAnsi="Arial Narrow"/>
        </w:rPr>
        <w:t xml:space="preserve"> </w:t>
      </w:r>
      <w:r w:rsidRPr="00D35546" w:rsidR="00605AAD">
        <w:rPr>
          <w:rFonts w:ascii="Arial Narrow" w:hAnsi="Arial Narrow"/>
        </w:rPr>
        <w:t>V </w:t>
      </w:r>
      <w:r w:rsidRPr="00D35546" w:rsidR="00605AAD">
        <w:rPr>
          <w:rFonts w:ascii="Arial Narrow" w:hAnsi="Arial Narrow" w:hint="default"/>
        </w:rPr>
        <w:t>porovnaní</w:t>
      </w:r>
      <w:r w:rsidRPr="00D35546" w:rsidR="00605AAD">
        <w:rPr>
          <w:rFonts w:ascii="Arial Narrow" w:hAnsi="Arial Narrow" w:hint="default"/>
        </w:rPr>
        <w:t xml:space="preserve"> so schvá</w:t>
      </w:r>
      <w:r w:rsidRPr="00D35546" w:rsidR="00605AAD">
        <w:rPr>
          <w:rFonts w:ascii="Arial Narrow" w:hAnsi="Arial Narrow" w:hint="default"/>
        </w:rPr>
        <w:t>lený</w:t>
      </w:r>
      <w:r w:rsidRPr="00D35546" w:rsidR="00605AAD">
        <w:rPr>
          <w:rFonts w:ascii="Arial Narrow" w:hAnsi="Arial Narrow" w:hint="default"/>
        </w:rPr>
        <w:t>m š</w:t>
      </w:r>
      <w:r w:rsidRPr="00D35546" w:rsidR="00605AAD">
        <w:rPr>
          <w:rFonts w:ascii="Arial Narrow" w:hAnsi="Arial Narrow" w:hint="default"/>
        </w:rPr>
        <w:t>tá</w:t>
      </w:r>
      <w:r w:rsidRPr="00D35546" w:rsidR="00605AAD">
        <w:rPr>
          <w:rFonts w:ascii="Arial Narrow" w:hAnsi="Arial Narrow" w:hint="default"/>
        </w:rPr>
        <w:t>tnym rozpoč</w:t>
      </w:r>
      <w:r w:rsidRPr="00D35546" w:rsidR="00605AAD">
        <w:rPr>
          <w:rFonts w:ascii="Arial Narrow" w:hAnsi="Arial Narrow" w:hint="default"/>
        </w:rPr>
        <w:t>tom na rok 2010 sa oč</w:t>
      </w:r>
      <w:r w:rsidRPr="00D35546" w:rsidR="00605AAD">
        <w:rPr>
          <w:rFonts w:ascii="Arial Narrow" w:hAnsi="Arial Narrow" w:hint="default"/>
        </w:rPr>
        <w:t>aká</w:t>
      </w:r>
      <w:r w:rsidRPr="00D35546" w:rsidR="00605AAD">
        <w:rPr>
          <w:rFonts w:ascii="Arial Narrow" w:hAnsi="Arial Narrow" w:hint="default"/>
        </w:rPr>
        <w:t>va, ž</w:t>
      </w:r>
      <w:r w:rsidRPr="00D35546" w:rsidR="00605AAD">
        <w:rPr>
          <w:rFonts w:ascii="Arial Narrow" w:hAnsi="Arial Narrow" w:hint="default"/>
        </w:rPr>
        <w:t>e daň</w:t>
      </w:r>
      <w:r w:rsidRPr="00D35546" w:rsidR="00605AAD">
        <w:rPr>
          <w:rFonts w:ascii="Arial Narrow" w:hAnsi="Arial Narrow" w:hint="default"/>
        </w:rPr>
        <w:t>ové</w:t>
      </w:r>
      <w:r w:rsidRPr="00D35546" w:rsidR="00605AAD">
        <w:rPr>
          <w:rFonts w:ascii="Arial Narrow" w:hAnsi="Arial Narrow" w:hint="default"/>
        </w:rPr>
        <w:t xml:space="preserve"> prí</w:t>
      </w:r>
      <w:r w:rsidRPr="00D35546" w:rsidR="00605AAD">
        <w:rPr>
          <w:rFonts w:ascii="Arial Narrow" w:hAnsi="Arial Narrow" w:hint="default"/>
        </w:rPr>
        <w:t>j</w:t>
      </w:r>
      <w:r w:rsidR="00734180">
        <w:rPr>
          <w:rFonts w:ascii="Arial Narrow" w:hAnsi="Arial Narrow" w:hint="default"/>
        </w:rPr>
        <w:t>my budú</w:t>
      </w:r>
      <w:r w:rsidR="00734180">
        <w:rPr>
          <w:rFonts w:ascii="Arial Narrow" w:hAnsi="Arial Narrow" w:hint="default"/>
        </w:rPr>
        <w:t xml:space="preserve"> nižš</w:t>
      </w:r>
      <w:r w:rsidR="00734180">
        <w:rPr>
          <w:rFonts w:ascii="Arial Narrow" w:hAnsi="Arial Narrow" w:hint="default"/>
        </w:rPr>
        <w:t>ie o 620</w:t>
      </w:r>
      <w:r w:rsidRPr="00D35546" w:rsidR="00E9429B">
        <w:rPr>
          <w:rFonts w:ascii="Arial Narrow" w:hAnsi="Arial Narrow"/>
        </w:rPr>
        <w:t>,</w:t>
      </w:r>
      <w:r w:rsidR="00734180">
        <w:rPr>
          <w:rFonts w:ascii="Arial Narrow" w:hAnsi="Arial Narrow"/>
        </w:rPr>
        <w:t>5</w:t>
      </w:r>
      <w:r w:rsidRPr="00D35546" w:rsidR="00E9429B">
        <w:rPr>
          <w:rFonts w:ascii="Arial Narrow" w:hAnsi="Arial Narrow"/>
        </w:rPr>
        <w:t xml:space="preserve"> mil. </w:t>
      </w:r>
      <w:r w:rsidR="003A4A63">
        <w:rPr>
          <w:rFonts w:ascii="Arial Narrow" w:hAnsi="Arial Narrow"/>
        </w:rPr>
        <w:t>e</w:t>
      </w:r>
      <w:r w:rsidRPr="00D35546" w:rsidR="00E9429B">
        <w:rPr>
          <w:rFonts w:ascii="Arial Narrow" w:hAnsi="Arial Narrow" w:hint="default"/>
        </w:rPr>
        <w:t>ur, nedaň</w:t>
      </w:r>
      <w:r w:rsidRPr="00D35546" w:rsidR="00E9429B">
        <w:rPr>
          <w:rFonts w:ascii="Arial Narrow" w:hAnsi="Arial Narrow" w:hint="default"/>
        </w:rPr>
        <w:t>ové</w:t>
      </w:r>
      <w:r w:rsidRPr="00D35546" w:rsidR="00E9429B">
        <w:rPr>
          <w:rFonts w:ascii="Arial Narrow" w:hAnsi="Arial Narrow" w:hint="default"/>
        </w:rPr>
        <w:t xml:space="preserve"> prí</w:t>
      </w:r>
      <w:r w:rsidRPr="00D35546" w:rsidR="00E9429B">
        <w:rPr>
          <w:rFonts w:ascii="Arial Narrow" w:hAnsi="Arial Narrow" w:hint="default"/>
        </w:rPr>
        <w:t xml:space="preserve">jmy </w:t>
      </w:r>
      <w:r w:rsidRPr="00D35546" w:rsidR="00E9429B">
        <w:rPr>
          <w:rFonts w:ascii="Arial Narrow" w:hAnsi="Arial Narrow" w:hint="default"/>
        </w:rPr>
        <w:t>o</w:t>
      </w:r>
      <w:r w:rsidR="00B3726A">
        <w:rPr>
          <w:rFonts w:ascii="Arial Narrow" w:hAnsi="Arial Narrow"/>
        </w:rPr>
        <w:t> </w:t>
      </w:r>
      <w:r w:rsidR="00B3726A">
        <w:rPr>
          <w:rFonts w:ascii="Arial Narrow" w:hAnsi="Arial Narrow"/>
        </w:rPr>
        <w:t>43,5 mil. eur.</w:t>
      </w:r>
    </w:p>
    <w:p w:rsidR="0048263D" w:rsidRPr="00FC444E" w:rsidP="00CF14EF">
      <w:pPr>
        <w:pStyle w:val="Zkladntext"/>
        <w:bidi w:val="0"/>
        <w:spacing w:after="200" w:line="240" w:lineRule="auto"/>
        <w:rPr>
          <w:rFonts w:ascii="Arial Narrow" w:hAnsi="Arial Narrow" w:cs="Arial Narrow"/>
          <w:sz w:val="22"/>
          <w:szCs w:val="22"/>
        </w:rPr>
      </w:pPr>
      <w:r w:rsidRPr="00222D98" w:rsidR="00605AAD">
        <w:rPr>
          <w:rFonts w:ascii="Arial Narrow" w:hAnsi="Arial Narrow"/>
          <w:sz w:val="22"/>
          <w:szCs w:val="22"/>
        </w:rPr>
        <w:t xml:space="preserve"> </w:t>
      </w:r>
      <w:r w:rsidRPr="00222D98" w:rsidR="00222D98">
        <w:rPr>
          <w:rFonts w:ascii="Arial Narrow" w:hAnsi="Arial Narrow" w:cs="Arial Narrow"/>
          <w:sz w:val="22"/>
          <w:szCs w:val="22"/>
        </w:rPr>
        <w:t>Výpadok hotovostných daňových príjmov štátneho rozpočtu je spôsobený</w:t>
      </w:r>
      <w:r w:rsidR="00222D98">
        <w:rPr>
          <w:rFonts w:ascii="Arial Narrow" w:hAnsi="Arial Narrow" w:cs="Arial Narrow"/>
          <w:sz w:val="22"/>
          <w:szCs w:val="22"/>
        </w:rPr>
        <w:t xml:space="preserve"> najmä nižším výnosom dane z príjmov právnických osô</w:t>
      </w:r>
      <w:r w:rsidR="00734180">
        <w:rPr>
          <w:rFonts w:ascii="Arial Narrow" w:hAnsi="Arial Narrow" w:cs="Arial Narrow"/>
          <w:sz w:val="22"/>
          <w:szCs w:val="22"/>
        </w:rPr>
        <w:t>b o 46</w:t>
      </w:r>
      <w:r w:rsidR="00222D98">
        <w:rPr>
          <w:rFonts w:ascii="Arial Narrow" w:hAnsi="Arial Narrow" w:cs="Arial Narrow"/>
          <w:sz w:val="22"/>
          <w:szCs w:val="22"/>
        </w:rPr>
        <w:t>3,</w:t>
      </w:r>
      <w:r w:rsidR="00734180">
        <w:rPr>
          <w:rFonts w:ascii="Arial Narrow" w:hAnsi="Arial Narrow" w:cs="Arial Narrow"/>
          <w:sz w:val="22"/>
          <w:szCs w:val="22"/>
        </w:rPr>
        <w:t>5</w:t>
      </w:r>
      <w:r w:rsidR="00222D98">
        <w:rPr>
          <w:rFonts w:ascii="Arial Narrow" w:hAnsi="Arial Narrow" w:cs="Arial Narrow"/>
          <w:sz w:val="22"/>
          <w:szCs w:val="22"/>
        </w:rPr>
        <w:t xml:space="preserve"> mil. </w:t>
      </w:r>
      <w:r w:rsidR="00F53F54">
        <w:rPr>
          <w:rFonts w:ascii="Arial Narrow" w:hAnsi="Arial Narrow" w:cs="Arial Narrow"/>
          <w:sz w:val="22"/>
          <w:szCs w:val="22"/>
        </w:rPr>
        <w:t>e</w:t>
      </w:r>
      <w:r w:rsidR="00222D98">
        <w:rPr>
          <w:rFonts w:ascii="Arial Narrow" w:hAnsi="Arial Narrow" w:cs="Arial Narrow"/>
          <w:sz w:val="22"/>
          <w:szCs w:val="22"/>
        </w:rPr>
        <w:t xml:space="preserve">ur, dane z pridanej hodnoty o 109,5 mil. </w:t>
      </w:r>
      <w:r w:rsidR="00F53F54">
        <w:rPr>
          <w:rFonts w:ascii="Arial Narrow" w:hAnsi="Arial Narrow" w:cs="Arial Narrow"/>
          <w:sz w:val="22"/>
          <w:szCs w:val="22"/>
        </w:rPr>
        <w:t>e</w:t>
      </w:r>
      <w:r w:rsidR="00222D98">
        <w:rPr>
          <w:rFonts w:ascii="Arial Narrow" w:hAnsi="Arial Narrow" w:cs="Arial Narrow"/>
          <w:sz w:val="22"/>
          <w:szCs w:val="22"/>
        </w:rPr>
        <w:t xml:space="preserve">ur a poklesom výnosu spotrebných daní o 41,9 mil. </w:t>
      </w:r>
      <w:r w:rsidR="00F53F54">
        <w:rPr>
          <w:rFonts w:ascii="Arial Narrow" w:hAnsi="Arial Narrow" w:cs="Arial Narrow"/>
          <w:sz w:val="22"/>
          <w:szCs w:val="22"/>
        </w:rPr>
        <w:t>e</w:t>
      </w:r>
      <w:r w:rsidR="00222D98">
        <w:rPr>
          <w:rFonts w:ascii="Arial Narrow" w:hAnsi="Arial Narrow" w:cs="Arial Narrow"/>
          <w:sz w:val="22"/>
          <w:szCs w:val="22"/>
        </w:rPr>
        <w:t>ur.</w:t>
      </w:r>
    </w:p>
    <w:tbl>
      <w:tblPr>
        <w:tblStyle w:val="TableNormal"/>
        <w:tblW w:w="8981" w:type="dxa"/>
        <w:tblInd w:w="56" w:type="dxa"/>
        <w:tblCellMar>
          <w:left w:w="70" w:type="dxa"/>
          <w:right w:w="70" w:type="dxa"/>
        </w:tblCellMar>
      </w:tblPr>
      <w:tblGrid>
        <w:gridCol w:w="6125"/>
        <w:gridCol w:w="995"/>
        <w:gridCol w:w="941"/>
        <w:gridCol w:w="920"/>
      </w:tblGrid>
      <w:tr>
        <w:tblPrEx>
          <w:tblW w:w="8981" w:type="dxa"/>
          <w:tblInd w:w="56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8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center"/>
          </w:tcPr>
          <w:p w:rsidR="00734180" w:rsidRPr="00734180" w:rsidP="00734180">
            <w:pPr>
              <w:bidi w:val="0"/>
              <w:spacing w:after="0" w:line="240" w:lineRule="auto"/>
              <w:jc w:val="left"/>
              <w:rPr>
                <w:rFonts w:ascii="Arial Narrow" w:hAnsi="Arial Narrow" w:hint="default"/>
                <w:b/>
                <w:bCs/>
                <w:color w:val="FFFFFF"/>
                <w:sz w:val="20"/>
                <w:szCs w:val="20"/>
                <w:lang w:eastAsia="sk-SK"/>
              </w:rPr>
            </w:pPr>
            <w:r w:rsidRPr="00734180">
              <w:rPr>
                <w:rFonts w:ascii="Arial Narrow" w:hAnsi="Arial Narrow" w:hint="default"/>
                <w:b/>
                <w:bCs/>
                <w:color w:val="FFFFFF"/>
                <w:sz w:val="20"/>
                <w:szCs w:val="20"/>
                <w:lang w:eastAsia="sk-SK"/>
              </w:rPr>
              <w:t>Daň</w:t>
            </w:r>
            <w:r w:rsidRPr="00734180">
              <w:rPr>
                <w:rFonts w:ascii="Arial Narrow" w:hAnsi="Arial Narrow" w:hint="default"/>
                <w:b/>
                <w:bCs/>
                <w:color w:val="FFFFFF"/>
                <w:sz w:val="20"/>
                <w:szCs w:val="20"/>
                <w:lang w:eastAsia="sk-SK"/>
              </w:rPr>
              <w:t>ov</w:t>
            </w:r>
            <w:r w:rsidRPr="00734180">
              <w:rPr>
                <w:rFonts w:ascii="Arial Narrow" w:hAnsi="Arial Narrow" w:hint="default"/>
                <w:b/>
                <w:bCs/>
                <w:color w:val="FFFFFF"/>
                <w:sz w:val="20"/>
                <w:szCs w:val="20"/>
                <w:lang w:eastAsia="sk-SK"/>
              </w:rPr>
              <w:t>é</w:t>
            </w:r>
            <w:r w:rsidRPr="00734180">
              <w:rPr>
                <w:rFonts w:ascii="Arial Narrow" w:hAnsi="Arial Narrow" w:hint="default"/>
                <w:b/>
                <w:bCs/>
                <w:color w:val="FFFFFF"/>
                <w:sz w:val="20"/>
                <w:szCs w:val="20"/>
                <w:lang w:eastAsia="sk-SK"/>
              </w:rPr>
              <w:t xml:space="preserve"> prí</w:t>
            </w:r>
            <w:r w:rsidRPr="00734180">
              <w:rPr>
                <w:rFonts w:ascii="Arial Narrow" w:hAnsi="Arial Narrow" w:hint="default"/>
                <w:b/>
                <w:bCs/>
                <w:color w:val="FFFFFF"/>
                <w:sz w:val="20"/>
                <w:szCs w:val="20"/>
                <w:lang w:eastAsia="sk-SK"/>
              </w:rPr>
              <w:t>jmy š</w:t>
            </w:r>
            <w:r w:rsidRPr="00734180">
              <w:rPr>
                <w:rFonts w:ascii="Arial Narrow" w:hAnsi="Arial Narrow" w:hint="default"/>
                <w:b/>
                <w:bCs/>
                <w:color w:val="FFFFFF"/>
                <w:sz w:val="20"/>
                <w:szCs w:val="20"/>
                <w:lang w:eastAsia="sk-SK"/>
              </w:rPr>
              <w:t>tá</w:t>
            </w:r>
            <w:r w:rsidRPr="00734180">
              <w:rPr>
                <w:rFonts w:ascii="Arial Narrow" w:hAnsi="Arial Narrow" w:hint="default"/>
                <w:b/>
                <w:bCs/>
                <w:color w:val="FFFFFF"/>
                <w:sz w:val="20"/>
                <w:szCs w:val="20"/>
                <w:lang w:eastAsia="sk-SK"/>
              </w:rPr>
              <w:t>tneho rozpoč</w:t>
            </w:r>
            <w:r w:rsidRPr="00734180">
              <w:rPr>
                <w:rFonts w:ascii="Arial Narrow" w:hAnsi="Arial Narrow" w:hint="default"/>
                <w:b/>
                <w:bCs/>
                <w:color w:val="FFFFFF"/>
                <w:sz w:val="20"/>
                <w:szCs w:val="20"/>
                <w:lang w:eastAsia="sk-SK"/>
              </w:rPr>
              <w:t>tu v roku 2010 (hotovostný</w:t>
            </w:r>
            <w:r w:rsidRPr="00734180">
              <w:rPr>
                <w:rFonts w:ascii="Arial Narrow" w:hAnsi="Arial Narrow" w:hint="default"/>
                <w:b/>
                <w:bCs/>
                <w:color w:val="FFFFFF"/>
                <w:sz w:val="20"/>
                <w:szCs w:val="20"/>
                <w:lang w:eastAsia="sk-SK"/>
              </w:rPr>
              <w:t xml:space="preserve"> princí</w:t>
            </w:r>
            <w:r w:rsidRPr="00734180">
              <w:rPr>
                <w:rFonts w:ascii="Arial Narrow" w:hAnsi="Arial Narrow" w:hint="default"/>
                <w:b/>
                <w:bCs/>
                <w:color w:val="FFFFFF"/>
                <w:sz w:val="20"/>
                <w:szCs w:val="20"/>
                <w:lang w:eastAsia="sk-SK"/>
              </w:rPr>
              <w:t>p, v tis. eur)</w:t>
            </w:r>
          </w:p>
        </w:tc>
      </w:tr>
      <w:tr>
        <w:tblPrEx>
          <w:tblW w:w="8981" w:type="dxa"/>
          <w:tblInd w:w="56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extDirection w:val="lrTb"/>
            <w:vAlign w:val="bottom"/>
          </w:tcPr>
          <w:p w:rsidR="00734180" w:rsidRPr="00734180" w:rsidP="00734180">
            <w:pPr>
              <w:bidi w:val="0"/>
              <w:spacing w:after="0" w:line="240" w:lineRule="auto"/>
              <w:jc w:val="lef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0C0C0"/>
            <w:textDirection w:val="lrTb"/>
            <w:vAlign w:val="center"/>
          </w:tcPr>
          <w:p w:rsidR="00734180" w:rsidRPr="001417E4" w:rsidP="00734180">
            <w:pPr>
              <w:bidi w:val="0"/>
              <w:spacing w:after="0" w:line="240" w:lineRule="auto"/>
              <w:jc w:val="center"/>
              <w:rPr>
                <w:rFonts w:ascii="Arial Narrow" w:hAnsi="Arial Narrow" w:hint="default"/>
                <w:b/>
                <w:bCs/>
                <w:iCs/>
                <w:sz w:val="18"/>
                <w:szCs w:val="18"/>
                <w:lang w:eastAsia="sk-SK"/>
              </w:rPr>
            </w:pPr>
            <w:r w:rsidRPr="001417E4">
              <w:rPr>
                <w:rFonts w:ascii="Arial Narrow" w:hAnsi="Arial Narrow" w:hint="default"/>
                <w:b/>
                <w:bCs/>
                <w:iCs/>
                <w:sz w:val="18"/>
                <w:szCs w:val="18"/>
                <w:lang w:eastAsia="sk-SK"/>
              </w:rPr>
              <w:t>Schvá</w:t>
            </w:r>
            <w:r w:rsidRPr="001417E4">
              <w:rPr>
                <w:rFonts w:ascii="Arial Narrow" w:hAnsi="Arial Narrow" w:hint="default"/>
                <w:b/>
                <w:bCs/>
                <w:iCs/>
                <w:sz w:val="18"/>
                <w:szCs w:val="18"/>
                <w:lang w:eastAsia="sk-SK"/>
              </w:rPr>
              <w:t>lený</w:t>
            </w:r>
            <w:r w:rsidRPr="001417E4">
              <w:rPr>
                <w:rFonts w:ascii="Arial Narrow" w:hAnsi="Arial Narrow" w:hint="default"/>
                <w:b/>
                <w:bCs/>
                <w:iCs/>
                <w:sz w:val="18"/>
                <w:szCs w:val="18"/>
                <w:lang w:eastAsia="sk-SK"/>
              </w:rPr>
              <w:t xml:space="preserve"> rozpoč</w:t>
            </w:r>
            <w:r w:rsidRPr="001417E4">
              <w:rPr>
                <w:rFonts w:ascii="Arial Narrow" w:hAnsi="Arial Narrow" w:hint="default"/>
                <w:b/>
                <w:bCs/>
                <w:iCs/>
                <w:sz w:val="18"/>
                <w:szCs w:val="18"/>
                <w:lang w:eastAsia="sk-SK"/>
              </w:rPr>
              <w:t>et 2010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0C0C0"/>
            <w:textDirection w:val="lrTb"/>
            <w:vAlign w:val="center"/>
          </w:tcPr>
          <w:p w:rsidR="00734180" w:rsidRPr="001417E4" w:rsidP="00734180">
            <w:pPr>
              <w:bidi w:val="0"/>
              <w:spacing w:after="0" w:line="240" w:lineRule="auto"/>
              <w:jc w:val="center"/>
              <w:rPr>
                <w:rFonts w:ascii="Arial Narrow" w:hAnsi="Arial Narrow" w:hint="default"/>
                <w:b/>
                <w:bCs/>
                <w:iCs/>
                <w:sz w:val="18"/>
                <w:szCs w:val="18"/>
                <w:lang w:eastAsia="sk-SK"/>
              </w:rPr>
            </w:pPr>
            <w:r w:rsidRPr="001417E4">
              <w:rPr>
                <w:rFonts w:ascii="Arial Narrow" w:hAnsi="Arial Narrow" w:hint="default"/>
                <w:b/>
                <w:bCs/>
                <w:iCs/>
                <w:sz w:val="18"/>
                <w:szCs w:val="18"/>
                <w:lang w:eastAsia="sk-SK"/>
              </w:rPr>
              <w:t>Aktuá</w:t>
            </w:r>
            <w:r w:rsidRPr="001417E4">
              <w:rPr>
                <w:rFonts w:ascii="Arial Narrow" w:hAnsi="Arial Narrow" w:hint="default"/>
                <w:b/>
                <w:bCs/>
                <w:iCs/>
                <w:sz w:val="18"/>
                <w:szCs w:val="18"/>
                <w:lang w:eastAsia="sk-SK"/>
              </w:rPr>
              <w:t>lny odhad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0C0C0"/>
            <w:textDirection w:val="lrTb"/>
            <w:vAlign w:val="center"/>
          </w:tcPr>
          <w:p w:rsidR="00734180" w:rsidRPr="001417E4" w:rsidP="00734180">
            <w:pPr>
              <w:bidi w:val="0"/>
              <w:spacing w:after="0" w:line="240" w:lineRule="auto"/>
              <w:jc w:val="center"/>
              <w:rPr>
                <w:rFonts w:ascii="Arial Narrow" w:hAnsi="Arial Narrow" w:hint="default"/>
                <w:b/>
                <w:bCs/>
                <w:iCs/>
                <w:sz w:val="18"/>
                <w:szCs w:val="18"/>
                <w:lang w:eastAsia="sk-SK"/>
              </w:rPr>
            </w:pPr>
            <w:r w:rsidRPr="001417E4">
              <w:rPr>
                <w:rFonts w:ascii="Arial Narrow" w:hAnsi="Arial Narrow" w:hint="default"/>
                <w:b/>
                <w:bCs/>
                <w:iCs/>
                <w:sz w:val="18"/>
                <w:szCs w:val="18"/>
                <w:lang w:eastAsia="sk-SK"/>
              </w:rPr>
              <w:t>Rozdiel odhad - rozpoč</w:t>
            </w:r>
            <w:r w:rsidRPr="001417E4">
              <w:rPr>
                <w:rFonts w:ascii="Arial Narrow" w:hAnsi="Arial Narrow" w:hint="default"/>
                <w:b/>
                <w:bCs/>
                <w:iCs/>
                <w:sz w:val="18"/>
                <w:szCs w:val="18"/>
                <w:lang w:eastAsia="sk-SK"/>
              </w:rPr>
              <w:t>et</w:t>
            </w:r>
          </w:p>
        </w:tc>
      </w:tr>
      <w:tr>
        <w:tblPrEx>
          <w:tblW w:w="8981" w:type="dxa"/>
          <w:tblInd w:w="56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extDirection w:val="lrTb"/>
            <w:vAlign w:val="center"/>
          </w:tcPr>
          <w:p w:rsidR="00734180" w:rsidRPr="00734180" w:rsidP="00734180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center"/>
          </w:tcPr>
          <w:p w:rsidR="00734180" w:rsidRPr="00734180" w:rsidP="00734180">
            <w:pPr>
              <w:bidi w:val="0"/>
              <w:spacing w:after="0" w:line="240" w:lineRule="auto"/>
              <w:jc w:val="left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center"/>
          </w:tcPr>
          <w:p w:rsidR="00734180" w:rsidRPr="00734180" w:rsidP="00734180">
            <w:pPr>
              <w:bidi w:val="0"/>
              <w:spacing w:after="0" w:line="240" w:lineRule="auto"/>
              <w:jc w:val="left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center"/>
          </w:tcPr>
          <w:p w:rsidR="00734180" w:rsidRPr="00734180" w:rsidP="00734180">
            <w:pPr>
              <w:bidi w:val="0"/>
              <w:spacing w:after="0" w:line="240" w:lineRule="auto"/>
              <w:jc w:val="left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>
        <w:tblPrEx>
          <w:tblW w:w="8981" w:type="dxa"/>
          <w:tblInd w:w="56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textDirection w:val="lrTb"/>
            <w:vAlign w:val="center"/>
          </w:tcPr>
          <w:p w:rsidR="00734180" w:rsidRPr="00734180" w:rsidP="00734180">
            <w:pPr>
              <w:bidi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center"/>
          </w:tcPr>
          <w:p w:rsidR="00734180" w:rsidRPr="00734180" w:rsidP="00734180">
            <w:pPr>
              <w:bidi w:val="0"/>
              <w:spacing w:after="0" w:line="240" w:lineRule="auto"/>
              <w:jc w:val="left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center"/>
          </w:tcPr>
          <w:p w:rsidR="00734180" w:rsidRPr="00734180" w:rsidP="00734180">
            <w:pPr>
              <w:bidi w:val="0"/>
              <w:spacing w:after="0" w:line="240" w:lineRule="auto"/>
              <w:jc w:val="left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center"/>
          </w:tcPr>
          <w:p w:rsidR="00734180" w:rsidRPr="00734180" w:rsidP="00734180">
            <w:pPr>
              <w:bidi w:val="0"/>
              <w:spacing w:after="0" w:line="240" w:lineRule="auto"/>
              <w:jc w:val="left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>
        <w:tblPrEx>
          <w:tblW w:w="8981" w:type="dxa"/>
          <w:tblInd w:w="56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734180">
            <w:pPr>
              <w:bidi w:val="0"/>
              <w:spacing w:after="0" w:line="240" w:lineRule="auto"/>
              <w:jc w:val="left"/>
              <w:rPr>
                <w:rFonts w:ascii="Arial Narrow" w:hAnsi="Arial Narrow" w:hint="default"/>
                <w:b/>
                <w:bCs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 w:hint="default"/>
                <w:b/>
                <w:bCs/>
                <w:sz w:val="18"/>
                <w:szCs w:val="18"/>
                <w:lang w:eastAsia="sk-SK"/>
              </w:rPr>
              <w:t>Dane z prí</w:t>
            </w:r>
            <w:r w:rsidRPr="00734180">
              <w:rPr>
                <w:rFonts w:ascii="Arial Narrow" w:hAnsi="Arial Narrow" w:hint="default"/>
                <w:b/>
                <w:bCs/>
                <w:sz w:val="18"/>
                <w:szCs w:val="18"/>
                <w:lang w:eastAsia="sk-SK"/>
              </w:rPr>
              <w:t>jmov a kapitá</w:t>
            </w:r>
            <w:r w:rsidRPr="00734180">
              <w:rPr>
                <w:rFonts w:ascii="Arial Narrow" w:hAnsi="Arial Narrow" w:hint="default"/>
                <w:b/>
                <w:bCs/>
                <w:sz w:val="18"/>
                <w:szCs w:val="18"/>
                <w:lang w:eastAsia="sk-SK"/>
              </w:rPr>
              <w:t>lové</w:t>
            </w:r>
            <w:r w:rsidRPr="00734180">
              <w:rPr>
                <w:rFonts w:ascii="Arial Narrow" w:hAnsi="Arial Narrow" w:hint="default"/>
                <w:b/>
                <w:bCs/>
                <w:sz w:val="18"/>
                <w:szCs w:val="18"/>
                <w:lang w:eastAsia="sk-SK"/>
              </w:rPr>
              <w:t>ho majetku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  <w:t>2 065 145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  <w:t>1 599 009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  <w:t>-466 136</w:t>
            </w:r>
          </w:p>
        </w:tc>
      </w:tr>
      <w:tr>
        <w:tblPrEx>
          <w:tblW w:w="8981" w:type="dxa"/>
          <w:tblInd w:w="56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734180">
            <w:pPr>
              <w:bidi w:val="0"/>
              <w:spacing w:after="0" w:line="240" w:lineRule="auto"/>
              <w:ind w:firstLine="360" w:firstLineChars="200"/>
              <w:jc w:val="left"/>
              <w:rPr>
                <w:rFonts w:ascii="Arial Narrow" w:hAnsi="Arial Narrow" w:hint="default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Daň</w:t>
            </w: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 xml:space="preserve"> z prí</w:t>
            </w: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jmov fyzickej osoby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138 417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147 963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9 546</w:t>
            </w:r>
          </w:p>
        </w:tc>
      </w:tr>
      <w:tr>
        <w:tblPrEx>
          <w:tblW w:w="8981" w:type="dxa"/>
          <w:tblInd w:w="56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734180">
            <w:pPr>
              <w:bidi w:val="0"/>
              <w:spacing w:after="0" w:line="240" w:lineRule="auto"/>
              <w:ind w:firstLine="900" w:firstLineChars="500"/>
              <w:jc w:val="left"/>
              <w:rPr>
                <w:rFonts w:ascii="Arial Narrow" w:hAnsi="Arial Narrow" w:hint="default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zo zá</w:t>
            </w: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vislej č</w:t>
            </w: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innosti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124 378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142 771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18 393</w:t>
            </w:r>
          </w:p>
        </w:tc>
      </w:tr>
      <w:tr>
        <w:tblPrEx>
          <w:tblW w:w="8981" w:type="dxa"/>
          <w:tblInd w:w="56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734180">
            <w:pPr>
              <w:bidi w:val="0"/>
              <w:spacing w:after="0" w:line="240" w:lineRule="auto"/>
              <w:ind w:firstLine="900" w:firstLineChars="500"/>
              <w:jc w:val="left"/>
              <w:rPr>
                <w:rFonts w:ascii="Arial Narrow" w:hAnsi="Arial Narrow" w:hint="default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z podnikania, z inej samostatnej zá</w:t>
            </w: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r. č</w:t>
            </w: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innosti a z prená</w:t>
            </w: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jmu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14 039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5 192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-8 847</w:t>
            </w:r>
          </w:p>
        </w:tc>
      </w:tr>
      <w:tr>
        <w:tblPrEx>
          <w:tblW w:w="8981" w:type="dxa"/>
          <w:tblInd w:w="56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734180">
            <w:pPr>
              <w:bidi w:val="0"/>
              <w:spacing w:after="0" w:line="240" w:lineRule="auto"/>
              <w:ind w:firstLine="360" w:firstLineChars="200"/>
              <w:jc w:val="left"/>
              <w:rPr>
                <w:rFonts w:ascii="Arial Narrow" w:hAnsi="Arial Narrow" w:hint="default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Daň</w:t>
            </w: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 xml:space="preserve"> z prí</w:t>
            </w: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jmov prá</w:t>
            </w: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vnickej osoby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1 779 888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1 316 384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-463 504</w:t>
            </w:r>
          </w:p>
        </w:tc>
      </w:tr>
      <w:tr>
        <w:tblPrEx>
          <w:tblW w:w="8981" w:type="dxa"/>
          <w:tblInd w:w="56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734180">
            <w:pPr>
              <w:bidi w:val="0"/>
              <w:spacing w:after="0" w:line="240" w:lineRule="auto"/>
              <w:ind w:firstLine="360" w:firstLineChars="200"/>
              <w:jc w:val="left"/>
              <w:rPr>
                <w:rFonts w:ascii="Arial Narrow" w:hAnsi="Arial Narrow" w:hint="default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Daň</w:t>
            </w: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 xml:space="preserve"> z prí</w:t>
            </w: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jmov vyberaná</w:t>
            </w: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 xml:space="preserve"> zráž</w:t>
            </w: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kou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146 840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134 662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-12 17</w:t>
            </w: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8</w:t>
            </w:r>
          </w:p>
        </w:tc>
      </w:tr>
      <w:tr>
        <w:tblPrEx>
          <w:tblW w:w="8981" w:type="dxa"/>
          <w:tblInd w:w="56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734180">
            <w:pPr>
              <w:bidi w:val="0"/>
              <w:spacing w:after="0" w:line="240" w:lineRule="auto"/>
              <w:jc w:val="left"/>
              <w:rPr>
                <w:rFonts w:ascii="Arial Narrow" w:hAnsi="Arial Narrow" w:hint="default"/>
                <w:b/>
                <w:bCs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 w:hint="default"/>
                <w:b/>
                <w:bCs/>
                <w:sz w:val="18"/>
                <w:szCs w:val="18"/>
                <w:lang w:eastAsia="sk-SK"/>
              </w:rPr>
              <w:t>Dane za tovary a služ</w:t>
            </w:r>
            <w:r w:rsidRPr="00734180">
              <w:rPr>
                <w:rFonts w:ascii="Arial Narrow" w:hAnsi="Arial Narrow" w:hint="default"/>
                <w:b/>
                <w:bCs/>
                <w:sz w:val="18"/>
                <w:szCs w:val="18"/>
                <w:lang w:eastAsia="sk-SK"/>
              </w:rPr>
              <w:t>by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  <w:t>6 497 161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  <w:t>6 345 753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  <w:t>-151 408</w:t>
            </w:r>
          </w:p>
        </w:tc>
      </w:tr>
      <w:tr>
        <w:tblPrEx>
          <w:tblW w:w="8981" w:type="dxa"/>
          <w:tblInd w:w="56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734180">
            <w:pPr>
              <w:bidi w:val="0"/>
              <w:spacing w:after="0" w:line="240" w:lineRule="auto"/>
              <w:ind w:firstLine="360" w:firstLineChars="200"/>
              <w:jc w:val="left"/>
              <w:rPr>
                <w:rFonts w:ascii="Arial Narrow" w:hAnsi="Arial Narrow" w:hint="default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Daň</w:t>
            </w: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 xml:space="preserve"> z pridanej hodnoty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4 504 367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4 394 858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-109 509</w:t>
            </w:r>
          </w:p>
        </w:tc>
      </w:tr>
      <w:tr>
        <w:tblPrEx>
          <w:tblW w:w="8981" w:type="dxa"/>
          <w:tblInd w:w="56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734180">
            <w:pPr>
              <w:bidi w:val="0"/>
              <w:spacing w:after="0" w:line="240" w:lineRule="auto"/>
              <w:ind w:firstLine="360" w:firstLineChars="200"/>
              <w:jc w:val="left"/>
              <w:rPr>
                <w:rFonts w:ascii="Arial Narrow" w:hAnsi="Arial Narrow" w:hint="default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Spotrebné</w:t>
            </w: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 xml:space="preserve"> dane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1 992 688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1 950 791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-41 897</w:t>
            </w:r>
          </w:p>
        </w:tc>
      </w:tr>
      <w:tr>
        <w:tblPrEx>
          <w:tblW w:w="8981" w:type="dxa"/>
          <w:tblInd w:w="56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734180">
            <w:pPr>
              <w:bidi w:val="0"/>
              <w:spacing w:after="0" w:line="240" w:lineRule="auto"/>
              <w:ind w:firstLine="360" w:firstLineChars="200"/>
              <w:jc w:val="left"/>
              <w:rPr>
                <w:rFonts w:ascii="Arial Narrow" w:hAnsi="Arial Narrow" w:hint="default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Dane z použí</w:t>
            </w: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vania tovarov a z povolenia na vý</w:t>
            </w: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kon č</w:t>
            </w: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innosti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106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104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-2</w:t>
            </w:r>
          </w:p>
        </w:tc>
      </w:tr>
      <w:tr>
        <w:tblPrEx>
          <w:tblW w:w="8981" w:type="dxa"/>
          <w:tblInd w:w="56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734180">
            <w:pPr>
              <w:bidi w:val="0"/>
              <w:spacing w:after="0" w:line="240" w:lineRule="auto"/>
              <w:jc w:val="left"/>
              <w:rPr>
                <w:rFonts w:ascii="Arial Narrow" w:hAnsi="Arial Narrow" w:hint="default"/>
                <w:b/>
                <w:bCs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 w:hint="default"/>
                <w:b/>
                <w:bCs/>
                <w:sz w:val="18"/>
                <w:szCs w:val="18"/>
                <w:lang w:eastAsia="sk-SK"/>
              </w:rPr>
              <w:t>Dane z medziná</w:t>
            </w:r>
            <w:r w:rsidRPr="00734180">
              <w:rPr>
                <w:rFonts w:ascii="Arial Narrow" w:hAnsi="Arial Narrow" w:hint="default"/>
                <w:b/>
                <w:bCs/>
                <w:sz w:val="18"/>
                <w:szCs w:val="18"/>
                <w:lang w:eastAsia="sk-SK"/>
              </w:rPr>
              <w:t>rodné</w:t>
            </w:r>
            <w:r w:rsidRPr="00734180">
              <w:rPr>
                <w:rFonts w:ascii="Arial Narrow" w:hAnsi="Arial Narrow" w:hint="default"/>
                <w:b/>
                <w:bCs/>
                <w:sz w:val="18"/>
                <w:szCs w:val="18"/>
                <w:lang w:eastAsia="sk-SK"/>
              </w:rPr>
              <w:t xml:space="preserve">ho obchodu a </w:t>
            </w:r>
            <w:r w:rsidRPr="00734180">
              <w:rPr>
                <w:rFonts w:ascii="Arial Narrow" w:hAnsi="Arial Narrow" w:hint="default"/>
                <w:b/>
                <w:bCs/>
                <w:sz w:val="18"/>
                <w:szCs w:val="18"/>
                <w:lang w:eastAsia="sk-SK"/>
              </w:rPr>
              <w:t>transakcií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  <w:t>28 918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  <w:t>32 499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  <w:t>3 581</w:t>
            </w:r>
          </w:p>
        </w:tc>
      </w:tr>
      <w:tr>
        <w:tblPrEx>
          <w:tblW w:w="8981" w:type="dxa"/>
          <w:tblInd w:w="56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734180">
            <w:pPr>
              <w:bidi w:val="0"/>
              <w:spacing w:after="0" w:line="240" w:lineRule="auto"/>
              <w:ind w:firstLine="360" w:firstLineChars="200"/>
              <w:jc w:val="left"/>
              <w:rPr>
                <w:rFonts w:ascii="Arial Narrow" w:hAnsi="Arial Narrow" w:hint="default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Podiel na vybratý</w:t>
            </w: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ch finanč</w:t>
            </w: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ný</w:t>
            </w:r>
            <w:r w:rsidRPr="00734180">
              <w:rPr>
                <w:rFonts w:ascii="Arial Narrow" w:hAnsi="Arial Narrow" w:hint="default"/>
                <w:sz w:val="18"/>
                <w:szCs w:val="18"/>
                <w:lang w:eastAsia="sk-SK"/>
              </w:rPr>
              <w:t>ch prostriedkoch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28 918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32 499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3 581</w:t>
            </w:r>
          </w:p>
        </w:tc>
      </w:tr>
      <w:tr>
        <w:tblPrEx>
          <w:tblW w:w="8981" w:type="dxa"/>
          <w:tblInd w:w="56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734180">
            <w:pPr>
              <w:bidi w:val="0"/>
              <w:spacing w:after="0" w:line="240" w:lineRule="auto"/>
              <w:jc w:val="left"/>
              <w:rPr>
                <w:rFonts w:ascii="Arial Narrow" w:hAnsi="Arial Narrow" w:hint="default"/>
                <w:b/>
                <w:bCs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 w:hint="default"/>
                <w:b/>
                <w:bCs/>
                <w:sz w:val="18"/>
                <w:szCs w:val="18"/>
                <w:lang w:eastAsia="sk-SK"/>
              </w:rPr>
              <w:t>Sankcie ulož</w:t>
            </w:r>
            <w:r w:rsidRPr="00734180">
              <w:rPr>
                <w:rFonts w:ascii="Arial Narrow" w:hAnsi="Arial Narrow" w:hint="default"/>
                <w:b/>
                <w:bCs/>
                <w:sz w:val="18"/>
                <w:szCs w:val="18"/>
                <w:lang w:eastAsia="sk-SK"/>
              </w:rPr>
              <w:t>ené</w:t>
            </w:r>
            <w:r w:rsidRPr="00734180">
              <w:rPr>
                <w:rFonts w:ascii="Arial Narrow" w:hAnsi="Arial Narrow" w:hint="default"/>
                <w:b/>
                <w:bCs/>
                <w:sz w:val="18"/>
                <w:szCs w:val="18"/>
                <w:lang w:eastAsia="sk-SK"/>
              </w:rPr>
              <w:t xml:space="preserve"> v daň</w:t>
            </w:r>
            <w:r w:rsidRPr="00734180">
              <w:rPr>
                <w:rFonts w:ascii="Arial Narrow" w:hAnsi="Arial Narrow" w:hint="default"/>
                <w:b/>
                <w:bCs/>
                <w:sz w:val="18"/>
                <w:szCs w:val="18"/>
                <w:lang w:eastAsia="sk-SK"/>
              </w:rPr>
              <w:t>ovom konaní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28 745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22 163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sz w:val="18"/>
                <w:szCs w:val="18"/>
                <w:lang w:eastAsia="sk-SK"/>
              </w:rPr>
              <w:t>-6 582</w:t>
            </w:r>
          </w:p>
        </w:tc>
      </w:tr>
      <w:tr>
        <w:tblPrEx>
          <w:tblW w:w="8981" w:type="dxa"/>
          <w:tblInd w:w="56" w:type="dxa"/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61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734180" w:rsidRPr="00734180" w:rsidP="00734180">
            <w:pPr>
              <w:bidi w:val="0"/>
              <w:spacing w:after="0" w:line="240" w:lineRule="auto"/>
              <w:jc w:val="left"/>
              <w:rPr>
                <w:rFonts w:ascii="Arial Narrow" w:hAnsi="Arial Narrow" w:hint="default"/>
                <w:b/>
                <w:bCs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 w:hint="default"/>
                <w:b/>
                <w:bCs/>
                <w:sz w:val="18"/>
                <w:szCs w:val="18"/>
                <w:lang w:eastAsia="sk-SK"/>
              </w:rPr>
              <w:t>DAŇ</w:t>
            </w:r>
            <w:r w:rsidRPr="00734180">
              <w:rPr>
                <w:rFonts w:ascii="Arial Narrow" w:hAnsi="Arial Narrow" w:hint="default"/>
                <w:b/>
                <w:bCs/>
                <w:sz w:val="18"/>
                <w:szCs w:val="18"/>
                <w:lang w:eastAsia="sk-SK"/>
              </w:rPr>
              <w:t>OVÉ</w:t>
            </w:r>
            <w:r w:rsidRPr="00734180">
              <w:rPr>
                <w:rFonts w:ascii="Arial Narrow" w:hAnsi="Arial Narrow" w:hint="default"/>
                <w:b/>
                <w:bCs/>
                <w:sz w:val="18"/>
                <w:szCs w:val="18"/>
                <w:lang w:eastAsia="sk-SK"/>
              </w:rPr>
              <w:t xml:space="preserve"> PRÍ</w:t>
            </w:r>
            <w:r w:rsidRPr="00734180">
              <w:rPr>
                <w:rFonts w:ascii="Arial Narrow" w:hAnsi="Arial Narrow" w:hint="default"/>
                <w:b/>
                <w:bCs/>
                <w:sz w:val="18"/>
                <w:szCs w:val="18"/>
                <w:lang w:eastAsia="sk-SK"/>
              </w:rPr>
              <w:t>JMY SPOLU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  <w:t>8 619 969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  <w:t>7 999 424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bottom"/>
          </w:tcPr>
          <w:p w:rsidR="00734180" w:rsidRPr="00734180" w:rsidP="002346FF">
            <w:pPr>
              <w:bidi w:val="0"/>
              <w:spacing w:after="0" w:line="240" w:lineRule="auto"/>
              <w:jc w:val="right"/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</w:pPr>
            <w:r w:rsidRPr="00734180">
              <w:rPr>
                <w:rFonts w:ascii="Arial Narrow" w:hAnsi="Arial Narrow"/>
                <w:b/>
                <w:bCs/>
                <w:sz w:val="18"/>
                <w:szCs w:val="18"/>
                <w:lang w:eastAsia="sk-SK"/>
              </w:rPr>
              <w:t>-620 545</w:t>
            </w:r>
          </w:p>
        </w:tc>
      </w:tr>
    </w:tbl>
    <w:p w:rsidR="00217EE5" w:rsidP="008173F6">
      <w:pPr>
        <w:pStyle w:val="Zkladntext"/>
        <w:bidi w:val="0"/>
        <w:spacing w:line="240" w:lineRule="auto"/>
        <w:rPr>
          <w:rFonts w:ascii="Arial Narrow" w:hAnsi="Arial Narrow"/>
          <w:sz w:val="22"/>
          <w:szCs w:val="22"/>
        </w:rPr>
      </w:pPr>
    </w:p>
    <w:p w:rsidR="004953AE" w:rsidP="008173F6">
      <w:pPr>
        <w:pStyle w:val="Zkladntext"/>
        <w:bidi w:val="0"/>
        <w:spacing w:line="240" w:lineRule="auto"/>
        <w:rPr>
          <w:rFonts w:ascii="Arial Narrow" w:hAnsi="Arial Narrow"/>
          <w:sz w:val="22"/>
          <w:szCs w:val="22"/>
        </w:rPr>
      </w:pPr>
    </w:p>
    <w:p w:rsidR="004953AE" w:rsidRPr="003B656C" w:rsidP="00F53F54">
      <w:pPr>
        <w:bidi w:val="0"/>
        <w:spacing w:line="240" w:lineRule="auto"/>
        <w:rPr>
          <w:rFonts w:ascii="Arial Narrow" w:hAnsi="Arial Narrow"/>
          <w:color w:val="000000"/>
        </w:rPr>
      </w:pPr>
      <w:r w:rsidRPr="003B656C" w:rsidR="003B656C">
        <w:rPr>
          <w:rFonts w:ascii="Arial Narrow" w:hAnsi="Arial Narrow" w:hint="default"/>
          <w:color w:val="000000"/>
        </w:rPr>
        <w:t>Negatí</w:t>
      </w:r>
      <w:r w:rsidRPr="003B656C" w:rsidR="003B656C">
        <w:rPr>
          <w:rFonts w:ascii="Arial Narrow" w:hAnsi="Arial Narrow" w:hint="default"/>
          <w:color w:val="000000"/>
        </w:rPr>
        <w:t>vny vý</w:t>
      </w:r>
      <w:r w:rsidRPr="003B656C" w:rsidR="003B656C">
        <w:rPr>
          <w:rFonts w:ascii="Arial Narrow" w:hAnsi="Arial Narrow" w:hint="default"/>
          <w:color w:val="000000"/>
        </w:rPr>
        <w:t xml:space="preserve">voj </w:t>
      </w:r>
      <w:r w:rsidRPr="00987796" w:rsidR="003B656C">
        <w:rPr>
          <w:rFonts w:ascii="Arial Narrow" w:hAnsi="Arial Narrow"/>
          <w:color w:val="000000"/>
        </w:rPr>
        <w:t>dane z </w:t>
      </w:r>
      <w:r w:rsidRPr="00987796" w:rsidR="003B656C">
        <w:rPr>
          <w:rFonts w:ascii="Arial Narrow" w:hAnsi="Arial Narrow" w:hint="default"/>
          <w:color w:val="000000"/>
        </w:rPr>
        <w:t>prí</w:t>
      </w:r>
      <w:r w:rsidRPr="00987796" w:rsidR="003B656C">
        <w:rPr>
          <w:rFonts w:ascii="Arial Narrow" w:hAnsi="Arial Narrow" w:hint="default"/>
          <w:color w:val="000000"/>
        </w:rPr>
        <w:t>jmov prá</w:t>
      </w:r>
      <w:r w:rsidRPr="00987796" w:rsidR="003B656C">
        <w:rPr>
          <w:rFonts w:ascii="Arial Narrow" w:hAnsi="Arial Narrow" w:hint="default"/>
          <w:color w:val="000000"/>
        </w:rPr>
        <w:t>vnický</w:t>
      </w:r>
      <w:r w:rsidRPr="00987796" w:rsidR="003B656C">
        <w:rPr>
          <w:rFonts w:ascii="Arial Narrow" w:hAnsi="Arial Narrow" w:hint="default"/>
          <w:color w:val="000000"/>
        </w:rPr>
        <w:t>ch osô</w:t>
      </w:r>
      <w:r w:rsidRPr="00987796" w:rsidR="003B656C">
        <w:rPr>
          <w:rFonts w:ascii="Arial Narrow" w:hAnsi="Arial Narrow" w:hint="default"/>
          <w:color w:val="000000"/>
        </w:rPr>
        <w:t>b</w:t>
      </w:r>
      <w:r w:rsidRPr="003B656C" w:rsidR="003B656C">
        <w:rPr>
          <w:rFonts w:ascii="Arial Narrow" w:hAnsi="Arial Narrow"/>
          <w:color w:val="000000"/>
        </w:rPr>
        <w:t xml:space="preserve"> je </w:t>
      </w:r>
      <w:r w:rsidRPr="003B656C" w:rsidR="003B656C">
        <w:rPr>
          <w:rFonts w:ascii="Arial Narrow" w:hAnsi="Arial Narrow" w:hint="default"/>
          <w:color w:val="000000"/>
        </w:rPr>
        <w:t>ovplyvnený</w:t>
      </w:r>
      <w:r w:rsidRPr="003B656C" w:rsidR="003B656C">
        <w:rPr>
          <w:rFonts w:ascii="Arial Narrow" w:hAnsi="Arial Narrow" w:hint="default"/>
          <w:color w:val="000000"/>
        </w:rPr>
        <w:t xml:space="preserve"> </w:t>
      </w:r>
      <w:r w:rsidR="00FF6EC0">
        <w:rPr>
          <w:rFonts w:ascii="Arial Narrow" w:hAnsi="Arial Narrow"/>
          <w:color w:val="000000"/>
        </w:rPr>
        <w:t xml:space="preserve">hlavne </w:t>
      </w:r>
      <w:r w:rsidRPr="003B656C" w:rsidR="003B656C">
        <w:rPr>
          <w:rFonts w:ascii="Arial Narrow" w:hAnsi="Arial Narrow" w:hint="default"/>
          <w:color w:val="000000"/>
        </w:rPr>
        <w:t>nižší</w:t>
      </w:r>
      <w:r w:rsidRPr="003B656C" w:rsidR="003B656C">
        <w:rPr>
          <w:rFonts w:ascii="Arial Narrow" w:hAnsi="Arial Narrow" w:hint="default"/>
          <w:color w:val="000000"/>
        </w:rPr>
        <w:t>m</w:t>
      </w:r>
      <w:r w:rsidR="00FC444E">
        <w:rPr>
          <w:rFonts w:ascii="Arial Narrow" w:hAnsi="Arial Narrow" w:hint="default"/>
          <w:color w:val="000000"/>
        </w:rPr>
        <w:t xml:space="preserve"> predpokladaný</w:t>
      </w:r>
      <w:r w:rsidR="00FC444E">
        <w:rPr>
          <w:rFonts w:ascii="Arial Narrow" w:hAnsi="Arial Narrow" w:hint="default"/>
          <w:color w:val="000000"/>
        </w:rPr>
        <w:t>m</w:t>
      </w:r>
      <w:r w:rsidRPr="003B656C" w:rsidR="003B656C">
        <w:rPr>
          <w:rFonts w:ascii="Arial Narrow" w:hAnsi="Arial Narrow" w:hint="default"/>
          <w:color w:val="000000"/>
        </w:rPr>
        <w:t xml:space="preserve"> vý</w:t>
      </w:r>
      <w:r w:rsidRPr="003B656C" w:rsidR="003B656C">
        <w:rPr>
          <w:rFonts w:ascii="Arial Narrow" w:hAnsi="Arial Narrow" w:hint="default"/>
          <w:color w:val="000000"/>
        </w:rPr>
        <w:t>nosom dane v mesiacoch marec, aprí</w:t>
      </w:r>
      <w:r w:rsidRPr="003B656C" w:rsidR="003B656C">
        <w:rPr>
          <w:rFonts w:ascii="Arial Narrow" w:hAnsi="Arial Narrow" w:hint="default"/>
          <w:color w:val="000000"/>
        </w:rPr>
        <w:t>l a </w:t>
      </w:r>
      <w:r w:rsidRPr="003B656C" w:rsidR="003B656C">
        <w:rPr>
          <w:rFonts w:ascii="Arial Narrow" w:hAnsi="Arial Narrow" w:hint="default"/>
          <w:color w:val="000000"/>
        </w:rPr>
        <w:t>má</w:t>
      </w:r>
      <w:r w:rsidRPr="003B656C" w:rsidR="003B656C">
        <w:rPr>
          <w:rFonts w:ascii="Arial Narrow" w:hAnsi="Arial Narrow" w:hint="default"/>
          <w:color w:val="000000"/>
        </w:rPr>
        <w:t>j, v </w:t>
      </w:r>
      <w:r w:rsidRPr="003B656C" w:rsidR="003B656C">
        <w:rPr>
          <w:rFonts w:ascii="Arial Narrow" w:hAnsi="Arial Narrow" w:hint="default"/>
          <w:color w:val="000000"/>
        </w:rPr>
        <w:t>ktorý</w:t>
      </w:r>
      <w:r w:rsidRPr="003B656C" w:rsidR="003B656C">
        <w:rPr>
          <w:rFonts w:ascii="Arial Narrow" w:hAnsi="Arial Narrow" w:hint="default"/>
          <w:color w:val="000000"/>
        </w:rPr>
        <w:t xml:space="preserve">ch prebehlo vyrovnanie </w:t>
      </w:r>
      <w:r w:rsidR="00FC444E">
        <w:rPr>
          <w:rFonts w:ascii="Arial Narrow" w:hAnsi="Arial Narrow" w:hint="default"/>
          <w:color w:val="000000"/>
        </w:rPr>
        <w:t>daň</w:t>
      </w:r>
      <w:r w:rsidR="00FC444E">
        <w:rPr>
          <w:rFonts w:ascii="Arial Narrow" w:hAnsi="Arial Narrow" w:hint="default"/>
          <w:color w:val="000000"/>
        </w:rPr>
        <w:t>ovej povinnosti za rok 2009</w:t>
      </w:r>
      <w:r w:rsidRPr="003B656C" w:rsidR="003B656C">
        <w:rPr>
          <w:rFonts w:ascii="Arial Narrow" w:hAnsi="Arial Narrow"/>
          <w:color w:val="000000"/>
        </w:rPr>
        <w:t>.</w:t>
      </w:r>
    </w:p>
    <w:p w:rsidR="004953AE" w:rsidRPr="004953AE" w:rsidP="00F53F54">
      <w:pPr>
        <w:bidi w:val="0"/>
        <w:spacing w:line="240" w:lineRule="auto"/>
        <w:rPr>
          <w:rFonts w:ascii="Arial Narrow" w:hAnsi="Arial Narrow" w:cs="Arial Narrow"/>
        </w:rPr>
      </w:pPr>
      <w:r w:rsidR="00FF6EC0">
        <w:rPr>
          <w:rFonts w:ascii="Arial Narrow" w:hAnsi="Arial Narrow" w:hint="default"/>
        </w:rPr>
        <w:t>Pokles prí</w:t>
      </w:r>
      <w:r w:rsidR="00FF6EC0">
        <w:rPr>
          <w:rFonts w:ascii="Arial Narrow" w:hAnsi="Arial Narrow" w:hint="default"/>
        </w:rPr>
        <w:t>jmov š</w:t>
      </w:r>
      <w:r w:rsidR="00FF6EC0">
        <w:rPr>
          <w:rFonts w:ascii="Arial Narrow" w:hAnsi="Arial Narrow" w:hint="default"/>
        </w:rPr>
        <w:t>tá</w:t>
      </w:r>
      <w:r w:rsidR="00FF6EC0">
        <w:rPr>
          <w:rFonts w:ascii="Arial Narrow" w:hAnsi="Arial Narrow" w:hint="default"/>
        </w:rPr>
        <w:t>tneho rozpoč</w:t>
      </w:r>
      <w:r w:rsidR="00FF6EC0">
        <w:rPr>
          <w:rFonts w:ascii="Arial Narrow" w:hAnsi="Arial Narrow" w:hint="default"/>
        </w:rPr>
        <w:t>tu z </w:t>
      </w:r>
      <w:r w:rsidRPr="00987796" w:rsidR="00FF6EC0">
        <w:rPr>
          <w:rFonts w:ascii="Arial Narrow" w:hAnsi="Arial Narrow"/>
        </w:rPr>
        <w:t>dane z pridanej hodnoty</w:t>
      </w:r>
      <w:r w:rsidR="00FF6EC0">
        <w:rPr>
          <w:rFonts w:ascii="Arial Narrow" w:hAnsi="Arial Narrow"/>
          <w:b/>
        </w:rPr>
        <w:t xml:space="preserve"> </w:t>
      </w:r>
      <w:r w:rsidR="00FF6EC0">
        <w:rPr>
          <w:rFonts w:ascii="Arial Narrow" w:hAnsi="Arial Narrow" w:hint="default"/>
        </w:rPr>
        <w:t>je spô</w:t>
      </w:r>
      <w:r w:rsidR="00FF6EC0">
        <w:rPr>
          <w:rFonts w:ascii="Arial Narrow" w:hAnsi="Arial Narrow" w:hint="default"/>
        </w:rPr>
        <w:t>sobený</w:t>
      </w:r>
      <w:r w:rsidR="00FF6EC0">
        <w:rPr>
          <w:rFonts w:ascii="Arial Narrow" w:hAnsi="Arial Narrow" w:hint="default"/>
        </w:rPr>
        <w:t xml:space="preserve"> najmä</w:t>
      </w:r>
      <w:r w:rsidR="00FF6EC0">
        <w:rPr>
          <w:rFonts w:ascii="Arial Narrow" w:hAnsi="Arial Narrow" w:hint="default"/>
        </w:rPr>
        <w:t xml:space="preserve"> nižší</w:t>
      </w:r>
      <w:r w:rsidR="00FF6EC0">
        <w:rPr>
          <w:rFonts w:ascii="Arial Narrow" w:hAnsi="Arial Narrow" w:hint="default"/>
        </w:rPr>
        <w:t>m odhadom nominá</w:t>
      </w:r>
      <w:r w:rsidR="00FF6EC0">
        <w:rPr>
          <w:rFonts w:ascii="Arial Narrow" w:hAnsi="Arial Narrow" w:hint="default"/>
        </w:rPr>
        <w:t>lneho rast</w:t>
      </w:r>
      <w:r w:rsidR="00FF6EC0">
        <w:rPr>
          <w:rFonts w:ascii="Arial Narrow" w:hAnsi="Arial Narrow" w:hint="default"/>
        </w:rPr>
        <w:t>u koneč</w:t>
      </w:r>
      <w:r w:rsidR="00FF6EC0">
        <w:rPr>
          <w:rFonts w:ascii="Arial Narrow" w:hAnsi="Arial Narrow" w:hint="default"/>
        </w:rPr>
        <w:t>nej spotreby domá</w:t>
      </w:r>
      <w:r w:rsidR="00FF6EC0">
        <w:rPr>
          <w:rFonts w:ascii="Arial Narrow" w:hAnsi="Arial Narrow" w:hint="default"/>
        </w:rPr>
        <w:t>cností</w:t>
      </w:r>
      <w:r w:rsidR="00FF6EC0">
        <w:rPr>
          <w:rFonts w:ascii="Arial Narrow" w:hAnsi="Arial Narrow" w:hint="default"/>
        </w:rPr>
        <w:t xml:space="preserve"> ako sa oč</w:t>
      </w:r>
      <w:r w:rsidR="00FF6EC0">
        <w:rPr>
          <w:rFonts w:ascii="Arial Narrow" w:hAnsi="Arial Narrow" w:hint="default"/>
        </w:rPr>
        <w:t>aká</w:t>
      </w:r>
      <w:r w:rsidR="00FF6EC0">
        <w:rPr>
          <w:rFonts w:ascii="Arial Narrow" w:hAnsi="Arial Narrow" w:hint="default"/>
        </w:rPr>
        <w:t>valo v </w:t>
      </w:r>
      <w:r w:rsidR="00FF6EC0">
        <w:rPr>
          <w:rFonts w:ascii="Arial Narrow" w:hAnsi="Arial Narrow" w:hint="default"/>
        </w:rPr>
        <w:t>č</w:t>
      </w:r>
      <w:r w:rsidR="00FF6EC0">
        <w:rPr>
          <w:rFonts w:ascii="Arial Narrow" w:hAnsi="Arial Narrow" w:hint="default"/>
        </w:rPr>
        <w:t>ase prí</w:t>
      </w:r>
      <w:r w:rsidR="00FF6EC0">
        <w:rPr>
          <w:rFonts w:ascii="Arial Narrow" w:hAnsi="Arial Narrow" w:hint="default"/>
        </w:rPr>
        <w:t>pravy rozpoč</w:t>
      </w:r>
      <w:r w:rsidR="00FF6EC0">
        <w:rPr>
          <w:rFonts w:ascii="Arial Narrow" w:hAnsi="Arial Narrow" w:hint="default"/>
        </w:rPr>
        <w:t xml:space="preserve">tu. </w:t>
      </w:r>
      <w:r w:rsidR="00FF6EC0">
        <w:rPr>
          <w:rFonts w:ascii="Arial Narrow" w:hAnsi="Arial Narrow" w:cs="Arial Narrow" w:hint="default"/>
        </w:rPr>
        <w:t>Druhý</w:t>
      </w:r>
      <w:r w:rsidR="00FF6EC0">
        <w:rPr>
          <w:rFonts w:ascii="Arial Narrow" w:hAnsi="Arial Narrow" w:cs="Arial Narrow" w:hint="default"/>
        </w:rPr>
        <w:t>m faktorom je skutoč</w:t>
      </w:r>
      <w:r w:rsidR="00FF6EC0">
        <w:rPr>
          <w:rFonts w:ascii="Arial Narrow" w:hAnsi="Arial Narrow" w:cs="Arial Narrow" w:hint="default"/>
        </w:rPr>
        <w:t>nosť</w:t>
      </w:r>
      <w:r w:rsidR="00FF6EC0">
        <w:rPr>
          <w:rFonts w:ascii="Arial Narrow" w:hAnsi="Arial Narrow" w:cs="Arial Narrow" w:hint="default"/>
        </w:rPr>
        <w:t xml:space="preserve"> za rok 2009, ktorá</w:t>
      </w:r>
      <w:r w:rsidR="00FF6EC0">
        <w:rPr>
          <w:rFonts w:ascii="Arial Narrow" w:hAnsi="Arial Narrow" w:cs="Arial Narrow" w:hint="default"/>
        </w:rPr>
        <w:t xml:space="preserve"> dopadla horš</w:t>
      </w:r>
      <w:r w:rsidR="00FF6EC0">
        <w:rPr>
          <w:rFonts w:ascii="Arial Narrow" w:hAnsi="Arial Narrow" w:cs="Arial Narrow" w:hint="default"/>
        </w:rPr>
        <w:t>ie ako sa oč</w:t>
      </w:r>
      <w:r w:rsidR="00FF6EC0">
        <w:rPr>
          <w:rFonts w:ascii="Arial Narrow" w:hAnsi="Arial Narrow" w:cs="Arial Narrow" w:hint="default"/>
        </w:rPr>
        <w:t>aká</w:t>
      </w:r>
      <w:r w:rsidR="00FF6EC0">
        <w:rPr>
          <w:rFonts w:ascii="Arial Narrow" w:hAnsi="Arial Narrow" w:cs="Arial Narrow" w:hint="default"/>
        </w:rPr>
        <w:t>valo, č</w:t>
      </w:r>
      <w:r w:rsidR="00FF6EC0">
        <w:rPr>
          <w:rFonts w:ascii="Arial Narrow" w:hAnsi="Arial Narrow" w:cs="Arial Narrow" w:hint="default"/>
        </w:rPr>
        <w:t>o mož</w:t>
      </w:r>
      <w:r w:rsidR="00FF6EC0">
        <w:rPr>
          <w:rFonts w:ascii="Arial Narrow" w:hAnsi="Arial Narrow" w:cs="Arial Narrow" w:hint="default"/>
        </w:rPr>
        <w:t xml:space="preserve">no </w:t>
      </w:r>
      <w:r w:rsidR="00C06889">
        <w:rPr>
          <w:rFonts w:ascii="Arial Narrow" w:hAnsi="Arial Narrow" w:cs="Arial Narrow" w:hint="default"/>
        </w:rPr>
        <w:t>č</w:t>
      </w:r>
      <w:r w:rsidR="00C06889">
        <w:rPr>
          <w:rFonts w:ascii="Arial Narrow" w:hAnsi="Arial Narrow" w:cs="Arial Narrow" w:hint="default"/>
        </w:rPr>
        <w:t>iastoč</w:t>
      </w:r>
      <w:r w:rsidR="00C06889">
        <w:rPr>
          <w:rFonts w:ascii="Arial Narrow" w:hAnsi="Arial Narrow" w:cs="Arial Narrow" w:hint="default"/>
        </w:rPr>
        <w:t xml:space="preserve">ne </w:t>
      </w:r>
      <w:r w:rsidR="00FF6EC0">
        <w:rPr>
          <w:rFonts w:ascii="Arial Narrow" w:hAnsi="Arial Narrow" w:cs="Arial Narrow" w:hint="default"/>
        </w:rPr>
        <w:t>pripí</w:t>
      </w:r>
      <w:r w:rsidR="00FF6EC0">
        <w:rPr>
          <w:rFonts w:ascii="Arial Narrow" w:hAnsi="Arial Narrow" w:cs="Arial Narrow" w:hint="default"/>
        </w:rPr>
        <w:t>sať</w:t>
      </w:r>
      <w:r w:rsidR="00FF6EC0">
        <w:rPr>
          <w:rFonts w:ascii="Arial Narrow" w:hAnsi="Arial Narrow" w:cs="Arial Narrow" w:hint="default"/>
        </w:rPr>
        <w:t xml:space="preserve"> zmene š</w:t>
      </w:r>
      <w:r w:rsidR="00FF6EC0">
        <w:rPr>
          <w:rFonts w:ascii="Arial Narrow" w:hAnsi="Arial Narrow" w:cs="Arial Narrow" w:hint="default"/>
        </w:rPr>
        <w:t>truktú</w:t>
      </w:r>
      <w:r w:rsidR="00FF6EC0">
        <w:rPr>
          <w:rFonts w:ascii="Arial Narrow" w:hAnsi="Arial Narrow" w:cs="Arial Narrow" w:hint="default"/>
        </w:rPr>
        <w:t xml:space="preserve">ry </w:t>
      </w:r>
      <w:r w:rsidR="00C06889">
        <w:rPr>
          <w:rFonts w:ascii="Arial Narrow" w:hAnsi="Arial Narrow" w:cs="Arial Narrow" w:hint="default"/>
        </w:rPr>
        <w:t>spotreby domá</w:t>
      </w:r>
      <w:r w:rsidR="00C06889">
        <w:rPr>
          <w:rFonts w:ascii="Arial Narrow" w:hAnsi="Arial Narrow" w:cs="Arial Narrow" w:hint="default"/>
        </w:rPr>
        <w:t>cností</w:t>
      </w:r>
      <w:r w:rsidR="00C06889">
        <w:rPr>
          <w:rFonts w:ascii="Arial Narrow" w:hAnsi="Arial Narrow" w:cs="Arial Narrow" w:hint="default"/>
        </w:rPr>
        <w:t xml:space="preserve"> </w:t>
      </w:r>
      <w:r w:rsidR="00FF6EC0">
        <w:rPr>
          <w:rFonts w:ascii="Arial Narrow" w:hAnsi="Arial Narrow" w:cs="Arial Narrow"/>
        </w:rPr>
        <w:t xml:space="preserve"> v </w:t>
      </w:r>
      <w:r w:rsidR="00FF6EC0">
        <w:rPr>
          <w:rFonts w:ascii="Arial Narrow" w:hAnsi="Arial Narrow" w:cs="Arial Narrow" w:hint="default"/>
        </w:rPr>
        <w:t>neprospech polož</w:t>
      </w:r>
      <w:r w:rsidR="00FF6EC0">
        <w:rPr>
          <w:rFonts w:ascii="Arial Narrow" w:hAnsi="Arial Narrow" w:cs="Arial Narrow" w:hint="default"/>
        </w:rPr>
        <w:t>iek, z </w:t>
      </w:r>
      <w:r w:rsidR="00FF6EC0">
        <w:rPr>
          <w:rFonts w:ascii="Arial Narrow" w:hAnsi="Arial Narrow" w:cs="Arial Narrow" w:hint="default"/>
        </w:rPr>
        <w:t>ktorý</w:t>
      </w:r>
      <w:r w:rsidR="00FF6EC0">
        <w:rPr>
          <w:rFonts w:ascii="Arial Narrow" w:hAnsi="Arial Narrow" w:cs="Arial Narrow" w:hint="default"/>
        </w:rPr>
        <w:t>ch pl</w:t>
      </w:r>
      <w:r w:rsidR="00FF6EC0">
        <w:rPr>
          <w:rFonts w:ascii="Arial Narrow" w:hAnsi="Arial Narrow" w:cs="Arial Narrow" w:hint="default"/>
        </w:rPr>
        <w:t>ynie DPH (produkcia pre seba, nezaznamenaná</w:t>
      </w:r>
      <w:r w:rsidR="00FF6EC0">
        <w:rPr>
          <w:rFonts w:ascii="Arial Narrow" w:hAnsi="Arial Narrow" w:cs="Arial Narrow" w:hint="default"/>
        </w:rPr>
        <w:t xml:space="preserve"> ekonomika).</w:t>
      </w:r>
    </w:p>
    <w:p w:rsidR="001F4BFD" w:rsidP="00F53F54">
      <w:pPr>
        <w:pStyle w:val="Char4"/>
        <w:bidi w:val="0"/>
        <w:spacing w:after="200" w:line="240" w:lineRule="auto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B4446">
        <w:rPr>
          <w:rFonts w:ascii="Arial Narrow" w:hAnsi="Arial Narrow" w:cs="Arial Narrow"/>
          <w:sz w:val="22"/>
          <w:szCs w:val="22"/>
          <w:lang w:val="sk-SK"/>
        </w:rPr>
        <w:t xml:space="preserve">Odhad výnosu </w:t>
      </w:r>
      <w:r w:rsidRPr="00987796">
        <w:rPr>
          <w:rFonts w:ascii="Arial Narrow" w:hAnsi="Arial Narrow" w:cs="Arial Narrow"/>
          <w:bCs/>
          <w:sz w:val="22"/>
          <w:szCs w:val="22"/>
          <w:lang w:val="sk-SK"/>
        </w:rPr>
        <w:t>spotrebných daní</w:t>
      </w:r>
      <w:r w:rsidRPr="00AB4446">
        <w:rPr>
          <w:rFonts w:ascii="Arial Narrow" w:hAnsi="Arial Narrow" w:cs="Arial Narrow"/>
          <w:sz w:val="22"/>
          <w:szCs w:val="22"/>
          <w:lang w:val="sk-SK"/>
        </w:rPr>
        <w:t xml:space="preserve"> je v porovnaní s rozpočtom na rok 20</w:t>
      </w:r>
      <w:r>
        <w:rPr>
          <w:rFonts w:ascii="Arial Narrow" w:hAnsi="Arial Narrow" w:cs="Arial Narrow"/>
          <w:sz w:val="22"/>
          <w:szCs w:val="22"/>
          <w:lang w:val="sk-SK"/>
        </w:rPr>
        <w:t>10</w:t>
      </w:r>
      <w:r w:rsidRPr="00AB4446">
        <w:rPr>
          <w:rFonts w:ascii="Arial Narrow" w:hAnsi="Arial Narrow" w:cs="Arial Narrow"/>
          <w:sz w:val="22"/>
          <w:szCs w:val="22"/>
          <w:lang w:val="sk-SK"/>
        </w:rPr>
        <w:t xml:space="preserve"> nižší o</w:t>
      </w:r>
      <w:r w:rsidR="00FF6EC0">
        <w:rPr>
          <w:rFonts w:ascii="Arial Narrow" w:hAnsi="Arial Narrow" w:cs="Arial Narrow"/>
          <w:sz w:val="22"/>
          <w:szCs w:val="22"/>
          <w:lang w:val="sk-SK"/>
        </w:rPr>
        <w:t> 41</w:t>
      </w:r>
      <w:r>
        <w:rPr>
          <w:rFonts w:ascii="Arial Narrow" w:hAnsi="Arial Narrow" w:cs="Arial Narrow"/>
          <w:sz w:val="22"/>
          <w:szCs w:val="22"/>
          <w:lang w:val="sk-SK"/>
        </w:rPr>
        <w:t>,</w:t>
      </w:r>
      <w:r w:rsidR="00FF6EC0">
        <w:rPr>
          <w:rFonts w:ascii="Arial Narrow" w:hAnsi="Arial Narrow" w:cs="Arial Narrow"/>
          <w:sz w:val="22"/>
          <w:szCs w:val="22"/>
          <w:lang w:val="sk-SK"/>
        </w:rPr>
        <w:t>9</w:t>
      </w:r>
      <w:r w:rsidRPr="00AB4446">
        <w:rPr>
          <w:rFonts w:ascii="Arial Narrow" w:hAnsi="Arial Narrow" w:cs="Arial Narrow"/>
          <w:sz w:val="22"/>
          <w:szCs w:val="22"/>
          <w:lang w:val="sk-SK"/>
        </w:rPr>
        <w:t xml:space="preserve"> mil. </w:t>
      </w:r>
      <w:r w:rsidR="00F53F54">
        <w:rPr>
          <w:rFonts w:ascii="Arial Narrow" w:hAnsi="Arial Narrow" w:cs="Arial Narrow"/>
          <w:sz w:val="22"/>
          <w:szCs w:val="22"/>
          <w:lang w:val="sk-SK"/>
        </w:rPr>
        <w:t>e</w:t>
      </w:r>
      <w:r w:rsidRPr="00AB4446">
        <w:rPr>
          <w:rFonts w:ascii="Arial Narrow" w:hAnsi="Arial Narrow" w:cs="Arial Narrow"/>
          <w:sz w:val="22"/>
          <w:szCs w:val="22"/>
          <w:lang w:val="sk-SK"/>
        </w:rPr>
        <w:t xml:space="preserve">ur. </w:t>
      </w:r>
      <w:r>
        <w:rPr>
          <w:rFonts w:ascii="Arial Narrow" w:hAnsi="Arial Narrow" w:cs="Arial Narrow"/>
          <w:sz w:val="22"/>
          <w:szCs w:val="22"/>
          <w:lang w:val="sk-SK"/>
        </w:rPr>
        <w:t>Predpokladaný h</w:t>
      </w:r>
      <w:r w:rsidRPr="00AB4446">
        <w:rPr>
          <w:rFonts w:ascii="Arial Narrow" w:hAnsi="Arial Narrow" w:cs="Arial Narrow"/>
          <w:sz w:val="22"/>
          <w:szCs w:val="22"/>
          <w:lang w:val="sk-SK"/>
        </w:rPr>
        <w:t xml:space="preserve">orší výber spotrebných daní je ovplyvnený </w:t>
      </w:r>
      <w:r>
        <w:rPr>
          <w:rFonts w:ascii="Arial Narrow" w:hAnsi="Arial Narrow" w:cs="Arial Narrow"/>
          <w:sz w:val="22"/>
          <w:szCs w:val="22"/>
          <w:lang w:val="sk-SK"/>
        </w:rPr>
        <w:t>dvomi</w:t>
      </w:r>
      <w:r w:rsidRPr="00AB4446">
        <w:rPr>
          <w:rFonts w:ascii="Arial Narrow" w:hAnsi="Arial Narrow" w:cs="Arial Narrow"/>
          <w:sz w:val="22"/>
          <w:szCs w:val="22"/>
          <w:lang w:val="sk-SK"/>
        </w:rPr>
        <w:t xml:space="preserve"> faktormi. V prvom rade je to zhoršenie makroekonomického prostredia a s tým súvisiaci pokles spotreby domácností. </w:t>
      </w:r>
      <w:r>
        <w:rPr>
          <w:rFonts w:ascii="Arial Narrow" w:hAnsi="Arial Narrow" w:cs="Arial Narrow"/>
          <w:sz w:val="22"/>
          <w:szCs w:val="22"/>
          <w:lang w:val="sk-SK"/>
        </w:rPr>
        <w:t>Druhým faktorom je negatívny vplyv z</w:t>
      </w:r>
      <w:r w:rsidR="009A2570">
        <w:rPr>
          <w:rFonts w:ascii="Arial Narrow" w:hAnsi="Arial Narrow" w:cs="Arial Narrow"/>
          <w:sz w:val="22"/>
          <w:szCs w:val="22"/>
          <w:lang w:val="sk-SK"/>
        </w:rPr>
        <w:t>níženia sadzby dane na naftu od 1.</w:t>
      </w:r>
      <w:r w:rsidR="00F53F54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9A2570">
        <w:rPr>
          <w:rFonts w:ascii="Arial Narrow" w:hAnsi="Arial Narrow" w:cs="Arial Narrow"/>
          <w:sz w:val="22"/>
          <w:szCs w:val="22"/>
          <w:lang w:val="sk-SK"/>
        </w:rPr>
        <w:t>2.</w:t>
      </w:r>
      <w:r w:rsidR="00F53F54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9A2570">
        <w:rPr>
          <w:rFonts w:ascii="Arial Narrow" w:hAnsi="Arial Narrow" w:cs="Arial Narrow"/>
          <w:sz w:val="22"/>
          <w:szCs w:val="22"/>
          <w:lang w:val="sk-SK"/>
        </w:rPr>
        <w:t xml:space="preserve">2010  v celkovej výške 73,6 mil. </w:t>
      </w:r>
      <w:r w:rsidR="00F53F54">
        <w:rPr>
          <w:rFonts w:ascii="Arial Narrow" w:hAnsi="Arial Narrow" w:cs="Arial Narrow"/>
          <w:sz w:val="22"/>
          <w:szCs w:val="22"/>
          <w:lang w:val="sk-SK"/>
        </w:rPr>
        <w:t>e</w:t>
      </w:r>
      <w:r w:rsidR="009A2570">
        <w:rPr>
          <w:rFonts w:ascii="Arial Narrow" w:hAnsi="Arial Narrow" w:cs="Arial Narrow"/>
          <w:sz w:val="22"/>
          <w:szCs w:val="22"/>
          <w:lang w:val="sk-SK"/>
        </w:rPr>
        <w:t>ur.</w:t>
      </w:r>
    </w:p>
    <w:p w:rsidR="00E110D7" w:rsidP="00F53F54">
      <w:pPr>
        <w:pStyle w:val="Char4"/>
        <w:bidi w:val="0"/>
        <w:spacing w:after="200" w:line="240" w:lineRule="auto"/>
        <w:jc w:val="both"/>
        <w:rPr>
          <w:rFonts w:ascii="Arial Narrow" w:hAnsi="Arial Narrow" w:cs="Arial Narrow"/>
          <w:sz w:val="22"/>
          <w:szCs w:val="22"/>
          <w:lang w:val="sk-SK"/>
        </w:rPr>
      </w:pPr>
      <w:r>
        <w:rPr>
          <w:rFonts w:ascii="Arial Narrow" w:hAnsi="Arial Narrow" w:cs="Arial Narrow"/>
          <w:sz w:val="22"/>
          <w:szCs w:val="22"/>
          <w:lang w:val="sk-SK"/>
        </w:rPr>
        <w:t xml:space="preserve">Nenaplnenie nedaňových príjmov súvisí s nerealizovaným predajom kapitálových a nehmotných </w:t>
      </w:r>
      <w:r w:rsidR="008E21A5">
        <w:rPr>
          <w:rFonts w:ascii="Arial Narrow" w:hAnsi="Arial Narrow" w:cs="Arial Narrow"/>
          <w:sz w:val="22"/>
          <w:szCs w:val="22"/>
          <w:lang w:val="sk-SK"/>
        </w:rPr>
        <w:t xml:space="preserve">aktív a neplnením príjmov z administratívnych poplatkov v niektorých kapitolách štátneho rozpočtu.  </w:t>
      </w:r>
    </w:p>
    <w:p w:rsidR="008E21A5" w:rsidP="008E21A5">
      <w:pPr>
        <w:bidi w:val="0"/>
        <w:spacing w:line="240" w:lineRule="auto"/>
        <w:rPr>
          <w:rFonts w:ascii="Arial Narrow" w:hAnsi="Arial Narrow" w:cs="Arial Narrow"/>
        </w:rPr>
      </w:pPr>
      <w:r w:rsidR="002346FF">
        <w:rPr>
          <w:rFonts w:ascii="Arial Narrow" w:hAnsi="Arial Narrow" w:cs="Arial Narrow"/>
        </w:rPr>
        <w:t>V </w:t>
      </w:r>
      <w:r w:rsidR="002346FF">
        <w:rPr>
          <w:rFonts w:ascii="Arial Narrow" w:hAnsi="Arial Narrow" w:cs="Arial Narrow" w:hint="default"/>
        </w:rPr>
        <w:t>nadvä</w:t>
      </w:r>
      <w:r w:rsidR="002346FF">
        <w:rPr>
          <w:rFonts w:ascii="Arial Narrow" w:hAnsi="Arial Narrow" w:cs="Arial Narrow" w:hint="default"/>
        </w:rPr>
        <w:t>znosti na body 1 a </w:t>
      </w:r>
      <w:r w:rsidR="002346FF">
        <w:rPr>
          <w:rFonts w:ascii="Arial Narrow" w:hAnsi="Arial Narrow" w:cs="Arial Narrow" w:hint="default"/>
        </w:rPr>
        <w:t>2 sa zvyš</w:t>
      </w:r>
      <w:r w:rsidR="002346FF">
        <w:rPr>
          <w:rFonts w:ascii="Arial Narrow" w:hAnsi="Arial Narrow" w:cs="Arial Narrow" w:hint="default"/>
        </w:rPr>
        <w:t>ujú</w:t>
      </w:r>
      <w:r w:rsidR="002346FF">
        <w:rPr>
          <w:rFonts w:ascii="Arial Narrow" w:hAnsi="Arial Narrow" w:cs="Arial Narrow" w:hint="default"/>
        </w:rPr>
        <w:t xml:space="preserve"> celkové</w:t>
      </w:r>
      <w:r w:rsidR="002346FF">
        <w:rPr>
          <w:rFonts w:ascii="Arial Narrow" w:hAnsi="Arial Narrow" w:cs="Arial Narrow" w:hint="default"/>
        </w:rPr>
        <w:t xml:space="preserve"> vý</w:t>
      </w:r>
      <w:r w:rsidR="002346FF">
        <w:rPr>
          <w:rFonts w:ascii="Arial Narrow" w:hAnsi="Arial Narrow" w:cs="Arial Narrow" w:hint="default"/>
        </w:rPr>
        <w:t>davky š</w:t>
      </w:r>
      <w:r w:rsidR="002346FF">
        <w:rPr>
          <w:rFonts w:ascii="Arial Narrow" w:hAnsi="Arial Narrow" w:cs="Arial Narrow" w:hint="default"/>
        </w:rPr>
        <w:t>tá</w:t>
      </w:r>
      <w:r w:rsidR="002346FF">
        <w:rPr>
          <w:rFonts w:ascii="Arial Narrow" w:hAnsi="Arial Narrow" w:cs="Arial Narrow" w:hint="default"/>
        </w:rPr>
        <w:t>tneho rozpoč</w:t>
      </w:r>
      <w:r w:rsidR="002346FF">
        <w:rPr>
          <w:rFonts w:ascii="Arial Narrow" w:hAnsi="Arial Narrow" w:cs="Arial Narrow" w:hint="default"/>
        </w:rPr>
        <w:t>tu o 130 mil. eur.</w:t>
      </w:r>
    </w:p>
    <w:p w:rsidR="00197A85" w:rsidP="008E21A5">
      <w:pPr>
        <w:bidi w:val="0"/>
        <w:spacing w:line="240" w:lineRule="auto"/>
        <w:rPr>
          <w:rFonts w:ascii="Arial Narrow" w:hAnsi="Arial Narrow" w:cs="Arial Narrow" w:hint="default"/>
        </w:rPr>
      </w:pPr>
      <w:r>
        <w:rPr>
          <w:rFonts w:ascii="Arial Narrow" w:hAnsi="Arial Narrow" w:cs="Arial Narrow"/>
        </w:rPr>
        <w:t>V </w:t>
      </w:r>
      <w:r>
        <w:rPr>
          <w:rFonts w:ascii="Arial Narrow" w:hAnsi="Arial Narrow" w:cs="Arial Narrow" w:hint="default"/>
        </w:rPr>
        <w:t>nadvä</w:t>
      </w:r>
      <w:r>
        <w:rPr>
          <w:rFonts w:ascii="Arial Narrow" w:hAnsi="Arial Narrow" w:cs="Arial Narrow" w:hint="default"/>
        </w:rPr>
        <w:t>znosti na zmeny v </w:t>
      </w:r>
      <w:r>
        <w:rPr>
          <w:rFonts w:ascii="Arial Narrow" w:hAnsi="Arial Narrow" w:cs="Arial Narrow" w:hint="default"/>
        </w:rPr>
        <w:t>prí</w:t>
      </w:r>
      <w:r>
        <w:rPr>
          <w:rFonts w:ascii="Arial Narrow" w:hAnsi="Arial Narrow" w:cs="Arial Narrow" w:hint="default"/>
        </w:rPr>
        <w:t>jmoch a vý</w:t>
      </w:r>
      <w:r>
        <w:rPr>
          <w:rFonts w:ascii="Arial Narrow" w:hAnsi="Arial Narrow" w:cs="Arial Narrow" w:hint="default"/>
        </w:rPr>
        <w:t>davkoch š</w:t>
      </w:r>
      <w:r>
        <w:rPr>
          <w:rFonts w:ascii="Arial Narrow" w:hAnsi="Arial Narrow" w:cs="Arial Narrow" w:hint="default"/>
        </w:rPr>
        <w:t>tá</w:t>
      </w:r>
      <w:r>
        <w:rPr>
          <w:rFonts w:ascii="Arial Narrow" w:hAnsi="Arial Narrow" w:cs="Arial Narrow" w:hint="default"/>
        </w:rPr>
        <w:t>tn</w:t>
      </w:r>
      <w:r>
        <w:rPr>
          <w:rFonts w:ascii="Arial Narrow" w:hAnsi="Arial Narrow" w:cs="Arial Narrow" w:hint="default"/>
        </w:rPr>
        <w:t>eho rozpoč</w:t>
      </w:r>
      <w:r>
        <w:rPr>
          <w:rFonts w:ascii="Arial Narrow" w:hAnsi="Arial Narrow" w:cs="Arial Narrow" w:hint="default"/>
        </w:rPr>
        <w:t>tu sa mení</w:t>
      </w:r>
      <w:r>
        <w:rPr>
          <w:rFonts w:ascii="Arial Narrow" w:hAnsi="Arial Narrow" w:cs="Arial Narrow" w:hint="default"/>
        </w:rPr>
        <w:t xml:space="preserve"> aj výš</w:t>
      </w:r>
      <w:r>
        <w:rPr>
          <w:rFonts w:ascii="Arial Narrow" w:hAnsi="Arial Narrow" w:cs="Arial Narrow" w:hint="default"/>
        </w:rPr>
        <w:t xml:space="preserve">ka schodku. </w:t>
      </w:r>
    </w:p>
    <w:p w:rsidR="00770F96" w:rsidP="008173F6">
      <w:pPr>
        <w:pStyle w:val="Zkladntext"/>
        <w:bidi w:val="0"/>
        <w:spacing w:line="240" w:lineRule="auto"/>
        <w:rPr>
          <w:rFonts w:ascii="Arial Narrow" w:hAnsi="Arial Narrow"/>
          <w:sz w:val="22"/>
          <w:szCs w:val="22"/>
        </w:rPr>
      </w:pPr>
      <w:r w:rsidR="00E110D7">
        <w:rPr>
          <w:rFonts w:ascii="Arial Narrow" w:hAnsi="Arial Narrow"/>
          <w:sz w:val="22"/>
          <w:szCs w:val="22"/>
        </w:rPr>
        <w:t xml:space="preserve">K bodu </w:t>
      </w:r>
      <w:r w:rsidR="00987796">
        <w:rPr>
          <w:rFonts w:ascii="Arial Narrow" w:hAnsi="Arial Narrow"/>
          <w:sz w:val="22"/>
          <w:szCs w:val="22"/>
        </w:rPr>
        <w:t>4</w:t>
      </w:r>
    </w:p>
    <w:p w:rsidR="00E110D7" w:rsidP="008173F6">
      <w:pPr>
        <w:pStyle w:val="Zkladntext"/>
        <w:bidi w:val="0"/>
        <w:spacing w:line="240" w:lineRule="auto"/>
        <w:rPr>
          <w:rFonts w:ascii="Arial Narrow" w:hAnsi="Arial Narrow"/>
          <w:sz w:val="22"/>
          <w:szCs w:val="22"/>
        </w:rPr>
      </w:pPr>
    </w:p>
    <w:p w:rsidR="008451F0" w:rsidP="008451F0">
      <w:pPr>
        <w:pStyle w:val="Zkladntext"/>
        <w:bidi w:val="0"/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Vo vybraných kapitolách štátneho rozpočtu sa upravuje záväzný ukazovateľ príjmov z dôvodu ich zreálnenia</w:t>
      </w:r>
      <w:r w:rsidRPr="007153D9">
        <w:rPr>
          <w:rFonts w:ascii="Arial Narrow" w:hAnsi="Arial Narrow"/>
          <w:sz w:val="22"/>
          <w:szCs w:val="22"/>
        </w:rPr>
        <w:t>.</w:t>
      </w:r>
    </w:p>
    <w:p w:rsidR="008451F0" w:rsidP="008173F6">
      <w:pPr>
        <w:pStyle w:val="Zkladntext"/>
        <w:bidi w:val="0"/>
        <w:spacing w:line="240" w:lineRule="auto"/>
        <w:rPr>
          <w:rFonts w:ascii="Arial Narrow" w:hAnsi="Arial Narrow"/>
          <w:sz w:val="22"/>
          <w:szCs w:val="22"/>
        </w:rPr>
      </w:pPr>
    </w:p>
    <w:p w:rsidR="008451F0" w:rsidP="008173F6">
      <w:pPr>
        <w:pStyle w:val="Zkladntext"/>
        <w:bidi w:val="0"/>
        <w:spacing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 bodu </w:t>
      </w:r>
      <w:r w:rsidR="00987796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 xml:space="preserve"> a </w:t>
      </w:r>
      <w:r w:rsidR="00987796">
        <w:rPr>
          <w:rFonts w:ascii="Arial Narrow" w:hAnsi="Arial Narrow"/>
          <w:sz w:val="22"/>
          <w:szCs w:val="22"/>
        </w:rPr>
        <w:t>6</w:t>
      </w:r>
    </w:p>
    <w:p w:rsidR="008451F0" w:rsidP="008173F6">
      <w:pPr>
        <w:pStyle w:val="Zkladntext"/>
        <w:bidi w:val="0"/>
        <w:spacing w:line="240" w:lineRule="auto"/>
        <w:rPr>
          <w:rFonts w:ascii="Arial Narrow" w:hAnsi="Arial Narrow"/>
          <w:sz w:val="22"/>
          <w:szCs w:val="22"/>
        </w:rPr>
      </w:pPr>
    </w:p>
    <w:p w:rsidR="008451F0" w:rsidP="008173F6">
      <w:pPr>
        <w:pStyle w:val="Zkladntext"/>
        <w:bidi w:val="0"/>
        <w:spacing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 dôvodu úpravy výšky výdavkov v kapitole Všeobecná pokladničná správa sa upravujú aj výdavky celkom a výdavky spolu bez prostriedkov EÚ v prílohe č. 3. Zároveň sa </w:t>
      </w:r>
      <w:r w:rsidR="003E3D71">
        <w:rPr>
          <w:rFonts w:ascii="Arial Narrow" w:hAnsi="Arial Narrow"/>
          <w:sz w:val="22"/>
          <w:szCs w:val="22"/>
        </w:rPr>
        <w:t xml:space="preserve">v prílohe č. 4 </w:t>
      </w:r>
      <w:r>
        <w:rPr>
          <w:rFonts w:ascii="Arial Narrow" w:hAnsi="Arial Narrow"/>
          <w:sz w:val="22"/>
          <w:szCs w:val="22"/>
        </w:rPr>
        <w:t>upravuje výška výdavkov spolu za kapitolu Všeobecná pokladničná správa</w:t>
      </w:r>
      <w:r w:rsidR="003E3D71">
        <w:rPr>
          <w:rFonts w:ascii="Arial Narrow" w:hAnsi="Arial Narrow"/>
          <w:sz w:val="22"/>
          <w:szCs w:val="22"/>
        </w:rPr>
        <w:t>.</w:t>
      </w:r>
    </w:p>
    <w:p w:rsidR="008451F0" w:rsidP="008173F6">
      <w:pPr>
        <w:pStyle w:val="Zkladntext"/>
        <w:bidi w:val="0"/>
        <w:spacing w:line="240" w:lineRule="auto"/>
        <w:rPr>
          <w:rFonts w:ascii="Arial Narrow" w:hAnsi="Arial Narrow"/>
          <w:sz w:val="22"/>
          <w:szCs w:val="22"/>
        </w:rPr>
      </w:pPr>
    </w:p>
    <w:p w:rsidR="007A49EB" w:rsidP="007A49EB">
      <w:pPr>
        <w:bidi w:val="0"/>
        <w:spacing w:line="240" w:lineRule="auto"/>
        <w:contextualSpacing/>
        <w:rPr>
          <w:rFonts w:ascii="Arial Narrow" w:hAnsi="Arial Narrow"/>
        </w:rPr>
      </w:pPr>
    </w:p>
    <w:p w:rsidR="007A49EB" w:rsidP="007A49EB">
      <w:pPr>
        <w:bidi w:val="0"/>
        <w:spacing w:line="240" w:lineRule="auto"/>
        <w:contextualSpacing/>
        <w:rPr>
          <w:rFonts w:ascii="Arial Narrow" w:hAnsi="Arial Narrow"/>
          <w:b/>
        </w:rPr>
      </w:pPr>
      <w:r w:rsidRPr="002B19A0">
        <w:rPr>
          <w:rFonts w:ascii="Arial Narrow" w:hAnsi="Arial Narrow"/>
          <w:b/>
        </w:rPr>
        <w:t>K</w:t>
      </w:r>
      <w:r>
        <w:rPr>
          <w:rFonts w:ascii="Arial Narrow" w:hAnsi="Arial Narrow"/>
          <w:b/>
        </w:rPr>
        <w:t> </w:t>
      </w:r>
      <w:r w:rsidRPr="002B19A0">
        <w:rPr>
          <w:rFonts w:ascii="Arial Narrow" w:hAnsi="Arial Narrow" w:hint="default"/>
          <w:b/>
        </w:rPr>
        <w:t>č</w:t>
      </w:r>
      <w:r w:rsidRPr="002B19A0">
        <w:rPr>
          <w:rFonts w:ascii="Arial Narrow" w:hAnsi="Arial Narrow" w:hint="default"/>
          <w:b/>
        </w:rPr>
        <w:t>l</w:t>
      </w:r>
      <w:r>
        <w:rPr>
          <w:rFonts w:ascii="Arial Narrow" w:hAnsi="Arial Narrow" w:hint="default"/>
          <w:b/>
        </w:rPr>
        <w:t>á</w:t>
      </w:r>
      <w:r>
        <w:rPr>
          <w:rFonts w:ascii="Arial Narrow" w:hAnsi="Arial Narrow" w:hint="default"/>
          <w:b/>
        </w:rPr>
        <w:t xml:space="preserve">nku </w:t>
      </w:r>
      <w:r w:rsidRPr="002B19A0">
        <w:rPr>
          <w:rFonts w:ascii="Arial Narrow" w:hAnsi="Arial Narrow"/>
          <w:b/>
        </w:rPr>
        <w:t>II</w:t>
      </w:r>
    </w:p>
    <w:p w:rsidR="007A49EB" w:rsidRPr="002B19A0" w:rsidP="007A49EB">
      <w:pPr>
        <w:bidi w:val="0"/>
        <w:spacing w:line="240" w:lineRule="auto"/>
        <w:contextualSpacing/>
        <w:rPr>
          <w:rFonts w:ascii="Arial Narrow" w:hAnsi="Arial Narrow"/>
          <w:b/>
        </w:rPr>
      </w:pPr>
    </w:p>
    <w:p w:rsidR="007A49EB" w:rsidRPr="002B19A0" w:rsidP="007A49EB">
      <w:pPr>
        <w:bidi w:val="0"/>
        <w:spacing w:line="240" w:lineRule="auto"/>
        <w:contextualSpacing/>
        <w:rPr>
          <w:rFonts w:ascii="Arial Narrow" w:hAnsi="Arial Narrow"/>
        </w:rPr>
      </w:pPr>
      <w:r w:rsidR="004D4B85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avrhuje </w:t>
      </w:r>
      <w:r w:rsidR="004D4B85">
        <w:rPr>
          <w:rFonts w:ascii="Arial Narrow" w:hAnsi="Arial Narrow"/>
        </w:rPr>
        <w:t xml:space="preserve">sa </w:t>
      </w:r>
      <w:r>
        <w:rPr>
          <w:rFonts w:ascii="Arial Narrow" w:hAnsi="Arial Narrow" w:hint="default"/>
        </w:rPr>
        <w:t>úč</w:t>
      </w:r>
      <w:r>
        <w:rPr>
          <w:rFonts w:ascii="Arial Narrow" w:hAnsi="Arial Narrow" w:hint="default"/>
        </w:rPr>
        <w:t>innosť</w:t>
      </w:r>
      <w:r>
        <w:rPr>
          <w:rFonts w:ascii="Arial Narrow" w:hAnsi="Arial Narrow" w:hint="default"/>
        </w:rPr>
        <w:t xml:space="preserve"> zá</w:t>
      </w:r>
      <w:r>
        <w:rPr>
          <w:rFonts w:ascii="Arial Narrow" w:hAnsi="Arial Narrow" w:hint="default"/>
        </w:rPr>
        <w:t>kona dň</w:t>
      </w:r>
      <w:r>
        <w:rPr>
          <w:rFonts w:ascii="Arial Narrow" w:hAnsi="Arial Narrow" w:hint="default"/>
        </w:rPr>
        <w:t>om jeho vyhlá</w:t>
      </w:r>
      <w:r>
        <w:rPr>
          <w:rFonts w:ascii="Arial Narrow" w:hAnsi="Arial Narrow" w:hint="default"/>
        </w:rPr>
        <w:t>senia v </w:t>
      </w:r>
      <w:r>
        <w:rPr>
          <w:rFonts w:ascii="Arial Narrow" w:hAnsi="Arial Narrow" w:hint="default"/>
        </w:rPr>
        <w:t>Zbierke zá</w:t>
      </w:r>
      <w:r>
        <w:rPr>
          <w:rFonts w:ascii="Arial Narrow" w:hAnsi="Arial Narrow" w:hint="default"/>
        </w:rPr>
        <w:t xml:space="preserve">konov SR. </w:t>
      </w:r>
    </w:p>
    <w:p w:rsidR="00962160" w:rsidP="00934975">
      <w:pPr>
        <w:pStyle w:val="Zkladntext"/>
        <w:bidi w:val="0"/>
        <w:spacing w:line="360" w:lineRule="auto"/>
        <w:rPr>
          <w:rFonts w:ascii="Arial Narrow" w:hAnsi="Arial Narrow"/>
          <w:sz w:val="22"/>
          <w:szCs w:val="22"/>
        </w:rPr>
      </w:pPr>
    </w:p>
    <w:p w:rsidR="00974C38" w:rsidP="00962160">
      <w:pPr>
        <w:pStyle w:val="Zkladntext"/>
        <w:bidi w:val="0"/>
        <w:spacing w:line="240" w:lineRule="auto"/>
        <w:rPr>
          <w:rFonts w:ascii="Arial Narrow" w:hAnsi="Arial Narrow"/>
          <w:sz w:val="22"/>
          <w:szCs w:val="22"/>
        </w:rPr>
      </w:pPr>
    </w:p>
    <w:p w:rsidR="007E7D53" w:rsidP="00962160">
      <w:pPr>
        <w:pStyle w:val="Zkladntext"/>
        <w:bidi w:val="0"/>
        <w:spacing w:line="240" w:lineRule="auto"/>
        <w:rPr>
          <w:rFonts w:ascii="Arial Narrow" w:hAnsi="Arial Narrow"/>
          <w:sz w:val="22"/>
          <w:szCs w:val="22"/>
        </w:rPr>
      </w:pPr>
    </w:p>
    <w:p w:rsidR="00934975" w:rsidP="00934975">
      <w:pPr>
        <w:pStyle w:val="Zkladntext"/>
        <w:bidi w:val="0"/>
        <w:spacing w:line="360" w:lineRule="auto"/>
        <w:rPr>
          <w:rFonts w:ascii="Arial Narrow" w:hAnsi="Arial Narrow"/>
          <w:sz w:val="22"/>
          <w:szCs w:val="22"/>
        </w:rPr>
      </w:pPr>
    </w:p>
    <w:p w:rsidR="00CD48C1" w:rsidP="00934975">
      <w:pPr>
        <w:pStyle w:val="Zkladntext"/>
        <w:bidi w:val="0"/>
        <w:spacing w:line="360" w:lineRule="auto"/>
        <w:rPr>
          <w:rFonts w:ascii="Arial Narrow" w:hAnsi="Arial Narrow"/>
          <w:sz w:val="22"/>
          <w:szCs w:val="22"/>
        </w:rPr>
      </w:pPr>
    </w:p>
    <w:p w:rsidR="00CD48C1" w:rsidP="00934975">
      <w:pPr>
        <w:pStyle w:val="Zkladntext"/>
        <w:bidi w:val="0"/>
        <w:spacing w:line="360" w:lineRule="auto"/>
        <w:rPr>
          <w:rFonts w:ascii="Arial Narrow" w:hAnsi="Arial Narrow"/>
          <w:sz w:val="22"/>
          <w:szCs w:val="22"/>
        </w:rPr>
      </w:pPr>
    </w:p>
    <w:p w:rsidR="00CD48C1" w:rsidP="00934975">
      <w:pPr>
        <w:pStyle w:val="Zkladntext"/>
        <w:bidi w:val="0"/>
        <w:spacing w:line="360" w:lineRule="auto"/>
        <w:rPr>
          <w:rFonts w:ascii="Arial Narrow" w:hAnsi="Arial Narrow"/>
          <w:sz w:val="22"/>
          <w:szCs w:val="22"/>
        </w:rPr>
      </w:pPr>
    </w:p>
    <w:p w:rsidR="00CC2E7A">
      <w:pPr>
        <w:bidi w:val="0"/>
      </w:pPr>
    </w:p>
    <w:p w:rsidR="005C240E" w:rsidP="005C240E">
      <w:pPr>
        <w:bidi w:val="0"/>
        <w:rPr>
          <w:rFonts w:ascii="Arial Narrow" w:hAnsi="Arial Narrow"/>
        </w:rPr>
      </w:pPr>
      <w:r>
        <w:rPr>
          <w:rFonts w:ascii="Arial Narrow" w:hAnsi="Arial Narrow"/>
        </w:rPr>
        <w:t xml:space="preserve">V Bratislave </w:t>
      </w:r>
      <w:r w:rsidR="000D2DB0">
        <w:rPr>
          <w:rFonts w:ascii="Arial Narrow" w:hAnsi="Arial Narrow"/>
        </w:rPr>
        <w:t>4</w:t>
      </w:r>
      <w:r>
        <w:rPr>
          <w:rFonts w:ascii="Arial Narrow" w:hAnsi="Arial Narrow"/>
        </w:rPr>
        <w:t>. novembra 2010</w:t>
      </w:r>
    </w:p>
    <w:p w:rsidR="005C240E" w:rsidP="005C240E">
      <w:pPr>
        <w:bidi w:val="0"/>
        <w:rPr>
          <w:rFonts w:ascii="Arial Narrow" w:hAnsi="Arial Narrow"/>
        </w:rPr>
      </w:pPr>
    </w:p>
    <w:p w:rsidR="005C240E" w:rsidP="005C240E">
      <w:pPr>
        <w:bidi w:val="0"/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 w:hint="default"/>
          <w:b/>
        </w:rPr>
        <w:t>Iveta Radič</w:t>
      </w:r>
      <w:r>
        <w:rPr>
          <w:rFonts w:ascii="Arial Narrow" w:hAnsi="Arial Narrow" w:hint="default"/>
          <w:b/>
        </w:rPr>
        <w:t>ová</w:t>
      </w:r>
      <w:r w:rsidR="00983C40">
        <w:rPr>
          <w:rFonts w:ascii="Arial Narrow" w:hAnsi="Arial Narrow"/>
          <w:b/>
        </w:rPr>
        <w:t xml:space="preserve"> v. r.</w:t>
      </w:r>
    </w:p>
    <w:p w:rsidR="005C240E" w:rsidP="005C240E">
      <w:pPr>
        <w:bidi w:val="0"/>
        <w:spacing w:after="0" w:line="240" w:lineRule="auto"/>
        <w:jc w:val="center"/>
        <w:rPr>
          <w:rFonts w:ascii="Arial Narrow" w:hAnsi="Arial Narrow" w:hint="default"/>
          <w:b/>
        </w:rPr>
      </w:pPr>
      <w:r>
        <w:rPr>
          <w:rFonts w:ascii="Arial Narrow" w:hAnsi="Arial Narrow" w:hint="default"/>
          <w:b/>
        </w:rPr>
        <w:t>predsedníč</w:t>
      </w:r>
      <w:r>
        <w:rPr>
          <w:rFonts w:ascii="Arial Narrow" w:hAnsi="Arial Narrow" w:hint="default"/>
          <w:b/>
        </w:rPr>
        <w:t>ka vlá</w:t>
      </w:r>
      <w:r>
        <w:rPr>
          <w:rFonts w:ascii="Arial Narrow" w:hAnsi="Arial Narrow" w:hint="default"/>
          <w:b/>
        </w:rPr>
        <w:t>dy Slovenskej republiky</w:t>
      </w:r>
    </w:p>
    <w:p w:rsidR="005C240E" w:rsidP="005C240E">
      <w:pPr>
        <w:bidi w:val="0"/>
        <w:spacing w:after="0" w:line="240" w:lineRule="auto"/>
        <w:jc w:val="center"/>
        <w:rPr>
          <w:rFonts w:ascii="Arial Narrow" w:hAnsi="Arial Narrow" w:hint="default"/>
          <w:b/>
        </w:rPr>
      </w:pPr>
    </w:p>
    <w:p w:rsidR="005C240E" w:rsidP="005C240E">
      <w:pPr>
        <w:bidi w:val="0"/>
        <w:spacing w:after="0" w:line="240" w:lineRule="auto"/>
        <w:jc w:val="center"/>
        <w:rPr>
          <w:rFonts w:ascii="Arial Narrow" w:hAnsi="Arial Narrow" w:hint="default"/>
          <w:b/>
        </w:rPr>
      </w:pPr>
    </w:p>
    <w:p w:rsidR="005C240E" w:rsidP="005C240E">
      <w:pPr>
        <w:bidi w:val="0"/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 w:hint="default"/>
          <w:b/>
        </w:rPr>
        <w:t>Ivan Mikloš</w:t>
      </w:r>
      <w:r w:rsidR="00983C40">
        <w:rPr>
          <w:rFonts w:ascii="Arial Narrow" w:hAnsi="Arial Narrow"/>
          <w:b/>
        </w:rPr>
        <w:t xml:space="preserve"> v. r.</w:t>
      </w:r>
    </w:p>
    <w:p w:rsidR="005C240E" w:rsidP="005C240E">
      <w:pPr>
        <w:bidi w:val="0"/>
        <w:spacing w:after="0" w:line="240" w:lineRule="auto"/>
        <w:jc w:val="center"/>
        <w:rPr>
          <w:rFonts w:ascii="Arial Narrow" w:hAnsi="Arial Narrow" w:hint="default"/>
          <w:b/>
        </w:rPr>
      </w:pPr>
      <w:r>
        <w:rPr>
          <w:rFonts w:ascii="Arial Narrow" w:hAnsi="Arial Narrow" w:hint="default"/>
          <w:b/>
        </w:rPr>
        <w:t>podpredseda vlá</w:t>
      </w:r>
      <w:r>
        <w:rPr>
          <w:rFonts w:ascii="Arial Narrow" w:hAnsi="Arial Narrow" w:hint="default"/>
          <w:b/>
        </w:rPr>
        <w:t>dy a minister financií</w:t>
      </w:r>
      <w:r>
        <w:rPr>
          <w:rFonts w:ascii="Arial Narrow" w:hAnsi="Arial Narrow" w:hint="default"/>
          <w:b/>
        </w:rPr>
        <w:t xml:space="preserve"> Slovenskej republiky</w:t>
      </w:r>
    </w:p>
    <w:p w:rsidR="005C240E">
      <w:pPr>
        <w:bidi w:val="0"/>
      </w:pPr>
    </w:p>
    <w:sectPr w:rsidSect="00CC2E7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693A"/>
    <w:multiLevelType w:val="multilevel"/>
    <w:tmpl w:val="2332A8A6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ascii="Arial Narrow" w:hAnsi="Arial Narrow" w:cs="Arial Narrow" w:hint="default"/>
        <w:b/>
        <w:bCs/>
        <w:sz w:val="28"/>
        <w:szCs w:val="28"/>
        <w:rtl w:val="0"/>
        <w: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Arial Narrow" w:hAnsi="Arial Narrow" w:cs="Arial Narrow" w:hint="default"/>
        <w:b/>
        <w:bCs/>
        <w:i w:val="0"/>
        <w:iCs w:val="0"/>
        <w:sz w:val="28"/>
        <w:szCs w:val="28"/>
        <w:rtl w:val="0"/>
        <w: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ascii="Arial Narrow" w:hAnsi="Arial Narrow" w:cs="Arial Narrow" w:hint="default"/>
        <w:b/>
        <w:bCs/>
        <w:i w:val="0"/>
        <w:iCs w:val="0"/>
        <w:color w:val="000000"/>
        <w:sz w:val="24"/>
        <w:szCs w:val="24"/>
        <w:rtl w:val="0"/>
        <w: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  <w:rtl w:val="0"/>
        <w:cs w:val="0"/>
      </w:rPr>
    </w:lvl>
  </w:abstractNum>
  <w:abstractNum w:abstractNumId="1">
    <w:nsid w:val="51474C86"/>
    <w:multiLevelType w:val="hybridMultilevel"/>
    <w:tmpl w:val="C95A2F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9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74329"/>
    <w:rsid w:val="00004EF0"/>
    <w:rsid w:val="00030057"/>
    <w:rsid w:val="0004094D"/>
    <w:rsid w:val="00057FBE"/>
    <w:rsid w:val="00062C4D"/>
    <w:rsid w:val="00066D5A"/>
    <w:rsid w:val="00074329"/>
    <w:rsid w:val="00074BFA"/>
    <w:rsid w:val="0009624E"/>
    <w:rsid w:val="000D2DB0"/>
    <w:rsid w:val="000D4126"/>
    <w:rsid w:val="00120A70"/>
    <w:rsid w:val="001417E4"/>
    <w:rsid w:val="001609DD"/>
    <w:rsid w:val="00167CAE"/>
    <w:rsid w:val="00170A11"/>
    <w:rsid w:val="00181F3D"/>
    <w:rsid w:val="00197A85"/>
    <w:rsid w:val="001C340E"/>
    <w:rsid w:val="001C3500"/>
    <w:rsid w:val="001D3E30"/>
    <w:rsid w:val="001D46F5"/>
    <w:rsid w:val="001D72A6"/>
    <w:rsid w:val="001E5F52"/>
    <w:rsid w:val="001F4BFD"/>
    <w:rsid w:val="0021117E"/>
    <w:rsid w:val="00217EE5"/>
    <w:rsid w:val="00222D98"/>
    <w:rsid w:val="00232D24"/>
    <w:rsid w:val="002346FF"/>
    <w:rsid w:val="002753D8"/>
    <w:rsid w:val="002900DE"/>
    <w:rsid w:val="002B19A0"/>
    <w:rsid w:val="002D099D"/>
    <w:rsid w:val="002D38A3"/>
    <w:rsid w:val="002D513A"/>
    <w:rsid w:val="002F004A"/>
    <w:rsid w:val="00320366"/>
    <w:rsid w:val="00332D7E"/>
    <w:rsid w:val="003439AF"/>
    <w:rsid w:val="003911BE"/>
    <w:rsid w:val="00393138"/>
    <w:rsid w:val="003A4A63"/>
    <w:rsid w:val="003A58B0"/>
    <w:rsid w:val="003A6353"/>
    <w:rsid w:val="003B656C"/>
    <w:rsid w:val="003C6813"/>
    <w:rsid w:val="003E3D71"/>
    <w:rsid w:val="0044745C"/>
    <w:rsid w:val="0048263D"/>
    <w:rsid w:val="004953AE"/>
    <w:rsid w:val="004C2B51"/>
    <w:rsid w:val="004D4B85"/>
    <w:rsid w:val="004F5613"/>
    <w:rsid w:val="0052701B"/>
    <w:rsid w:val="00531E4D"/>
    <w:rsid w:val="005333D3"/>
    <w:rsid w:val="0053598A"/>
    <w:rsid w:val="00553A1B"/>
    <w:rsid w:val="005A3339"/>
    <w:rsid w:val="005C240E"/>
    <w:rsid w:val="00605AAD"/>
    <w:rsid w:val="0066697D"/>
    <w:rsid w:val="006674E8"/>
    <w:rsid w:val="006B3982"/>
    <w:rsid w:val="006E0FF6"/>
    <w:rsid w:val="00710CB9"/>
    <w:rsid w:val="00711999"/>
    <w:rsid w:val="007153D9"/>
    <w:rsid w:val="00734180"/>
    <w:rsid w:val="00770F96"/>
    <w:rsid w:val="00777FEA"/>
    <w:rsid w:val="007A49EB"/>
    <w:rsid w:val="007A72D5"/>
    <w:rsid w:val="007A7309"/>
    <w:rsid w:val="007D5F67"/>
    <w:rsid w:val="007E6144"/>
    <w:rsid w:val="007E7D53"/>
    <w:rsid w:val="007F78B1"/>
    <w:rsid w:val="008173F6"/>
    <w:rsid w:val="00820B1B"/>
    <w:rsid w:val="008250BA"/>
    <w:rsid w:val="008451F0"/>
    <w:rsid w:val="00850A37"/>
    <w:rsid w:val="00871D24"/>
    <w:rsid w:val="00885F30"/>
    <w:rsid w:val="0088782B"/>
    <w:rsid w:val="008B07AB"/>
    <w:rsid w:val="008E21A5"/>
    <w:rsid w:val="008E72F8"/>
    <w:rsid w:val="009150CB"/>
    <w:rsid w:val="00916ABC"/>
    <w:rsid w:val="009269E3"/>
    <w:rsid w:val="00934975"/>
    <w:rsid w:val="00936BAF"/>
    <w:rsid w:val="00940871"/>
    <w:rsid w:val="009449CF"/>
    <w:rsid w:val="00947725"/>
    <w:rsid w:val="009609F9"/>
    <w:rsid w:val="00962160"/>
    <w:rsid w:val="00974C38"/>
    <w:rsid w:val="00983C40"/>
    <w:rsid w:val="00987796"/>
    <w:rsid w:val="009A2570"/>
    <w:rsid w:val="009B32A8"/>
    <w:rsid w:val="009B6B74"/>
    <w:rsid w:val="009B723D"/>
    <w:rsid w:val="009E333E"/>
    <w:rsid w:val="009E75B0"/>
    <w:rsid w:val="009F6ABF"/>
    <w:rsid w:val="00A14EF7"/>
    <w:rsid w:val="00A24B12"/>
    <w:rsid w:val="00A35EC3"/>
    <w:rsid w:val="00A43DDC"/>
    <w:rsid w:val="00A54C73"/>
    <w:rsid w:val="00A62333"/>
    <w:rsid w:val="00AB194D"/>
    <w:rsid w:val="00AB4446"/>
    <w:rsid w:val="00AE2CC1"/>
    <w:rsid w:val="00AE2F8C"/>
    <w:rsid w:val="00AF309C"/>
    <w:rsid w:val="00AF7F77"/>
    <w:rsid w:val="00B04063"/>
    <w:rsid w:val="00B1607F"/>
    <w:rsid w:val="00B34B8B"/>
    <w:rsid w:val="00B3726A"/>
    <w:rsid w:val="00B52747"/>
    <w:rsid w:val="00BB6C5F"/>
    <w:rsid w:val="00BC434F"/>
    <w:rsid w:val="00BF0BC5"/>
    <w:rsid w:val="00C06889"/>
    <w:rsid w:val="00C45E08"/>
    <w:rsid w:val="00C91887"/>
    <w:rsid w:val="00CC2E7A"/>
    <w:rsid w:val="00CD48C1"/>
    <w:rsid w:val="00CE2C17"/>
    <w:rsid w:val="00CF14EF"/>
    <w:rsid w:val="00CF5EFB"/>
    <w:rsid w:val="00D20A37"/>
    <w:rsid w:val="00D31F4C"/>
    <w:rsid w:val="00D35546"/>
    <w:rsid w:val="00D36E82"/>
    <w:rsid w:val="00D53009"/>
    <w:rsid w:val="00D81210"/>
    <w:rsid w:val="00D83D94"/>
    <w:rsid w:val="00DC455F"/>
    <w:rsid w:val="00DF102D"/>
    <w:rsid w:val="00E06979"/>
    <w:rsid w:val="00E110D7"/>
    <w:rsid w:val="00E31A35"/>
    <w:rsid w:val="00E7396A"/>
    <w:rsid w:val="00E9429B"/>
    <w:rsid w:val="00EA0859"/>
    <w:rsid w:val="00F23AC2"/>
    <w:rsid w:val="00F53F54"/>
    <w:rsid w:val="00F74091"/>
    <w:rsid w:val="00F74A5B"/>
    <w:rsid w:val="00F8591A"/>
    <w:rsid w:val="00FA4665"/>
    <w:rsid w:val="00FB3F7C"/>
    <w:rsid w:val="00FB6C5C"/>
    <w:rsid w:val="00FC444E"/>
    <w:rsid w:val="00FC6389"/>
    <w:rsid w:val="00FE2E1C"/>
    <w:rsid w:val="00FE568D"/>
    <w:rsid w:val="00FE7E0C"/>
    <w:rsid w:val="00FF6EC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E7A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qFormat/>
    <w:rsid w:val="007F78B1"/>
    <w:pPr>
      <w:keepNext/>
      <w:spacing w:before="240" w:after="60" w:line="240" w:lineRule="auto"/>
      <w:jc w:val="left"/>
      <w:outlineLvl w:val="0"/>
    </w:pPr>
    <w:rPr>
      <w:rFonts w:ascii="Cambria" w:hAnsi="Cambria" w:cs="Cambria"/>
      <w:b/>
      <w:bCs/>
      <w:kern w:val="32"/>
      <w:sz w:val="32"/>
      <w:szCs w:val="32"/>
      <w:lang w:eastAsia="sk-SK"/>
    </w:rPr>
  </w:style>
  <w:style w:type="paragraph" w:styleId="Heading5">
    <w:name w:val="heading 5"/>
    <w:basedOn w:val="Normal"/>
    <w:next w:val="Normal"/>
    <w:link w:val="Nadpis5Char"/>
    <w:qFormat/>
    <w:rsid w:val="00871D24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semiHidden/>
    <w:unhideWhenUsed/>
    <w:rsid w:val="00074329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semiHidden/>
    <w:locked/>
    <w:rsid w:val="00074329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odyTextIndent3">
    <w:name w:val="Body Text Indent 3"/>
    <w:basedOn w:val="Normal"/>
    <w:link w:val="Zarkazkladnhotextu3Char"/>
    <w:semiHidden/>
    <w:unhideWhenUsed/>
    <w:rsid w:val="00074329"/>
    <w:pPr>
      <w:spacing w:after="0" w:line="360" w:lineRule="auto"/>
      <w:ind w:firstLine="540"/>
      <w:jc w:val="both"/>
    </w:pPr>
    <w:rPr>
      <w:rFonts w:ascii="Arial" w:eastAsia="Times New Roman" w:hAnsi="Arial" w:cs="Arial"/>
      <w:sz w:val="16"/>
      <w:szCs w:val="24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semiHidden/>
    <w:locked/>
    <w:rsid w:val="00074329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customStyle="1" w:styleId="Zkladntext">
    <w:name w:val="Základní text"/>
    <w:rsid w:val="00074329"/>
    <w:pPr>
      <w:framePr w:wrap="auto"/>
      <w:widowControl w:val="0"/>
      <w:autoSpaceDE/>
      <w:autoSpaceDN/>
      <w:adjustRightInd/>
      <w:snapToGrid w:val="0"/>
      <w:spacing w:line="360" w:lineRule="atLeast"/>
      <w:ind w:left="0" w:right="0"/>
      <w:jc w:val="both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styleId="PlaceholderText">
    <w:name w:val="Placeholder Text"/>
    <w:basedOn w:val="DefaultParagraphFont"/>
    <w:uiPriority w:val="99"/>
    <w:semiHidden/>
    <w:rsid w:val="002F004A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B6C5C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B6C5C"/>
    <w:rPr>
      <w:rFonts w:ascii="Tahoma" w:hAnsi="Tahoma" w:cs="Tahoma"/>
      <w:sz w:val="16"/>
      <w:szCs w:val="16"/>
      <w:rtl w:val="0"/>
      <w:cs w:val="0"/>
      <w:lang w:val="x-none" w:eastAsia="en-US"/>
    </w:rPr>
  </w:style>
  <w:style w:type="character" w:customStyle="1" w:styleId="Nadpis1Char">
    <w:name w:val="Nadpis 1 Char"/>
    <w:basedOn w:val="DefaultParagraphFont"/>
    <w:link w:val="Heading1"/>
    <w:locked/>
    <w:rsid w:val="007F78B1"/>
    <w:rPr>
      <w:rFonts w:ascii="Cambria" w:eastAsia="Calibri" w:hAnsi="Cambria" w:cs="Cambria"/>
      <w:b/>
      <w:bCs/>
      <w:kern w:val="32"/>
      <w:sz w:val="32"/>
      <w:szCs w:val="32"/>
      <w:rtl w:val="0"/>
      <w:cs w:val="0"/>
      <w:lang w:val="sk-SK" w:eastAsia="sk-SK" w:bidi="ar-SA"/>
    </w:rPr>
  </w:style>
  <w:style w:type="paragraph" w:customStyle="1" w:styleId="Char4">
    <w:name w:val="Char4"/>
    <w:basedOn w:val="Normal"/>
    <w:rsid w:val="001F4BFD"/>
    <w:pPr>
      <w:spacing w:after="160" w:line="240" w:lineRule="exact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Nadpis5Char">
    <w:name w:val="Nadpis 5 Char"/>
    <w:basedOn w:val="DefaultParagraphFont"/>
    <w:link w:val="Heading5"/>
    <w:semiHidden/>
    <w:locked/>
    <w:rsid w:val="00871D24"/>
    <w:rPr>
      <w:rFonts w:ascii="Calibri" w:eastAsia="Calibri" w:hAnsi="Calibri" w:cs="Times New Roman"/>
      <w:b/>
      <w:bCs/>
      <w:i/>
      <w:iCs/>
      <w:sz w:val="26"/>
      <w:szCs w:val="26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1707</Words>
  <Characters>9734</Characters>
  <Application>Microsoft Office Word</Application>
  <DocSecurity>0</DocSecurity>
  <Lines>0</Lines>
  <Paragraphs>0</Paragraphs>
  <ScaleCrop>false</ScaleCrop>
  <Company>MF SR</Company>
  <LinksUpToDate>false</LinksUpToDate>
  <CharactersWithSpaces>11419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creator>isulakova</dc:creator>
  <cp:lastModifiedBy>GaspJarm</cp:lastModifiedBy>
  <cp:revision>2</cp:revision>
  <cp:lastPrinted>2010-10-22T09:54:00Z</cp:lastPrinted>
  <dcterms:created xsi:type="dcterms:W3CDTF">2010-11-26T09:36:00Z</dcterms:created>
  <dcterms:modified xsi:type="dcterms:W3CDTF">2010-11-26T09:36:00Z</dcterms:modified>
</cp:coreProperties>
</file>