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Times New Roman" w:hAnsi="Times New Roman"/>
        </w:rPr>
      </w:pPr>
    </w:p>
    <w:p w:rsidR="0084667A" w:rsidP="0084667A">
      <w:pPr>
        <w:bidi w:val="0"/>
        <w:rPr>
          <w:rFonts w:ascii="Arial Narrow" w:hAnsi="Arial Narrow"/>
        </w:rPr>
      </w:pPr>
    </w:p>
    <w:p w:rsidR="0084667A" w:rsidP="0084667A">
      <w:pPr>
        <w:bidi w:val="0"/>
        <w:rPr>
          <w:rFonts w:ascii="Arial Narrow" w:hAnsi="Arial Narrow"/>
        </w:rPr>
      </w:pPr>
    </w:p>
    <w:p w:rsidR="000A4EF0" w:rsidP="0084667A">
      <w:pPr>
        <w:bidi w:val="0"/>
        <w:rPr>
          <w:rFonts w:ascii="Arial Narrow" w:hAnsi="Arial Narrow"/>
        </w:rPr>
      </w:pPr>
    </w:p>
    <w:p w:rsidR="0084667A" w:rsidP="0084667A">
      <w:pPr>
        <w:bidi w:val="0"/>
        <w:rPr>
          <w:rFonts w:ascii="Arial Narrow" w:hAnsi="Arial Narrow"/>
        </w:rPr>
      </w:pPr>
    </w:p>
    <w:p w:rsidR="0084667A" w:rsidP="0084667A">
      <w:pPr>
        <w:bidi w:val="0"/>
        <w:rPr>
          <w:rFonts w:ascii="Arial Narrow" w:hAnsi="Arial Narrow"/>
        </w:rPr>
      </w:pPr>
    </w:p>
    <w:p w:rsidR="0084667A" w:rsidRPr="00231151" w:rsidP="0084667A">
      <w:pPr>
        <w:bidi w:val="0"/>
        <w:rPr>
          <w:rFonts w:ascii="Arial Narrow" w:hAnsi="Arial Narrow"/>
        </w:rPr>
      </w:pPr>
    </w:p>
    <w:p w:rsidR="0084667A" w:rsidRPr="00231151" w:rsidP="0084667A">
      <w:pPr>
        <w:bidi w:val="0"/>
        <w:rPr>
          <w:rFonts w:ascii="Arial Narrow" w:hAnsi="Arial Narrow"/>
        </w:rPr>
      </w:pPr>
    </w:p>
    <w:p w:rsidR="0084667A" w:rsidRPr="00231151" w:rsidP="0084667A">
      <w:pPr>
        <w:bidi w:val="0"/>
        <w:rPr>
          <w:rFonts w:ascii="Arial Narrow" w:hAnsi="Arial Narrow"/>
        </w:rPr>
      </w:pPr>
    </w:p>
    <w:p w:rsidR="0084667A" w:rsidRPr="00231151" w:rsidP="0084667A">
      <w:pPr>
        <w:bidi w:val="0"/>
        <w:rPr>
          <w:rFonts w:ascii="Arial Narrow" w:hAnsi="Arial Narrow"/>
        </w:rPr>
      </w:pPr>
    </w:p>
    <w:p w:rsidR="0084667A" w:rsidRPr="00231151" w:rsidP="0084667A">
      <w:pPr>
        <w:bidi w:val="0"/>
        <w:rPr>
          <w:rFonts w:ascii="Arial Narrow" w:hAnsi="Arial Narrow"/>
        </w:rPr>
      </w:pPr>
    </w:p>
    <w:p w:rsidR="0084667A" w:rsidRPr="00231151" w:rsidP="0084667A">
      <w:pPr>
        <w:bidi w:val="0"/>
        <w:jc w:val="center"/>
        <w:rPr>
          <w:rFonts w:ascii="Arial Narrow" w:hAnsi="Arial Narrow"/>
          <w:b/>
          <w:sz w:val="44"/>
          <w:szCs w:val="44"/>
        </w:rPr>
      </w:pPr>
      <w:r w:rsidRPr="00231151">
        <w:rPr>
          <w:rFonts w:ascii="Arial Narrow" w:hAnsi="Arial Narrow"/>
          <w:b/>
          <w:sz w:val="44"/>
          <w:szCs w:val="44"/>
        </w:rPr>
        <w:t xml:space="preserve">Príloha č. </w:t>
      </w:r>
      <w:r>
        <w:rPr>
          <w:rFonts w:ascii="Arial Narrow" w:hAnsi="Arial Narrow"/>
          <w:b/>
          <w:sz w:val="44"/>
          <w:szCs w:val="44"/>
        </w:rPr>
        <w:t>1</w:t>
      </w:r>
    </w:p>
    <w:p w:rsidR="0084667A" w:rsidRPr="00231151" w:rsidP="0084667A">
      <w:pPr>
        <w:bidi w:val="0"/>
        <w:jc w:val="center"/>
        <w:rPr>
          <w:rFonts w:ascii="Arial Narrow" w:hAnsi="Arial Narrow"/>
          <w:b/>
          <w:sz w:val="44"/>
          <w:szCs w:val="44"/>
        </w:rPr>
      </w:pPr>
    </w:p>
    <w:p w:rsidR="0084667A" w:rsidRPr="00231151" w:rsidP="0084667A">
      <w:pPr>
        <w:bidi w:val="0"/>
        <w:jc w:val="center"/>
        <w:rPr>
          <w:rFonts w:ascii="Arial Narrow" w:hAnsi="Arial Narrow"/>
          <w:b/>
          <w:sz w:val="44"/>
          <w:szCs w:val="44"/>
        </w:rPr>
      </w:pPr>
      <w:r w:rsidRPr="00231151">
        <w:rPr>
          <w:rFonts w:ascii="Arial Narrow" w:hAnsi="Arial Narrow"/>
          <w:b/>
          <w:sz w:val="44"/>
          <w:szCs w:val="44"/>
        </w:rPr>
        <w:t xml:space="preserve">Rozpočtovanie príjmov a výdavkov </w:t>
      </w:r>
    </w:p>
    <w:p w:rsidR="0084667A" w:rsidRPr="00231151" w:rsidP="0084667A">
      <w:pPr>
        <w:bidi w:val="0"/>
        <w:jc w:val="center"/>
        <w:rPr>
          <w:rFonts w:ascii="Arial Narrow" w:hAnsi="Arial Narrow"/>
          <w:b/>
          <w:sz w:val="44"/>
          <w:szCs w:val="44"/>
        </w:rPr>
      </w:pPr>
      <w:r w:rsidRPr="00231151">
        <w:rPr>
          <w:rFonts w:ascii="Arial Narrow" w:hAnsi="Arial Narrow"/>
          <w:b/>
          <w:sz w:val="44"/>
          <w:szCs w:val="44"/>
        </w:rPr>
        <w:t xml:space="preserve">ostatných subjektov verejnej správy v metodike </w:t>
      </w:r>
      <w:r>
        <w:rPr>
          <w:rFonts w:ascii="Arial Narrow" w:hAnsi="Arial Narrow"/>
          <w:b/>
          <w:sz w:val="44"/>
          <w:szCs w:val="44"/>
        </w:rPr>
        <w:t xml:space="preserve">  </w:t>
      </w:r>
      <w:r w:rsidRPr="00231151">
        <w:rPr>
          <w:rFonts w:ascii="Arial Narrow" w:hAnsi="Arial Narrow"/>
          <w:b/>
          <w:sz w:val="44"/>
          <w:szCs w:val="44"/>
        </w:rPr>
        <w:t>ESA 95</w:t>
      </w:r>
    </w:p>
    <w:p w:rsidR="0084667A" w:rsidRPr="00231151" w:rsidP="0084667A">
      <w:pPr>
        <w:bidi w:val="0"/>
        <w:jc w:val="center"/>
        <w:rPr>
          <w:rFonts w:ascii="Arial Narrow" w:hAnsi="Arial Narrow"/>
          <w:b/>
          <w:sz w:val="44"/>
          <w:szCs w:val="44"/>
        </w:rPr>
      </w:pPr>
    </w:p>
    <w:p w:rsidR="0084667A" w:rsidRPr="00231151" w:rsidP="0084667A">
      <w:pPr>
        <w:bidi w:val="0"/>
        <w:rPr>
          <w:rFonts w:ascii="Arial Narrow" w:hAnsi="Arial Narrow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0A4EF0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P="0084667A">
      <w:pPr>
        <w:bidi w:val="0"/>
        <w:jc w:val="both"/>
        <w:rPr>
          <w:rFonts w:ascii="Arial Narrow" w:hAnsi="Arial Narrow" w:cs="Arial"/>
          <w:b/>
          <w:sz w:val="28"/>
          <w:szCs w:val="28"/>
        </w:rPr>
      </w:pPr>
    </w:p>
    <w:p w:rsidR="0084667A" w:rsidRPr="00EE12C1" w:rsidP="0084667A">
      <w:pPr>
        <w:pStyle w:val="Zkladntext"/>
        <w:bidi w:val="0"/>
        <w:jc w:val="both"/>
        <w:rPr>
          <w:rFonts w:ascii="Arial Narrow" w:hAnsi="Arial Narrow"/>
          <w:b/>
          <w:sz w:val="28"/>
          <w:szCs w:val="28"/>
        </w:rPr>
      </w:pPr>
      <w:r w:rsidRPr="00EE12C1">
        <w:rPr>
          <w:rFonts w:ascii="Arial Narrow" w:hAnsi="Arial Narrow"/>
          <w:b/>
          <w:sz w:val="28"/>
          <w:szCs w:val="28"/>
        </w:rPr>
        <w:t>Rozpočtovanie príjmov a výdavkov ostatných subjektov verejnej správy v metodike ESA 95</w:t>
      </w:r>
    </w:p>
    <w:p w:rsidR="0084667A" w:rsidRPr="00017653" w:rsidP="0084667A">
      <w:pPr>
        <w:bidi w:val="0"/>
        <w:jc w:val="both"/>
        <w:rPr>
          <w:rFonts w:ascii="Arial Narrow" w:hAnsi="Arial Narrow"/>
          <w:b/>
          <w:sz w:val="22"/>
          <w:szCs w:val="22"/>
          <w:highlight w:val="yellow"/>
        </w:rPr>
      </w:pPr>
    </w:p>
    <w:p w:rsidR="007723F8" w:rsidRPr="004558BE" w:rsidP="007723F8">
      <w:pPr>
        <w:bidi w:val="0"/>
        <w:jc w:val="both"/>
        <w:rPr>
          <w:rFonts w:ascii="Arial Narrow" w:hAnsi="Arial Narrow"/>
        </w:rPr>
      </w:pPr>
      <w:r w:rsidRPr="004558BE">
        <w:rPr>
          <w:rFonts w:ascii="Arial Narrow" w:hAnsi="Arial Narrow"/>
          <w:b/>
        </w:rPr>
        <w:t>1. Obce a vyššie územné celky</w:t>
      </w:r>
    </w:p>
    <w:p w:rsidR="007723F8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9A79B5" w:rsidP="007723F8">
      <w:pPr>
        <w:pStyle w:val="BodyText"/>
        <w:bidi w:val="0"/>
        <w:ind w:firstLine="709"/>
        <w:rPr>
          <w:rFonts w:ascii="Arial Narrow" w:hAnsi="Arial Narrow"/>
          <w:sz w:val="22"/>
          <w:szCs w:val="22"/>
          <w:u w:val="single"/>
        </w:rPr>
      </w:pPr>
      <w:r w:rsidRPr="000744C6">
        <w:rPr>
          <w:rFonts w:ascii="Arial Narrow" w:hAnsi="Arial Narrow"/>
          <w:sz w:val="22"/>
          <w:szCs w:val="22"/>
        </w:rPr>
        <w:t xml:space="preserve">Predpokladaný vývoj príjmov a výdavkov rozpočtov subjektov územnej samosprávy na roky 2011 až 2013 reflektuje výsledky hospodárenia obcí a vyšších územných celkov (ďalej len „VÚC“) v predošlom období,  monitoring vývoja v roku 2010 a zohľadňuje aktuálne prognózy daňových príjmov verejnej správy na roky 2011 až 2013. V kvantifikácii daňových príjmov sú zohľadnené vplyvy navrhovaných legislatívnych zmien v daňovej a odvodovej oblasti. </w:t>
      </w:r>
      <w:r w:rsidRPr="009A79B5">
        <w:rPr>
          <w:rFonts w:ascii="Arial Narrow" w:hAnsi="Arial Narrow"/>
          <w:sz w:val="22"/>
          <w:szCs w:val="22"/>
          <w:u w:val="single"/>
        </w:rPr>
        <w:t>Daň z príjmov fyzických osôb ako rozhodujúci faktor daňových príjmov samospráv sa v roku 2011 oproti roku 2010 prognózuje s rastom o</w:t>
      </w:r>
      <w:r w:rsidR="005B48B6">
        <w:rPr>
          <w:rFonts w:ascii="Arial Narrow" w:hAnsi="Arial Narrow"/>
          <w:sz w:val="22"/>
          <w:szCs w:val="22"/>
          <w:u w:val="single"/>
        </w:rPr>
        <w:t> </w:t>
      </w:r>
      <w:r w:rsidRPr="009A79B5">
        <w:rPr>
          <w:rFonts w:ascii="Arial Narrow" w:hAnsi="Arial Narrow"/>
          <w:sz w:val="22"/>
          <w:szCs w:val="22"/>
          <w:u w:val="single"/>
        </w:rPr>
        <w:t>23</w:t>
      </w:r>
      <w:r w:rsidR="005B48B6">
        <w:rPr>
          <w:rFonts w:ascii="Arial Narrow" w:hAnsi="Arial Narrow"/>
          <w:sz w:val="22"/>
          <w:szCs w:val="22"/>
          <w:u w:val="single"/>
        </w:rPr>
        <w:t xml:space="preserve"> </w:t>
      </w:r>
      <w:r w:rsidRPr="009A79B5">
        <w:rPr>
          <w:rFonts w:ascii="Arial Narrow" w:hAnsi="Arial Narrow"/>
          <w:sz w:val="22"/>
          <w:szCs w:val="22"/>
          <w:u w:val="single"/>
        </w:rPr>
        <w:t>%.</w:t>
      </w:r>
    </w:p>
    <w:p w:rsidR="007723F8" w:rsidRPr="000744C6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Times New Roman" w:hAnsi="Times New Roman"/>
        </w:rPr>
      </w:pPr>
      <w:r w:rsidRPr="000744C6">
        <w:rPr>
          <w:rFonts w:ascii="Arial Narrow" w:hAnsi="Arial Narrow"/>
          <w:sz w:val="22"/>
          <w:szCs w:val="22"/>
        </w:rPr>
        <w:t xml:space="preserve">Výdavková časť rozpočtu rešpektuje kompetencie miest, obcí a vyšších územných celkov podľa platného právneho stavu s výnimkou presunu kompetencií v regionálnej železničnej doprave na VÚC, kde sa predpokladá posun termínu. </w:t>
      </w:r>
      <w:r>
        <w:rPr>
          <w:rFonts w:ascii="Arial Narrow" w:hAnsi="Arial Narrow"/>
          <w:sz w:val="22"/>
          <w:szCs w:val="22"/>
        </w:rPr>
        <w:t>Otvorená je aj problematika zabezpečovania nových úloh vyplývajúcich  pre obce a VÚC zo zákona o sociálnych službách.</w:t>
      </w:r>
    </w:p>
    <w:p w:rsidR="007723F8" w:rsidRPr="006C3BBD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RPr="000744C6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0744C6">
        <w:rPr>
          <w:rFonts w:ascii="Arial Narrow" w:hAnsi="Arial Narrow"/>
          <w:sz w:val="22"/>
          <w:szCs w:val="22"/>
        </w:rPr>
        <w:t>Finančné vzťahy štátu k rozpočtom obcí a VÚC sa budú realizovať predovšetkým prostredníctvom podielu na dani z príjmov fyzických osôb a prostredníctvom dotácií z príslušných rozpočtových kapitol. Formou dotácií zo štátneho rozpočtu sa budú financovať kompetencie preneseného výkonu štátnej správy a niektoré ďalšie úlohy spojené najmä s realizáciou projektov v rámci štrukturálnych fondov EÚ, napr. v súvislosti s podporou regionálneho rozvoja obcí a VÚC, ochrany ovzdušia, vzdelávaním a pod. Niektoré špecifické potreby obcí, ako je zachovanie a obnova kultúrnych pamiatok v niektorých mestách, individuálne potreby obcí a niektoré zariadenia sociálnych služieb, ktoré neboli súčasťou fiškálnej decentralizácie</w:t>
      </w:r>
      <w:r w:rsidR="005B48B6">
        <w:rPr>
          <w:rFonts w:ascii="Arial Narrow" w:hAnsi="Arial Narrow"/>
          <w:sz w:val="22"/>
          <w:szCs w:val="22"/>
        </w:rPr>
        <w:t>,</w:t>
      </w:r>
      <w:r w:rsidRPr="000744C6">
        <w:rPr>
          <w:rFonts w:ascii="Arial Narrow" w:hAnsi="Arial Narrow"/>
          <w:sz w:val="22"/>
          <w:szCs w:val="22"/>
        </w:rPr>
        <w:t xml:space="preserve"> budú financované formou dotácií zo štátneho rozpočtu rozpočtovaných v kapitole Všeobecná pokladničná správa. </w:t>
      </w:r>
    </w:p>
    <w:p w:rsidR="007723F8" w:rsidRPr="000744C6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RPr="000744C6" w:rsidP="0079033F">
      <w:pPr>
        <w:pStyle w:val="BodyText"/>
        <w:bidi w:val="0"/>
        <w:ind w:firstLine="709"/>
        <w:rPr>
          <w:rFonts w:ascii="Arial Narrow" w:hAnsi="Arial Narrow"/>
          <w:sz w:val="22"/>
          <w:szCs w:val="22"/>
        </w:rPr>
      </w:pPr>
      <w:r w:rsidRPr="000744C6">
        <w:rPr>
          <w:rFonts w:ascii="Arial Narrow" w:hAnsi="Arial Narrow"/>
          <w:sz w:val="22"/>
          <w:szCs w:val="22"/>
        </w:rPr>
        <w:t>Územná samospráva po presune kompetencií a finančných zdrojov je významnou sú</w:t>
      </w:r>
      <w:r>
        <w:rPr>
          <w:rFonts w:ascii="Arial Narrow" w:hAnsi="Arial Narrow"/>
          <w:sz w:val="22"/>
          <w:szCs w:val="22"/>
        </w:rPr>
        <w:t>časťou rozpočtu verejnej správy</w:t>
      </w:r>
      <w:r w:rsidRPr="000744C6">
        <w:rPr>
          <w:rFonts w:ascii="Arial Narrow" w:hAnsi="Arial Narrow"/>
          <w:sz w:val="22"/>
          <w:szCs w:val="22"/>
        </w:rPr>
        <w:t xml:space="preserve">, pričom jej hospodárenie má nezanedbateľný dopad na celkový fiškálny rámec. Návrh rozpočtu </w:t>
      </w:r>
      <w:r w:rsidRPr="0079033F">
        <w:rPr>
          <w:rFonts w:ascii="Arial Narrow" w:hAnsi="Arial Narrow"/>
          <w:sz w:val="22"/>
          <w:szCs w:val="22"/>
        </w:rPr>
        <w:t>verejnej správy na roky 2011 až 2013 na rozdiel od predošlých rozpočtov zreálňuje predpokladané výsledky hospodárenia samospráv v budúcom období a počíta v metodike ESA 95 so schodkovým rozpočtom.</w:t>
      </w:r>
      <w:r w:rsidRPr="0079033F" w:rsidR="0079033F">
        <w:rPr>
          <w:rFonts w:ascii="Arial Narrow" w:hAnsi="Arial Narrow"/>
          <w:sz w:val="22"/>
          <w:szCs w:val="22"/>
        </w:rPr>
        <w:t xml:space="preserve">                      </w:t>
      </w:r>
      <w:r w:rsidRPr="0079033F" w:rsidR="005B48B6">
        <w:rPr>
          <w:rFonts w:ascii="Arial Narrow" w:hAnsi="Arial Narrow"/>
          <w:sz w:val="22"/>
          <w:szCs w:val="22"/>
        </w:rPr>
        <w:t>V hospodárení obcí</w:t>
      </w:r>
      <w:r w:rsidRPr="0079033F">
        <w:rPr>
          <w:rFonts w:ascii="Arial Narrow" w:hAnsi="Arial Narrow"/>
          <w:sz w:val="22"/>
          <w:szCs w:val="22"/>
        </w:rPr>
        <w:t xml:space="preserve"> sa </w:t>
      </w:r>
      <w:r w:rsidRPr="0079033F" w:rsidR="0079033F">
        <w:rPr>
          <w:rFonts w:ascii="Arial Narrow" w:hAnsi="Arial Narrow"/>
          <w:sz w:val="22"/>
          <w:szCs w:val="22"/>
        </w:rPr>
        <w:t>v</w:t>
      </w:r>
      <w:r w:rsidRPr="0079033F">
        <w:rPr>
          <w:rFonts w:ascii="Arial Narrow" w:hAnsi="Arial Narrow"/>
          <w:sz w:val="22"/>
          <w:szCs w:val="22"/>
        </w:rPr>
        <w:t xml:space="preserve"> rok</w:t>
      </w:r>
      <w:r w:rsidRPr="0079033F" w:rsidR="0079033F">
        <w:rPr>
          <w:rFonts w:ascii="Arial Narrow" w:hAnsi="Arial Narrow"/>
          <w:sz w:val="22"/>
          <w:szCs w:val="22"/>
        </w:rPr>
        <w:t>u</w:t>
      </w:r>
      <w:r w:rsidRPr="0079033F">
        <w:rPr>
          <w:rFonts w:ascii="Arial Narrow" w:hAnsi="Arial Narrow"/>
          <w:sz w:val="22"/>
          <w:szCs w:val="22"/>
        </w:rPr>
        <w:t xml:space="preserve"> 2011 predpokladá schodok vo výške 75 859 tis. eur a</w:t>
      </w:r>
      <w:r w:rsidRPr="0079033F" w:rsidR="005B48B6">
        <w:rPr>
          <w:rFonts w:ascii="Arial Narrow" w:hAnsi="Arial Narrow"/>
          <w:sz w:val="22"/>
          <w:szCs w:val="22"/>
        </w:rPr>
        <w:t> v hospodárení</w:t>
      </w:r>
      <w:r w:rsidRPr="0079033F">
        <w:rPr>
          <w:rFonts w:ascii="Arial Narrow" w:hAnsi="Arial Narrow"/>
          <w:sz w:val="22"/>
          <w:szCs w:val="22"/>
        </w:rPr>
        <w:t xml:space="preserve"> VÚC </w:t>
      </w:r>
      <w:r w:rsidRPr="0079033F" w:rsidR="0079033F">
        <w:rPr>
          <w:rFonts w:ascii="Arial Narrow" w:hAnsi="Arial Narrow"/>
          <w:sz w:val="22"/>
          <w:szCs w:val="22"/>
        </w:rPr>
        <w:t xml:space="preserve">schodok </w:t>
      </w:r>
      <w:r w:rsidRPr="0079033F">
        <w:rPr>
          <w:rFonts w:ascii="Arial Narrow" w:hAnsi="Arial Narrow"/>
          <w:sz w:val="22"/>
          <w:szCs w:val="22"/>
        </w:rPr>
        <w:t>60 028 tis. eur.</w:t>
      </w:r>
      <w:r w:rsidRPr="000744C6">
        <w:rPr>
          <w:rFonts w:ascii="Arial Narrow" w:hAnsi="Arial Narrow"/>
          <w:sz w:val="22"/>
          <w:szCs w:val="22"/>
        </w:rPr>
        <w:t xml:space="preserve"> </w:t>
      </w:r>
    </w:p>
    <w:p w:rsidR="00314F16" w:rsidRPr="00314F16" w:rsidP="00314F16">
      <w:pPr>
        <w:bidi w:val="0"/>
        <w:jc w:val="both"/>
        <w:rPr>
          <w:rFonts w:ascii="Arial Narrow" w:hAnsi="Arial Narrow"/>
          <w:sz w:val="22"/>
          <w:szCs w:val="22"/>
        </w:rPr>
      </w:pPr>
      <w:r w:rsidR="007723F8">
        <w:rPr>
          <w:rFonts w:ascii="Arial Narrow" w:hAnsi="Arial Narrow"/>
          <w:sz w:val="22"/>
          <w:szCs w:val="22"/>
        </w:rPr>
        <w:tab/>
        <w:t xml:space="preserve"> </w:t>
      </w:r>
    </w:p>
    <w:p w:rsidR="007723F8" w:rsidRPr="004558BE" w:rsidP="007723F8">
      <w:pPr>
        <w:pStyle w:val="Heading2"/>
        <w:bidi w:val="0"/>
        <w:spacing w:before="0" w:after="0"/>
        <w:jc w:val="both"/>
        <w:rPr>
          <w:rFonts w:ascii="Arial Narrow" w:hAnsi="Arial Narrow"/>
          <w:i w:val="0"/>
          <w:sz w:val="24"/>
          <w:szCs w:val="24"/>
        </w:rPr>
      </w:pPr>
      <w:r w:rsidRPr="004558BE">
        <w:rPr>
          <w:rFonts w:ascii="Arial Narrow" w:hAnsi="Arial Narrow"/>
          <w:i w:val="0"/>
          <w:sz w:val="24"/>
          <w:szCs w:val="24"/>
        </w:rPr>
        <w:t>1.1. Obce</w:t>
      </w:r>
    </w:p>
    <w:p w:rsidR="007723F8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6C3752" w:rsidP="007C112F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6C3752">
        <w:rPr>
          <w:rFonts w:ascii="Arial Narrow" w:hAnsi="Arial Narrow"/>
          <w:sz w:val="22"/>
          <w:szCs w:val="22"/>
        </w:rPr>
        <w:t xml:space="preserve">Predpokladá sa, že obce v roku 2011 dosiahnu celkové príjmy vo výške 3 880 </w:t>
      </w:r>
      <w:r>
        <w:rPr>
          <w:rFonts w:ascii="Arial Narrow" w:hAnsi="Arial Narrow"/>
          <w:sz w:val="22"/>
          <w:szCs w:val="22"/>
        </w:rPr>
        <w:t>071</w:t>
      </w:r>
      <w:r w:rsidRPr="006C3752">
        <w:rPr>
          <w:rFonts w:ascii="Arial Narrow" w:hAnsi="Arial Narrow"/>
          <w:sz w:val="22"/>
          <w:szCs w:val="22"/>
        </w:rPr>
        <w:t xml:space="preserve"> tis. eur a celkové výdavky v sume 3 756 </w:t>
      </w:r>
      <w:r>
        <w:rPr>
          <w:rFonts w:ascii="Arial Narrow" w:hAnsi="Arial Narrow"/>
          <w:sz w:val="22"/>
          <w:szCs w:val="22"/>
        </w:rPr>
        <w:t>766</w:t>
      </w:r>
      <w:r w:rsidRPr="006C3752">
        <w:rPr>
          <w:rFonts w:ascii="Arial Narrow" w:hAnsi="Arial Narrow"/>
          <w:sz w:val="22"/>
          <w:szCs w:val="22"/>
        </w:rPr>
        <w:t xml:space="preserve"> tis. eur. Po odpočítaní príjmových a výdavkových finančných operácií sa predpokladajú príjmy v sume 3</w:t>
      </w:r>
      <w:r>
        <w:rPr>
          <w:rFonts w:ascii="Arial Narrow" w:hAnsi="Arial Narrow"/>
          <w:sz w:val="22"/>
          <w:szCs w:val="22"/>
        </w:rPr>
        <w:t> 524 896</w:t>
      </w:r>
      <w:r w:rsidRPr="006C3752">
        <w:rPr>
          <w:rFonts w:ascii="Arial Narrow" w:hAnsi="Arial Narrow"/>
          <w:sz w:val="22"/>
          <w:szCs w:val="22"/>
        </w:rPr>
        <w:t xml:space="preserve"> tis. eur a výdavky 3 600 </w:t>
      </w:r>
      <w:r>
        <w:rPr>
          <w:rFonts w:ascii="Arial Narrow" w:hAnsi="Arial Narrow"/>
          <w:sz w:val="22"/>
          <w:szCs w:val="22"/>
        </w:rPr>
        <w:t>755</w:t>
      </w:r>
      <w:r w:rsidRPr="006C3752">
        <w:rPr>
          <w:rFonts w:ascii="Arial Narrow" w:hAnsi="Arial Narrow"/>
          <w:sz w:val="22"/>
          <w:szCs w:val="22"/>
        </w:rPr>
        <w:t xml:space="preserve"> tis. eur; schodok je vo výške 75 859 tis. eur. Uvedené údaje sú odhadom Ministerstva financií SR vzhľadom na to, že financovanie samosprávnych kompetencií je v plnej pôsobnosti obcí, ktorých zastupiteľstvá rozhodujú o rozdelení a použití finančných prostriedkov podľa jednotlivých úsekov v rámci schválených rozpočtov. Obce takto samostatne rozhodujú o 65,3  % svojich príjmov.</w:t>
      </w:r>
    </w:p>
    <w:p w:rsidR="007723F8" w:rsidRPr="006C3752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RPr="006C3752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6C3752">
        <w:rPr>
          <w:rFonts w:ascii="Arial Narrow" w:hAnsi="Arial Narrow"/>
          <w:sz w:val="22"/>
          <w:szCs w:val="22"/>
        </w:rPr>
        <w:t xml:space="preserve">Daňové príjmy sa očakávajú </w:t>
      </w:r>
      <w:r>
        <w:rPr>
          <w:rFonts w:ascii="Arial Narrow" w:hAnsi="Arial Narrow"/>
          <w:sz w:val="22"/>
          <w:szCs w:val="22"/>
        </w:rPr>
        <w:t xml:space="preserve">v roku 2011 </w:t>
      </w:r>
      <w:r w:rsidRPr="006C3752">
        <w:rPr>
          <w:rFonts w:ascii="Arial Narrow" w:hAnsi="Arial Narrow"/>
          <w:sz w:val="22"/>
          <w:szCs w:val="22"/>
        </w:rPr>
        <w:t xml:space="preserve">v sume 1 683 915 tis. eur, ktoré obce získajú z výnosu dane z príjmov platenej fyzickými osobami, z výnosu dane z nehnuteľností, z výnosu daní za špecifické služby (miestne dane a poplatok za komunálne odpady), z výnosu dane z úhrad za dobývací priestor a zo sankcií uložených   v daňovom konaní. Z výnosov týchto daní bude zabezpečované financovanie samosprávnych pôsobností obcí vrátane samosprávnych pôsobností presunutých z orgánov štátnej správy na obce v rámci decentralizácie verejnej správy. </w:t>
      </w:r>
    </w:p>
    <w:p w:rsidR="007723F8" w:rsidRPr="006C3752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6C3752">
        <w:rPr>
          <w:rFonts w:ascii="Arial Narrow" w:hAnsi="Arial Narrow"/>
          <w:sz w:val="22"/>
          <w:szCs w:val="22"/>
        </w:rPr>
        <w:t>Predpoklad vývoja jednotlivých druhov daňových príjmov v rokoch 2011 až 2013 do rozpočtov obcí   v porovnaní s očakávanou skutočnosťou na rok 2010 a skutočnosťou za roky 2008 a 2009 je nasledovný:</w:t>
      </w: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RPr="006C3752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0" w:type="auto"/>
        <w:jc w:val="center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2931"/>
        <w:gridCol w:w="992"/>
        <w:gridCol w:w="1134"/>
        <w:gridCol w:w="1023"/>
        <w:gridCol w:w="1108"/>
        <w:gridCol w:w="988"/>
        <w:gridCol w:w="972"/>
      </w:tblGrid>
      <w:tr>
        <w:tblPrEx>
          <w:tblW w:w="0" w:type="auto"/>
          <w:jc w:val="center"/>
          <w:tblInd w:w="2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32"/>
          <w:tblHeader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7723F8" w:rsidRPr="00990BB2" w:rsidP="007E5F4B">
            <w:pPr>
              <w:bidi w:val="0"/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(v tis. 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7723F8" w:rsidRPr="00990BB2" w:rsidP="007E5F4B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2008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7723F8" w:rsidRPr="00990BB2" w:rsidP="007E5F4B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2009 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7723F8" w:rsidRPr="00990BB2" w:rsidP="007E5F4B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2010 OS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7723F8" w:rsidRPr="00990BB2" w:rsidP="007E5F4B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2011 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7723F8" w:rsidRPr="00990BB2" w:rsidP="007E5F4B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2012 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7723F8" w:rsidRPr="00990BB2" w:rsidP="007E5F4B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2013 N</w:t>
            </w:r>
          </w:p>
        </w:tc>
      </w:tr>
      <w:tr>
        <w:tblPrEx>
          <w:tblW w:w="0" w:type="auto"/>
          <w:jc w:val="center"/>
          <w:tblInd w:w="296" w:type="dxa"/>
        </w:tblPrEx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723F8" w:rsidRPr="00990BB2" w:rsidP="007E5F4B">
            <w:pPr>
              <w:bidi w:val="0"/>
              <w:ind w:right="175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Daňové príjmy 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1 685 270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1 620 306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1 433 586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1 683 915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1 918 518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990BB2">
              <w:rPr>
                <w:rFonts w:ascii="Arial Narrow" w:hAnsi="Arial Narrow"/>
                <w:b/>
                <w:sz w:val="16"/>
                <w:szCs w:val="16"/>
              </w:rPr>
              <w:t>2 070 070</w:t>
            </w:r>
          </w:p>
        </w:tc>
      </w:tr>
      <w:tr>
        <w:tblPrEx>
          <w:tblW w:w="0" w:type="auto"/>
          <w:jc w:val="center"/>
          <w:tblInd w:w="296" w:type="dxa"/>
        </w:tblPrEx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z toho: daň z príjmov fyzických osôb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1 292 005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1 206 767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994 993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1 223 802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1 435 518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1 563 153</w:t>
            </w:r>
          </w:p>
        </w:tc>
      </w:tr>
      <w:tr>
        <w:tblPrEx>
          <w:tblW w:w="0" w:type="auto"/>
          <w:jc w:val="center"/>
          <w:tblInd w:w="296" w:type="dxa"/>
        </w:tblPrEx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 xml:space="preserve">            daň z nehnuteľností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237 421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254 814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267 555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280 933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294 979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309 728</w:t>
            </w:r>
          </w:p>
        </w:tc>
      </w:tr>
      <w:tr>
        <w:tblPrEx>
          <w:tblW w:w="0" w:type="auto"/>
          <w:jc w:val="center"/>
          <w:tblInd w:w="296" w:type="dxa"/>
        </w:tblPrEx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 xml:space="preserve">            daň za špecifické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155 554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158 202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166 007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174 307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183 023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192 174</w:t>
            </w:r>
          </w:p>
        </w:tc>
      </w:tr>
      <w:tr>
        <w:tblPrEx>
          <w:tblW w:w="0" w:type="auto"/>
          <w:jc w:val="center"/>
          <w:tblInd w:w="296" w:type="dxa"/>
        </w:tblPrEx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 xml:space="preserve">            daň za dobývací priestor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453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420</w:t>
            </w:r>
          </w:p>
        </w:tc>
      </w:tr>
      <w:tr>
        <w:tblPrEx>
          <w:tblW w:w="0" w:type="auto"/>
          <w:jc w:val="center"/>
          <w:tblInd w:w="296" w:type="dxa"/>
        </w:tblPrEx>
        <w:trPr>
          <w:trHeight w:val="255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 xml:space="preserve">            sankcie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4 611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4 453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4 578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90BB2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90BB2">
              <w:rPr>
                <w:rFonts w:ascii="Arial Narrow" w:hAnsi="Arial Narrow"/>
                <w:sz w:val="16"/>
                <w:szCs w:val="16"/>
              </w:rPr>
              <w:t>4  595</w:t>
            </w:r>
          </w:p>
        </w:tc>
      </w:tr>
    </w:tbl>
    <w:p w:rsidR="007723F8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9E4B36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 xml:space="preserve">V rámci nedaňových  príjmov sa uvažuje, že obce dosiahnu </w:t>
      </w:r>
      <w:r>
        <w:rPr>
          <w:rFonts w:ascii="Arial Narrow" w:hAnsi="Arial Narrow"/>
          <w:sz w:val="22"/>
          <w:szCs w:val="22"/>
        </w:rPr>
        <w:t xml:space="preserve">v roku 2011 </w:t>
      </w:r>
      <w:r w:rsidRPr="009E4B36">
        <w:rPr>
          <w:rFonts w:ascii="Arial Narrow" w:hAnsi="Arial Narrow"/>
          <w:sz w:val="22"/>
          <w:szCs w:val="22"/>
        </w:rPr>
        <w:t>sumu 495 325 tis. eur. Ide najmä o príjmy z podnikania a z vlastníctva majetku v sume 143 532 tis. eur, a to z nájomného z prenajatých pozemkov, budov, strojov a zariadení, čiastku 145 255 tis. eur z administratívnych a iných poplatkov a platieb (správne poplatky, za ubytovacie a stravovacie služby, zo vstupného, za relácie v miestnom rozhlase a pod.) a z iných nedaňových príjmov v sume 43 152 tis. eur.  Predpokladá sa, že kapitálové príjmy dosiahnu výšku 150 109 tis. eur, a to najmä z predaja budov, bytov a z predaja pozemkov. Z úrokov z domácich úverov, pôžičiek a vkladov sa očakáva získať 13 277 tis. eur.</w:t>
      </w:r>
    </w:p>
    <w:p w:rsidR="007723F8" w:rsidRPr="009E4B36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RPr="009E4B36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 xml:space="preserve">Granty a transfery zo štátneho rozpočtu, zo štátnych fondov, z rozpočtov iných obcí na činnosť spoločných úradov obcí a z rozpočtov VÚC na riešenie spoločných úloh sa očakávajú v objeme 1 345 </w:t>
      </w:r>
      <w:r>
        <w:rPr>
          <w:rFonts w:ascii="Arial Narrow" w:hAnsi="Arial Narrow"/>
          <w:sz w:val="22"/>
          <w:szCs w:val="22"/>
        </w:rPr>
        <w:t>656</w:t>
      </w:r>
      <w:r w:rsidRPr="009E4B36">
        <w:rPr>
          <w:rFonts w:ascii="Arial Narrow" w:hAnsi="Arial Narrow"/>
          <w:sz w:val="22"/>
          <w:szCs w:val="22"/>
        </w:rPr>
        <w:t xml:space="preserve"> tis. eur, z toho bežné transfery 1 120 480 tis. eur a  kapitálové transfery 225 </w:t>
      </w:r>
      <w:r>
        <w:rPr>
          <w:rFonts w:ascii="Arial Narrow" w:hAnsi="Arial Narrow"/>
          <w:sz w:val="22"/>
          <w:szCs w:val="22"/>
        </w:rPr>
        <w:t>176</w:t>
      </w:r>
      <w:r w:rsidRPr="009E4B36">
        <w:rPr>
          <w:rFonts w:ascii="Arial Narrow" w:hAnsi="Arial Narrow"/>
          <w:sz w:val="22"/>
          <w:szCs w:val="22"/>
        </w:rPr>
        <w:t xml:space="preserve"> tis. eur. </w:t>
      </w:r>
      <w:r>
        <w:rPr>
          <w:rFonts w:ascii="Arial Narrow" w:hAnsi="Arial Narrow"/>
          <w:sz w:val="22"/>
          <w:szCs w:val="22"/>
        </w:rPr>
        <w:t>Medziročný nárast grantov a transferov je ovplyvnený najmä zvýšením rozpočtovanej sumy na EÚ prostriedky a spolufinancovanie spoločných projektov s EÚ predovšetkým v kapitolách Ministerstva životného prostredia SR, Ministerstva pôdohospodárstva a rozvoja vidieka SR a Ministerstva dopravy, pôšt a telekomunikácií SR (celkom o 233 651 tis. eur).</w:t>
      </w:r>
    </w:p>
    <w:p w:rsidR="007723F8" w:rsidRPr="009E4B36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RPr="009E4B36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>Granty a transfery zo štátneho rozpočtu do rozpočtov obcí sa</w:t>
      </w:r>
      <w:r>
        <w:rPr>
          <w:rFonts w:ascii="Arial Narrow" w:hAnsi="Arial Narrow"/>
          <w:sz w:val="22"/>
          <w:szCs w:val="22"/>
        </w:rPr>
        <w:t xml:space="preserve"> v roku 2011</w:t>
      </w:r>
      <w:r w:rsidRPr="009E4B36">
        <w:rPr>
          <w:rFonts w:ascii="Arial Narrow" w:hAnsi="Arial Narrow"/>
          <w:sz w:val="22"/>
          <w:szCs w:val="22"/>
        </w:rPr>
        <w:t xml:space="preserve"> očakávajú v celkovej sume 1 298 </w:t>
      </w:r>
      <w:r>
        <w:rPr>
          <w:rFonts w:ascii="Arial Narrow" w:hAnsi="Arial Narrow"/>
          <w:sz w:val="22"/>
          <w:szCs w:val="22"/>
        </w:rPr>
        <w:t>390</w:t>
      </w:r>
      <w:r w:rsidRPr="009E4B36">
        <w:rPr>
          <w:rFonts w:ascii="Arial Narrow" w:hAnsi="Arial Narrow"/>
          <w:sz w:val="22"/>
          <w:szCs w:val="22"/>
        </w:rPr>
        <w:t xml:space="preserve"> tis. eur z týchto kapitol:</w:t>
      </w:r>
    </w:p>
    <w:p w:rsidR="007723F8" w:rsidRPr="009E4B36" w:rsidP="007723F8">
      <w:pPr>
        <w:bidi w:val="0"/>
        <w:ind w:left="720" w:hanging="180"/>
        <w:jc w:val="both"/>
        <w:rPr>
          <w:rFonts w:ascii="Arial Narrow" w:hAnsi="Arial Narrow"/>
          <w:sz w:val="10"/>
          <w:szCs w:val="10"/>
        </w:rPr>
      </w:pPr>
    </w:p>
    <w:p w:rsidR="007723F8" w:rsidRPr="009E4B36" w:rsidP="007723F8">
      <w:pPr>
        <w:bidi w:val="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 xml:space="preserve"> - </w:t>
      </w:r>
      <w:r w:rsidRPr="009E4B36">
        <w:rPr>
          <w:rFonts w:ascii="Arial Narrow" w:hAnsi="Arial Narrow"/>
          <w:sz w:val="22"/>
          <w:szCs w:val="22"/>
          <w:u w:val="single"/>
        </w:rPr>
        <w:t>Ministerstva školstva, vedy, výskumu a športu SR</w:t>
      </w:r>
      <w:r w:rsidRPr="009E4B36">
        <w:rPr>
          <w:rFonts w:ascii="Arial Narrow" w:hAnsi="Arial Narrow"/>
          <w:sz w:val="22"/>
          <w:szCs w:val="22"/>
        </w:rPr>
        <w:t xml:space="preserve"> – v celkovej sume 623 054 tis. eur. Na zabezpečenie preneseného výkonu štátnej správy na financovanie činností základných škôl a na činnosť spoločných úradovní obcí pre úsek školstva bude smerovať suma 603 563 tis. eur a ostatné finančné prostriedky v sume 19 491 tis. eur budú smerované na realizáciu aktivít kapitálového charakteru na materiálno-technický rozvoj športu a havarijné stavby škôl a školských zariadení a na ďalšie vzdelávanie. Z transferov zo štátneho rozpočtu na školstvo sa predpokladajú financovať aj projekty financované zo štrukturálnych fondov vrátane spolufinancovania z Operačného programu Vzdelávanie. </w:t>
      </w:r>
    </w:p>
    <w:p w:rsidR="007723F8" w:rsidRPr="009E4B36" w:rsidP="007723F8">
      <w:pPr>
        <w:bidi w:val="0"/>
        <w:jc w:val="both"/>
        <w:rPr>
          <w:rFonts w:ascii="Arial Narrow" w:hAnsi="Arial Narrow"/>
          <w:sz w:val="10"/>
          <w:szCs w:val="10"/>
        </w:rPr>
      </w:pPr>
    </w:p>
    <w:p w:rsidR="007723F8" w:rsidRPr="009E4B36" w:rsidP="007723F8">
      <w:pPr>
        <w:numPr>
          <w:numId w:val="15"/>
        </w:numPr>
        <w:tabs>
          <w:tab w:val="num" w:pos="720"/>
        </w:tabs>
        <w:bidi w:val="0"/>
        <w:ind w:left="720" w:hanging="18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  <w:u w:val="single"/>
        </w:rPr>
        <w:t>Ministerstva vnútra SR</w:t>
      </w:r>
      <w:r w:rsidRPr="009E4B36">
        <w:rPr>
          <w:rFonts w:ascii="Arial Narrow" w:hAnsi="Arial Narrow"/>
          <w:sz w:val="22"/>
          <w:szCs w:val="22"/>
        </w:rPr>
        <w:t xml:space="preserve"> – v sume 8 118 tis. eur. Na prenesený výkon štátnej správy sú určené finančné prostriedky v celkovej sume 7 639 tis. eur, z toho na činnosť matričných úradov v sume 5 841 tis. eur a na hlásenie a evidenciu občanov a register občanov podľa zákona č. 153/1998 Z. z. 1 798 tis. eur. Z ostatných finančných prostriedkov poskytnutých obciam (479 tis. eur) </w:t>
      </w:r>
      <w:r w:rsidRPr="009E4B36">
        <w:rPr>
          <w:rFonts w:ascii="Arial Narrow" w:hAnsi="Arial Narrow" w:cs="Arial Narrow"/>
          <w:color w:val="000000"/>
          <w:sz w:val="22"/>
          <w:szCs w:val="22"/>
        </w:rPr>
        <w:t>budú financované doplňujúce voľby do orgánov samosprávy obcí a ochrana a udržiavanie vojnových hrobov.</w:t>
      </w:r>
    </w:p>
    <w:p w:rsidR="007723F8" w:rsidRPr="009E4B36" w:rsidP="007723F8">
      <w:pPr>
        <w:bidi w:val="0"/>
        <w:jc w:val="both"/>
        <w:rPr>
          <w:rFonts w:ascii="Arial Narrow" w:hAnsi="Arial Narrow"/>
          <w:sz w:val="10"/>
          <w:szCs w:val="10"/>
        </w:rPr>
      </w:pPr>
    </w:p>
    <w:p w:rsidR="007723F8" w:rsidRPr="009E4B36" w:rsidP="007723F8">
      <w:pPr>
        <w:numPr>
          <w:numId w:val="15"/>
        </w:numPr>
        <w:tabs>
          <w:tab w:val="num" w:pos="720"/>
        </w:tabs>
        <w:bidi w:val="0"/>
        <w:ind w:left="720" w:hanging="18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  <w:u w:val="single"/>
        </w:rPr>
        <w:t>Ministerstva dopravy, pôšt a telekomunikácií SR –</w:t>
      </w:r>
      <w:r w:rsidRPr="009E4B36">
        <w:rPr>
          <w:rFonts w:ascii="Arial Narrow" w:hAnsi="Arial Narrow"/>
          <w:sz w:val="22"/>
          <w:szCs w:val="22"/>
        </w:rPr>
        <w:t xml:space="preserve"> suma 92 128 tis. eur. Na financovanie preneseného výkonu štátnej správy je určená suma 6 492 tis. eur, z toho v oblasti pozemných komunikácií – špeciálnych staveb</w:t>
      </w:r>
      <w:r>
        <w:rPr>
          <w:rFonts w:ascii="Arial Narrow" w:hAnsi="Arial Narrow"/>
          <w:sz w:val="22"/>
          <w:szCs w:val="22"/>
        </w:rPr>
        <w:t>ných úradov v sume 285 tis. eur a n</w:t>
      </w:r>
      <w:r w:rsidRPr="009E4B36">
        <w:rPr>
          <w:rFonts w:ascii="Arial Narrow" w:hAnsi="Arial Narrow"/>
          <w:sz w:val="22"/>
          <w:szCs w:val="22"/>
        </w:rPr>
        <w:t>a úseku stavebného poriadku a bývania v sume 6 207 tis. eur. Ostatné prostriedky</w:t>
      </w:r>
      <w:r>
        <w:rPr>
          <w:rFonts w:ascii="Arial Narrow" w:hAnsi="Arial Narrow"/>
          <w:sz w:val="22"/>
          <w:szCs w:val="22"/>
        </w:rPr>
        <w:t xml:space="preserve"> v sume</w:t>
      </w:r>
      <w:r w:rsidRPr="009E4B36">
        <w:rPr>
          <w:rFonts w:ascii="Arial Narrow" w:hAnsi="Arial Narrow"/>
          <w:sz w:val="22"/>
          <w:szCs w:val="22"/>
        </w:rPr>
        <w:t xml:space="preserve"> 85 636 tis. eur sú určené na podporu územného rozvoja miest a obcí a podporu cestovného ruchu.</w:t>
      </w:r>
      <w:r>
        <w:rPr>
          <w:rFonts w:ascii="Arial Narrow" w:hAnsi="Arial Narrow"/>
          <w:sz w:val="22"/>
          <w:szCs w:val="22"/>
        </w:rPr>
        <w:t xml:space="preserve"> Z uvedenej sumy 53 630 tis. eur sú prostriedky EÚ a spolufinancovanie zo štátneho rozpočtu na spoločné projekty SR a EÚ. </w:t>
      </w:r>
      <w:r w:rsidRPr="009E4B36">
        <w:rPr>
          <w:rFonts w:ascii="Arial Narrow" w:hAnsi="Arial Narrow"/>
          <w:sz w:val="22"/>
          <w:szCs w:val="22"/>
        </w:rPr>
        <w:t>Kompetencie na úseku stavebného poriadku a bývania, územného rozvoja</w:t>
      </w:r>
      <w:r w:rsidR="00642217">
        <w:rPr>
          <w:rFonts w:ascii="Arial Narrow" w:hAnsi="Arial Narrow"/>
          <w:sz w:val="22"/>
          <w:szCs w:val="22"/>
        </w:rPr>
        <w:t xml:space="preserve"> </w:t>
      </w:r>
      <w:r w:rsidRPr="009E4B36">
        <w:rPr>
          <w:rFonts w:ascii="Arial Narrow" w:hAnsi="Arial Narrow"/>
          <w:sz w:val="22"/>
          <w:szCs w:val="22"/>
        </w:rPr>
        <w:t>prešli do pôsobnosti tohto ministerstva z Ministerstva výs</w:t>
      </w:r>
      <w:r w:rsidR="005B48B6">
        <w:rPr>
          <w:rFonts w:ascii="Arial Narrow" w:hAnsi="Arial Narrow"/>
          <w:sz w:val="22"/>
          <w:szCs w:val="22"/>
        </w:rPr>
        <w:t>tavby a regionálneho rozvoja SR a kompetencie v oblasti cestovného ruchu z Ministerstva hospodárstva a výstavby SR.</w:t>
      </w:r>
    </w:p>
    <w:p w:rsidR="007723F8" w:rsidRPr="009E4B36" w:rsidP="007723F8">
      <w:pPr>
        <w:tabs>
          <w:tab w:val="num" w:pos="900"/>
        </w:tabs>
        <w:bidi w:val="0"/>
        <w:jc w:val="both"/>
        <w:rPr>
          <w:rFonts w:ascii="Arial Narrow" w:hAnsi="Arial Narrow"/>
          <w:sz w:val="10"/>
          <w:szCs w:val="10"/>
        </w:rPr>
      </w:pPr>
      <w:r w:rsidRPr="009E4B36">
        <w:rPr>
          <w:rFonts w:ascii="Arial Narrow" w:hAnsi="Arial Narrow"/>
          <w:sz w:val="10"/>
          <w:szCs w:val="10"/>
        </w:rPr>
        <w:t xml:space="preserve">   </w:t>
      </w:r>
    </w:p>
    <w:p w:rsidR="007723F8" w:rsidRPr="009E4B36" w:rsidP="007723F8">
      <w:pPr>
        <w:bidi w:val="0"/>
        <w:jc w:val="both"/>
        <w:rPr>
          <w:rFonts w:ascii="Arial Narrow" w:hAnsi="Arial Narrow"/>
          <w:sz w:val="10"/>
          <w:szCs w:val="10"/>
        </w:rPr>
      </w:pPr>
    </w:p>
    <w:p w:rsidR="007723F8" w:rsidRPr="009E4B36" w:rsidP="007723F8">
      <w:pPr>
        <w:numPr>
          <w:numId w:val="16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  <w:u w:val="single"/>
        </w:rPr>
        <w:t>Ministerstva životného prostredia SR</w:t>
      </w:r>
      <w:r w:rsidRPr="009E4B36">
        <w:rPr>
          <w:rFonts w:ascii="Arial Narrow" w:hAnsi="Arial Narrow"/>
          <w:sz w:val="22"/>
          <w:szCs w:val="22"/>
        </w:rPr>
        <w:t xml:space="preserve"> – celková suma 103 770 tis. eur</w:t>
      </w:r>
      <w:r>
        <w:rPr>
          <w:rFonts w:ascii="Arial Narrow" w:hAnsi="Arial Narrow"/>
          <w:sz w:val="22"/>
          <w:szCs w:val="22"/>
        </w:rPr>
        <w:t xml:space="preserve">. </w:t>
      </w:r>
      <w:r w:rsidRPr="009E4B36">
        <w:rPr>
          <w:rFonts w:ascii="Arial Narrow" w:hAnsi="Arial Narrow"/>
          <w:sz w:val="22"/>
          <w:szCs w:val="22"/>
        </w:rPr>
        <w:t>Dotácie sú smerované na prenesený výkon štátnej správy na úseku ochrany prírody, ovzdušia, vôd a protipovodňovej ochrany v sume 619 tis. eur</w:t>
      </w:r>
      <w:r>
        <w:rPr>
          <w:rFonts w:ascii="Arial Narrow" w:hAnsi="Arial Narrow"/>
          <w:sz w:val="22"/>
          <w:szCs w:val="22"/>
        </w:rPr>
        <w:t>. O</w:t>
      </w:r>
      <w:r w:rsidRPr="009E4B36">
        <w:rPr>
          <w:rFonts w:ascii="Arial Narrow" w:hAnsi="Arial Narrow"/>
          <w:sz w:val="22"/>
          <w:szCs w:val="22"/>
        </w:rPr>
        <w:t xml:space="preserve">statné </w:t>
      </w:r>
      <w:r>
        <w:rPr>
          <w:rFonts w:ascii="Arial Narrow" w:hAnsi="Arial Narrow"/>
          <w:sz w:val="22"/>
          <w:szCs w:val="22"/>
        </w:rPr>
        <w:t xml:space="preserve">granty a transfery v sume </w:t>
      </w:r>
      <w:r w:rsidRPr="009E4B36">
        <w:rPr>
          <w:rFonts w:ascii="Arial Narrow" w:hAnsi="Arial Narrow"/>
          <w:sz w:val="22"/>
          <w:szCs w:val="22"/>
        </w:rPr>
        <w:t>103 151 tis. eur</w:t>
      </w:r>
      <w:r>
        <w:rPr>
          <w:rFonts w:ascii="Arial Narrow" w:hAnsi="Arial Narrow"/>
          <w:sz w:val="22"/>
          <w:szCs w:val="22"/>
        </w:rPr>
        <w:t xml:space="preserve"> súvisia s financovaním spoločných projektov SR a EÚ a </w:t>
      </w:r>
      <w:r w:rsidRPr="009E4B36">
        <w:rPr>
          <w:rFonts w:ascii="Arial Narrow" w:hAnsi="Arial Narrow"/>
          <w:sz w:val="22"/>
          <w:szCs w:val="22"/>
        </w:rPr>
        <w:t>smerujú na technickú podporu cieľa ETC (európska teritoriálna spolupráca) a spolufinancovanie k finančnému nástroju LIFE+, na ochranu a regeneráciu prírodného prostredia a krajiny, ochranu ovzdušia, na minimalizáciu nepriaznivých vplyvov na zmenu klímy, integrovanú ochranu a racionálne využívanie vôd a technickú pomoc.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723F8" w:rsidRPr="009E4B36" w:rsidP="007723F8">
      <w:pPr>
        <w:bidi w:val="0"/>
        <w:ind w:left="720"/>
        <w:jc w:val="both"/>
        <w:rPr>
          <w:rFonts w:ascii="Arial Narrow" w:hAnsi="Arial Narrow"/>
          <w:sz w:val="22"/>
          <w:szCs w:val="22"/>
          <w:u w:val="single"/>
        </w:rPr>
      </w:pPr>
    </w:p>
    <w:p w:rsidR="007723F8" w:rsidRPr="009E4B36" w:rsidP="007723F8">
      <w:pPr>
        <w:numPr>
          <w:numId w:val="16"/>
        </w:numPr>
        <w:tabs>
          <w:tab w:val="num" w:pos="709"/>
          <w:tab w:val="clear" w:pos="900"/>
        </w:tabs>
        <w:bidi w:val="0"/>
        <w:ind w:left="709" w:hanging="169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  <w:u w:val="single"/>
        </w:rPr>
        <w:t>Ministerstva hospodárstva a výstavby SR</w:t>
      </w:r>
      <w:r w:rsidRPr="009E4B36">
        <w:rPr>
          <w:rFonts w:ascii="Arial Narrow" w:hAnsi="Arial Narrow"/>
          <w:sz w:val="22"/>
          <w:szCs w:val="22"/>
        </w:rPr>
        <w:t xml:space="preserve"> – do rozpočtov obcí budú smerovať finančné prostriedky v sume 53 641 tis. eur. Ide o finančné prostriedky na kapitálové výdavky na podporu služieb pre podnikateľov Operačného programu </w:t>
      </w:r>
      <w:r w:rsidR="005B48B6">
        <w:rPr>
          <w:rFonts w:ascii="Arial Narrow" w:hAnsi="Arial Narrow"/>
          <w:sz w:val="22"/>
          <w:szCs w:val="22"/>
        </w:rPr>
        <w:t>K</w:t>
      </w:r>
      <w:r w:rsidRPr="009E4B36">
        <w:rPr>
          <w:rFonts w:ascii="Arial Narrow" w:hAnsi="Arial Narrow"/>
          <w:sz w:val="22"/>
          <w:szCs w:val="22"/>
        </w:rPr>
        <w:t>onkurencieschopnosť a hospodársky rast. Prostriedky sú určené na financovanie výstavby a revitalizáciu infraštruktúry hnedých priemyselných parkov, výnimočne na budovanie zelených priemyselných parkov s veľkým socio-ekonomickým dopadom.</w:t>
      </w:r>
    </w:p>
    <w:p w:rsidR="007723F8" w:rsidRPr="009E4B36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9E4B36" w:rsidP="007723F8">
      <w:pPr>
        <w:bidi w:val="0"/>
        <w:ind w:left="720"/>
        <w:jc w:val="both"/>
        <w:rPr>
          <w:rFonts w:ascii="Arial Narrow" w:hAnsi="Arial Narrow"/>
          <w:sz w:val="10"/>
          <w:szCs w:val="10"/>
        </w:rPr>
      </w:pPr>
      <w:r w:rsidRPr="009E4B36">
        <w:rPr>
          <w:rFonts w:ascii="Arial Narrow" w:hAnsi="Arial Narrow"/>
          <w:sz w:val="10"/>
          <w:szCs w:val="10"/>
        </w:rPr>
        <w:t xml:space="preserve"> </w:t>
      </w:r>
    </w:p>
    <w:p w:rsidR="007723F8" w:rsidRPr="009E4B36" w:rsidP="007723F8">
      <w:pPr>
        <w:numPr>
          <w:numId w:val="16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  <w:u w:val="single"/>
        </w:rPr>
        <w:t xml:space="preserve">Ministerstva práce, sociálnych vecí a rodiny SR </w:t>
      </w:r>
      <w:r w:rsidRPr="009E4B36">
        <w:rPr>
          <w:rFonts w:ascii="Arial Narrow" w:hAnsi="Arial Narrow"/>
          <w:sz w:val="22"/>
          <w:szCs w:val="22"/>
        </w:rPr>
        <w:t>- v sume 14 169 tis. eur, ktoré budú poskytované obciam na výkon osobitného príjemcu, výdavky na stravu a  na školské potreby pre deti v hmotnej núdzi.</w:t>
      </w:r>
    </w:p>
    <w:p w:rsidR="007723F8" w:rsidRPr="009E4B36" w:rsidP="007723F8">
      <w:pPr>
        <w:bidi w:val="0"/>
        <w:ind w:left="720"/>
        <w:jc w:val="both"/>
        <w:rPr>
          <w:rFonts w:ascii="Arial Narrow" w:hAnsi="Arial Narrow"/>
          <w:sz w:val="22"/>
          <w:szCs w:val="22"/>
        </w:rPr>
      </w:pPr>
    </w:p>
    <w:p w:rsidR="007723F8" w:rsidRPr="009E4B36" w:rsidP="007723F8">
      <w:pPr>
        <w:bidi w:val="0"/>
        <w:jc w:val="both"/>
        <w:rPr>
          <w:rFonts w:ascii="Arial Narrow" w:hAnsi="Arial Narrow"/>
          <w:sz w:val="10"/>
          <w:szCs w:val="10"/>
        </w:rPr>
      </w:pPr>
    </w:p>
    <w:p w:rsidR="007723F8" w:rsidRPr="009E4B36" w:rsidP="007723F8">
      <w:pPr>
        <w:numPr>
          <w:numId w:val="16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  <w:u w:val="single"/>
        </w:rPr>
        <w:t xml:space="preserve">Ministerstva kultúry a cestovného ruchu SR </w:t>
      </w:r>
      <w:r w:rsidRPr="009E4B36">
        <w:rPr>
          <w:rFonts w:ascii="Arial Narrow" w:hAnsi="Arial Narrow"/>
          <w:sz w:val="22"/>
          <w:szCs w:val="22"/>
        </w:rPr>
        <w:t>– v sume 5 838 tis. eur na financovanie projektov podporovaných zo schémy grantového systému zamerané na obnovu kultúrnych pamiatok, na ochranu kultúrneho dedičstva, na literárnu a divadelnú činnosť a pod.</w:t>
      </w:r>
    </w:p>
    <w:p w:rsidR="007723F8" w:rsidRPr="009E4B36" w:rsidP="007723F8">
      <w:pPr>
        <w:bidi w:val="0"/>
        <w:ind w:left="72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 xml:space="preserve"> </w:t>
      </w:r>
    </w:p>
    <w:p w:rsidR="007723F8" w:rsidP="007723F8">
      <w:pPr>
        <w:numPr>
          <w:numId w:val="16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  <w:u w:val="single"/>
        </w:rPr>
        <w:t>Ministerstva pôdohospodárstva</w:t>
      </w:r>
      <w:r>
        <w:rPr>
          <w:rFonts w:ascii="Arial Narrow" w:hAnsi="Arial Narrow"/>
          <w:sz w:val="22"/>
          <w:szCs w:val="22"/>
          <w:u w:val="single"/>
        </w:rPr>
        <w:t xml:space="preserve"> a</w:t>
      </w:r>
      <w:r w:rsidRPr="009E4B36">
        <w:rPr>
          <w:rFonts w:ascii="Arial Narrow" w:hAnsi="Arial Narrow"/>
          <w:sz w:val="22"/>
          <w:szCs w:val="22"/>
          <w:u w:val="single"/>
        </w:rPr>
        <w:t xml:space="preserve"> rozvoja </w:t>
      </w:r>
      <w:r>
        <w:rPr>
          <w:rFonts w:ascii="Arial Narrow" w:hAnsi="Arial Narrow"/>
          <w:sz w:val="22"/>
          <w:szCs w:val="22"/>
          <w:u w:val="single"/>
        </w:rPr>
        <w:t xml:space="preserve">vidieka </w:t>
      </w:r>
      <w:r w:rsidRPr="009E4B36">
        <w:rPr>
          <w:rFonts w:ascii="Arial Narrow" w:hAnsi="Arial Narrow"/>
          <w:sz w:val="22"/>
          <w:szCs w:val="22"/>
          <w:u w:val="single"/>
        </w:rPr>
        <w:t>SR</w:t>
      </w:r>
      <w:r w:rsidRPr="009E4B36">
        <w:rPr>
          <w:rFonts w:ascii="Arial Narrow" w:hAnsi="Arial Narrow"/>
          <w:sz w:val="22"/>
          <w:szCs w:val="22"/>
        </w:rPr>
        <w:t xml:space="preserve"> – finančné prostriedky v sume 364 494 tis. eur</w:t>
      </w:r>
      <w:r>
        <w:rPr>
          <w:rFonts w:ascii="Arial Narrow" w:hAnsi="Arial Narrow"/>
          <w:sz w:val="22"/>
          <w:szCs w:val="22"/>
        </w:rPr>
        <w:t>, z toho 357 494 tis. eur predstavujú prostriedky EÚ a spolufinancovanie spoločných projektov SR a EÚ v oblasti podpor</w:t>
      </w:r>
      <w:r w:rsidR="005B48B6">
        <w:rPr>
          <w:rFonts w:ascii="Arial Narrow" w:hAnsi="Arial Narrow"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 xml:space="preserve"> regionálneho rozvoja miest a obcí. Na úhradu DPH vo vzťahu k obciam sa rozpočtuje suma </w:t>
      </w:r>
      <w:r w:rsidRPr="009E4B36">
        <w:rPr>
          <w:rFonts w:ascii="Arial Narrow" w:hAnsi="Arial Narrow"/>
          <w:sz w:val="22"/>
          <w:szCs w:val="22"/>
        </w:rPr>
        <w:t>10 000 tis. eur.</w:t>
      </w:r>
      <w:r>
        <w:rPr>
          <w:rFonts w:ascii="Arial Narrow" w:hAnsi="Arial Narrow"/>
          <w:sz w:val="22"/>
          <w:szCs w:val="22"/>
        </w:rPr>
        <w:t xml:space="preserve"> </w:t>
      </w:r>
      <w:r w:rsidRPr="009E4B36">
        <w:rPr>
          <w:rFonts w:ascii="Arial Narrow" w:hAnsi="Arial Narrow"/>
          <w:sz w:val="22"/>
          <w:szCs w:val="22"/>
        </w:rPr>
        <w:t>Kompetencie na úseku regionálneho rozvoja boli presunuté z Ministerstva výstavby a regionálneho rozvoja SR.</w:t>
      </w:r>
    </w:p>
    <w:p w:rsidR="00AD316A" w:rsidP="00AD316A">
      <w:pPr>
        <w:pStyle w:val="ListParagraph"/>
        <w:bidi w:val="0"/>
        <w:rPr>
          <w:rFonts w:ascii="Arial Narrow" w:hAnsi="Arial Narrow"/>
          <w:sz w:val="22"/>
          <w:szCs w:val="22"/>
        </w:rPr>
      </w:pPr>
    </w:p>
    <w:p w:rsidR="007723F8" w:rsidP="00AD316A">
      <w:pPr>
        <w:numPr>
          <w:numId w:val="16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Arial Narrow" w:hAnsi="Arial Narrow"/>
          <w:sz w:val="22"/>
          <w:szCs w:val="22"/>
        </w:rPr>
      </w:pPr>
      <w:r w:rsidRPr="00AD316A">
        <w:rPr>
          <w:rFonts w:ascii="Arial Narrow" w:hAnsi="Arial Narrow"/>
          <w:sz w:val="22"/>
          <w:szCs w:val="22"/>
          <w:u w:val="single"/>
        </w:rPr>
        <w:t>Úradu vlády SR</w:t>
      </w:r>
      <w:r w:rsidRPr="00AD316A">
        <w:rPr>
          <w:rFonts w:ascii="Arial Narrow" w:hAnsi="Arial Narrow"/>
          <w:sz w:val="22"/>
          <w:szCs w:val="22"/>
        </w:rPr>
        <w:t xml:space="preserve"> – do rozpočtov obcí budú smerovať finančné prostriedky v sume 1 828 tis. eur na financovanie menšinovej a kultúrnej politiky a na potreby rómskej komunity.</w:t>
      </w:r>
    </w:p>
    <w:p w:rsidR="00AD316A" w:rsidP="00AD316A">
      <w:pPr>
        <w:pStyle w:val="ListParagraph"/>
        <w:bidi w:val="0"/>
        <w:rPr>
          <w:rFonts w:ascii="Arial Narrow" w:hAnsi="Arial Narrow"/>
          <w:sz w:val="22"/>
          <w:szCs w:val="22"/>
        </w:rPr>
      </w:pPr>
    </w:p>
    <w:p w:rsidR="007723F8" w:rsidRPr="00AD316A" w:rsidP="00AD316A">
      <w:pPr>
        <w:numPr>
          <w:numId w:val="16"/>
        </w:numPr>
        <w:tabs>
          <w:tab w:val="num" w:pos="720"/>
          <w:tab w:val="clear" w:pos="900"/>
        </w:tabs>
        <w:bidi w:val="0"/>
        <w:ind w:left="720" w:hanging="180"/>
        <w:jc w:val="both"/>
        <w:rPr>
          <w:rFonts w:ascii="Arial Narrow" w:hAnsi="Arial Narrow"/>
          <w:sz w:val="22"/>
          <w:szCs w:val="22"/>
        </w:rPr>
      </w:pPr>
      <w:r w:rsidRPr="00AD316A">
        <w:rPr>
          <w:rFonts w:ascii="Arial Narrow" w:hAnsi="Arial Narrow"/>
          <w:sz w:val="22"/>
          <w:szCs w:val="22"/>
          <w:u w:val="single"/>
        </w:rPr>
        <w:t>Všeobecná pokladničná správa</w:t>
      </w:r>
      <w:r w:rsidRPr="00AD316A">
        <w:rPr>
          <w:rFonts w:ascii="Arial Narrow" w:hAnsi="Arial Narrow"/>
          <w:sz w:val="22"/>
          <w:szCs w:val="22"/>
        </w:rPr>
        <w:t xml:space="preserve"> – finančné prostriedky v sume 31 350 tis. eur sú určené na financovanie zariadení sociálnych služieb, na individuálne potreby obcí a na záchranu a obnovu kultúrnych pamiatok niektorých miest.</w:t>
      </w:r>
    </w:p>
    <w:p w:rsidR="007723F8" w:rsidRPr="002049B8" w:rsidP="007723F8">
      <w:pPr>
        <w:pStyle w:val="ListParagraph"/>
        <w:bidi w:val="0"/>
        <w:rPr>
          <w:rFonts w:ascii="Arial Narrow" w:hAnsi="Arial Narrow"/>
          <w:sz w:val="22"/>
          <w:szCs w:val="10"/>
        </w:rPr>
      </w:pPr>
    </w:p>
    <w:p w:rsidR="007723F8" w:rsidRPr="009E4B36" w:rsidP="007723F8">
      <w:pPr>
        <w:bidi w:val="0"/>
        <w:ind w:firstLine="54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 xml:space="preserve">Do rozpočtov obcí sa predpokladajú poskytnúť finančné prostriedky zo štátnych fondov </w:t>
      </w:r>
      <w:r>
        <w:rPr>
          <w:rFonts w:ascii="Arial Narrow" w:hAnsi="Arial Narrow"/>
          <w:sz w:val="22"/>
          <w:szCs w:val="22"/>
        </w:rPr>
        <w:t xml:space="preserve">v roku 2011 </w:t>
      </w:r>
      <w:r w:rsidRPr="009E4B36">
        <w:rPr>
          <w:rFonts w:ascii="Arial Narrow" w:hAnsi="Arial Narrow"/>
          <w:sz w:val="22"/>
          <w:szCs w:val="22"/>
        </w:rPr>
        <w:t xml:space="preserve">v celkovej sume 14 266 tis. eur, z toho </w:t>
      </w:r>
      <w:r w:rsidRPr="009E4B36">
        <w:rPr>
          <w:rFonts w:ascii="Arial Narrow" w:hAnsi="Arial Narrow"/>
          <w:sz w:val="22"/>
          <w:szCs w:val="22"/>
          <w:u w:val="single"/>
        </w:rPr>
        <w:t>zo Štátneho fondu rozvoja bývania</w:t>
      </w:r>
      <w:r w:rsidRPr="009E4B36">
        <w:rPr>
          <w:rFonts w:ascii="Arial Narrow" w:hAnsi="Arial Narrow"/>
          <w:sz w:val="22"/>
          <w:szCs w:val="22"/>
        </w:rPr>
        <w:t xml:space="preserve"> v celkovej výške 266 tis. eur a </w:t>
      </w:r>
      <w:r w:rsidR="00085DF5">
        <w:rPr>
          <w:rFonts w:ascii="Arial Narrow" w:hAnsi="Arial Narrow"/>
          <w:sz w:val="22"/>
          <w:szCs w:val="22"/>
        </w:rPr>
        <w:t xml:space="preserve">                </w:t>
      </w:r>
      <w:r w:rsidRPr="009E4B36">
        <w:rPr>
          <w:rFonts w:ascii="Arial Narrow" w:hAnsi="Arial Narrow"/>
          <w:sz w:val="22"/>
          <w:szCs w:val="22"/>
          <w:u w:val="single"/>
        </w:rPr>
        <w:t xml:space="preserve">z  </w:t>
      </w:r>
      <w:r w:rsidR="00085DF5">
        <w:rPr>
          <w:rFonts w:ascii="Arial Narrow" w:hAnsi="Arial Narrow"/>
          <w:sz w:val="22"/>
          <w:szCs w:val="22"/>
          <w:u w:val="single"/>
        </w:rPr>
        <w:t>E</w:t>
      </w:r>
      <w:r w:rsidRPr="009E4B36">
        <w:rPr>
          <w:rFonts w:ascii="Arial Narrow" w:hAnsi="Arial Narrow"/>
          <w:sz w:val="22"/>
          <w:szCs w:val="22"/>
          <w:u w:val="single"/>
        </w:rPr>
        <w:t>nviro</w:t>
      </w:r>
      <w:r w:rsidR="00085DF5">
        <w:rPr>
          <w:rFonts w:ascii="Arial Narrow" w:hAnsi="Arial Narrow"/>
          <w:sz w:val="22"/>
          <w:szCs w:val="22"/>
          <w:u w:val="single"/>
        </w:rPr>
        <w:t>n</w:t>
      </w:r>
      <w:r w:rsidRPr="009E4B36">
        <w:rPr>
          <w:rFonts w:ascii="Arial Narrow" w:hAnsi="Arial Narrow"/>
          <w:sz w:val="22"/>
          <w:szCs w:val="22"/>
          <w:u w:val="single"/>
        </w:rPr>
        <w:t>mentálneho fondu</w:t>
      </w:r>
      <w:r w:rsidRPr="009E4B36">
        <w:rPr>
          <w:rFonts w:ascii="Arial Narrow" w:hAnsi="Arial Narrow"/>
          <w:sz w:val="22"/>
          <w:szCs w:val="22"/>
        </w:rPr>
        <w:t xml:space="preserve"> v sume 14 000 tis. eur.</w:t>
      </w:r>
    </w:p>
    <w:p w:rsidR="007723F8" w:rsidRPr="009E4B36" w:rsidP="007723F8">
      <w:pPr>
        <w:bidi w:val="0"/>
        <w:ind w:firstLine="720"/>
        <w:jc w:val="both"/>
        <w:rPr>
          <w:rFonts w:ascii="Arial Narrow" w:hAnsi="Arial Narrow"/>
          <w:sz w:val="22"/>
          <w:szCs w:val="22"/>
        </w:rPr>
      </w:pPr>
    </w:p>
    <w:p w:rsidR="007723F8" w:rsidRPr="009E4B36" w:rsidP="007723F8">
      <w:pPr>
        <w:bidi w:val="0"/>
        <w:ind w:firstLine="72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>Príjmové finančné operácie  sa predpokladajú</w:t>
      </w:r>
      <w:r>
        <w:rPr>
          <w:rFonts w:ascii="Arial Narrow" w:hAnsi="Arial Narrow"/>
          <w:sz w:val="22"/>
          <w:szCs w:val="22"/>
        </w:rPr>
        <w:t xml:space="preserve"> v roku 2011</w:t>
      </w:r>
      <w:r w:rsidRPr="009E4B36">
        <w:rPr>
          <w:rFonts w:ascii="Arial Narrow" w:hAnsi="Arial Narrow"/>
          <w:sz w:val="22"/>
          <w:szCs w:val="22"/>
        </w:rPr>
        <w:t xml:space="preserve"> v celkovej sume 355 175 tis. eur. Predpokladá sa, že obce z prostriedkov peňažných fondov prevedú do príjmov rozpočtu sumu 102 901 tis. eur, zo zostatku prostriedkov z predchádzajúcich rokov v sume 43 152 tis. eur, z predaja majetkových účastí a zo splátok poskytnutých pôžičiek získajú sumu 9 958 tis. eur a prijmú úvery na plnenie svojich investičných zámerov v sume 199 164 tis. eur. </w:t>
      </w:r>
    </w:p>
    <w:p w:rsidR="007723F8" w:rsidRPr="009E4B36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9E4B36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 xml:space="preserve">Celkové výdavky obcí na rok 2011 sa predpokladajú  v objeme 3 756 </w:t>
      </w:r>
      <w:r>
        <w:rPr>
          <w:rFonts w:ascii="Arial Narrow" w:hAnsi="Arial Narrow"/>
          <w:sz w:val="22"/>
          <w:szCs w:val="22"/>
        </w:rPr>
        <w:t>766</w:t>
      </w:r>
      <w:r w:rsidRPr="009E4B36">
        <w:rPr>
          <w:rFonts w:ascii="Arial Narrow" w:hAnsi="Arial Narrow"/>
          <w:sz w:val="22"/>
          <w:szCs w:val="22"/>
        </w:rPr>
        <w:t xml:space="preserve"> tis. eur.</w:t>
      </w:r>
    </w:p>
    <w:p w:rsidR="007723F8" w:rsidRPr="009E4B36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 xml:space="preserve"> 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ab/>
        <w:t xml:space="preserve">Na základe vývoja hospodárenia v predchádzajúcich rokoch a predpokladaného vývoja príjmov, Ministerstvo financií SR odhaduje, že výdavky obcí </w:t>
      </w:r>
      <w:r>
        <w:rPr>
          <w:rFonts w:ascii="Arial Narrow" w:hAnsi="Arial Narrow"/>
          <w:bCs/>
          <w:sz w:val="22"/>
          <w:szCs w:val="22"/>
        </w:rPr>
        <w:t xml:space="preserve">v roku 2011 </w:t>
      </w:r>
      <w:r w:rsidRPr="009E4B36">
        <w:rPr>
          <w:rFonts w:ascii="Arial Narrow" w:hAnsi="Arial Narrow"/>
          <w:bCs/>
          <w:sz w:val="22"/>
          <w:szCs w:val="22"/>
        </w:rPr>
        <w:t>budú smerované do jednotlivých úsekov činností v roku 2011 takto: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ab/>
        <w:t>Na činnosť obecných a mestských úradov a na transfery všeobecnej povahy medzi rôznymi úrovňami verejnej správy  sa predpokladá vynaložiť  844 560 tis. eur.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ab/>
        <w:t>Na zabezpečenie úloh civilnej ochrany v pôsobnosti obcí a na činnosť policajných služieb – obecnej polície a požiarnej ochrany sa predpokladajú finančné prostriedky v sume 52 460 tis. eur.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ab/>
        <w:t xml:space="preserve">V ekonomickej oblasti sa uvažuje so sumou  445 900 tis. eur, z ktorých budú financované kompetencie obcí na úseku dopravy, v rámci ktorej sú aj výdavky na mestskú verejnú dopravu, na úseku poľnohospodárstva, lesníctva, palív a energie, ťažby, výroby a výstavby, komunikácií a ostatných činností spadajúcich do ich pôsobnosti. 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7723F8" w:rsidP="005A5600">
      <w:pPr>
        <w:bidi w:val="0"/>
        <w:ind w:firstLine="708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>Na úseku ochrany životného prostredia sa predpokladá financovať činnosti zberu, prepravy, a zneškodňovania odpadu, nakladanie s odpadovými vodami, výdavky súvisiace so znižovaním znečisťovania ovzdušia, životného prostredia a ochranou prírody a krajiny. Finančné prostriedky na tomto úseku sa predpokladajú v celkovej sume  313 200 tis. eur.</w:t>
      </w:r>
    </w:p>
    <w:p w:rsidR="005B48B6" w:rsidRPr="009E4B36" w:rsidP="005A5600">
      <w:pPr>
        <w:bidi w:val="0"/>
        <w:ind w:firstLine="708"/>
        <w:jc w:val="both"/>
        <w:rPr>
          <w:rFonts w:ascii="Arial Narrow" w:hAnsi="Arial Narrow"/>
          <w:bCs/>
          <w:sz w:val="22"/>
          <w:szCs w:val="22"/>
        </w:rPr>
      </w:pP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ab/>
        <w:t xml:space="preserve">Na úseku bývania a občianskej vybavenosti sa predpokladajú finančné prostriedky v celkovej sume </w:t>
      </w:r>
      <w:r w:rsidR="005B48B6">
        <w:rPr>
          <w:rFonts w:ascii="Arial Narrow" w:hAnsi="Arial Narrow"/>
          <w:bCs/>
          <w:sz w:val="22"/>
          <w:szCs w:val="22"/>
        </w:rPr>
        <w:t xml:space="preserve">      </w:t>
      </w:r>
      <w:r>
        <w:rPr>
          <w:rFonts w:ascii="Arial Narrow" w:hAnsi="Arial Narrow"/>
          <w:bCs/>
          <w:sz w:val="22"/>
          <w:szCs w:val="22"/>
        </w:rPr>
        <w:t>464</w:t>
      </w:r>
      <w:r w:rsidRPr="009E4B36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842</w:t>
      </w:r>
      <w:r w:rsidRPr="009E4B36">
        <w:rPr>
          <w:rFonts w:ascii="Arial Narrow" w:hAnsi="Arial Narrow"/>
          <w:bCs/>
          <w:sz w:val="22"/>
          <w:szCs w:val="22"/>
        </w:rPr>
        <w:t xml:space="preserve"> tis. eur, v rámci ktorého budú realizované aktivity obcí súvisiace s rozvojom bývania, </w:t>
      </w:r>
      <w:r w:rsidR="005B48B6">
        <w:rPr>
          <w:rFonts w:ascii="Arial Narrow" w:hAnsi="Arial Narrow"/>
          <w:bCs/>
          <w:sz w:val="22"/>
          <w:szCs w:val="22"/>
        </w:rPr>
        <w:t>s</w:t>
      </w:r>
      <w:r w:rsidRPr="009E4B36">
        <w:rPr>
          <w:rFonts w:ascii="Arial Narrow" w:hAnsi="Arial Narrow"/>
          <w:bCs/>
          <w:sz w:val="22"/>
          <w:szCs w:val="22"/>
        </w:rPr>
        <w:t>o zásobovaním pitnou vodou a  verejným osvetlením.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ab/>
        <w:t>Na financovanie zdravotníctva - zdravotníckych služieb a zdravotníckych zariadení, záchrannú zdravotnú službu v pôsobnosti obcí sa uvažuje so sumou  8 300 tis. eur.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ab/>
        <w:t>Na úseku kultúry sa predpokladá vynaložiť 251 300 tis. eur, z ktorých budú financované aktivity obcí súvisiace s rekreačnými a športovými službami, kultúrne služby (divadlá, umelecké súbory, klubové a špeciálne kultúrne zariadenia, odborno-metodické zariadenia, knižnice, múzeá, galérie, pamiatková starostlivosť, národná kultúra), vysielacie a vydavateľské služby a iné kultúrne a spoločenské aktivity realizované obcami.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7723F8" w:rsidRPr="009E4B36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 xml:space="preserve">Na vzdelávanie sa predpokladá </w:t>
      </w:r>
      <w:r>
        <w:rPr>
          <w:rFonts w:ascii="Arial Narrow" w:hAnsi="Arial Narrow"/>
          <w:bCs/>
          <w:sz w:val="22"/>
          <w:szCs w:val="22"/>
        </w:rPr>
        <w:t xml:space="preserve">v roku 2011 </w:t>
      </w:r>
      <w:r w:rsidRPr="009E4B36">
        <w:rPr>
          <w:rFonts w:ascii="Arial Narrow" w:hAnsi="Arial Narrow"/>
          <w:bCs/>
          <w:sz w:val="22"/>
          <w:szCs w:val="22"/>
        </w:rPr>
        <w:t xml:space="preserve">vynaložiť suma 1 248 104 tis. eur, a to na financovanie predškolskej výchovy, základných škôl, zariadenia pre záujmové vzdelávanie, centrá voľného času, jazykové školy, zariadenia pre celoživotné vzdelávanie, služby pridružené ku školám – školské stravovanie, strediská služieb škole, zariadenia výchovného poradenstva a ostatné výdavky súvisiace so vzdelávaním. </w:t>
      </w:r>
      <w:r w:rsidRPr="009E4B36">
        <w:rPr>
          <w:rFonts w:ascii="Arial Narrow" w:hAnsi="Arial Narrow"/>
          <w:sz w:val="22"/>
          <w:szCs w:val="22"/>
        </w:rPr>
        <w:t xml:space="preserve">Z uvedených prostriedkov sa predpokladá aj poskytovanie dotácií obcami zriaďovateľom </w:t>
      </w:r>
      <w:r w:rsidRPr="009E4B36">
        <w:rPr>
          <w:rFonts w:ascii="Arial Narrow" w:hAnsi="Arial Narrow"/>
          <w:bCs/>
          <w:sz w:val="22"/>
          <w:szCs w:val="22"/>
        </w:rPr>
        <w:t>neštátnych škôl a školských zariadení na financovanie ich činnosti.</w:t>
      </w:r>
    </w:p>
    <w:p w:rsidR="007723F8" w:rsidRPr="009E4B36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</w:p>
    <w:p w:rsidR="007723F8" w:rsidP="007723F8">
      <w:pPr>
        <w:bidi w:val="0"/>
        <w:jc w:val="both"/>
        <w:rPr>
          <w:rFonts w:ascii="Arial Narrow" w:hAnsi="Arial Narrow"/>
          <w:bCs/>
          <w:sz w:val="22"/>
          <w:szCs w:val="22"/>
        </w:rPr>
      </w:pPr>
      <w:r w:rsidRPr="009E4B36">
        <w:rPr>
          <w:rFonts w:ascii="Arial Narrow" w:hAnsi="Arial Narrow"/>
          <w:bCs/>
          <w:sz w:val="22"/>
          <w:szCs w:val="22"/>
        </w:rPr>
        <w:tab/>
        <w:t>Na úseku sociálneho zabezpečenia sa uvažuje s finančnými prostriedkami v sume 128 100 tis. eur na zabezpečenie financovania pôsobnosti obcí v uvedenej oblasti.</w:t>
      </w:r>
    </w:p>
    <w:p w:rsidR="007723F8" w:rsidRPr="009E4B36" w:rsidP="007723F8">
      <w:pPr>
        <w:bidi w:val="0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ab/>
      </w: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9E4B36">
        <w:rPr>
          <w:rFonts w:ascii="Arial Narrow" w:hAnsi="Arial Narrow"/>
          <w:sz w:val="22"/>
          <w:szCs w:val="22"/>
        </w:rPr>
        <w:t>Vývoj výdavkov podľa jednotlivých úsekov činnosti obcí sa podľa skutočnosti za roky 2008 a 2009, rozpočtu na rok 2010 a odhadu Ministerstva financií SR v rokoch 2011</w:t>
      </w:r>
      <w:r>
        <w:rPr>
          <w:rFonts w:ascii="Arial Narrow" w:hAnsi="Arial Narrow"/>
          <w:sz w:val="22"/>
          <w:szCs w:val="22"/>
        </w:rPr>
        <w:t xml:space="preserve"> až 2013 predpokladá takto:</w:t>
      </w:r>
    </w:p>
    <w:p w:rsidR="007723F8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9180" w:type="dxa"/>
        <w:jc w:val="center"/>
        <w:tblInd w:w="-27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31"/>
        <w:gridCol w:w="902"/>
        <w:gridCol w:w="903"/>
        <w:gridCol w:w="887"/>
        <w:gridCol w:w="896"/>
        <w:gridCol w:w="896"/>
        <w:gridCol w:w="965"/>
      </w:tblGrid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sz w:val="16"/>
                <w:szCs w:val="16"/>
              </w:rPr>
              <w:t>Funkcia (v tis. eur)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lrTb"/>
            <w:vAlign w:val="center"/>
          </w:tcPr>
          <w:p w:rsidR="007723F8" w:rsidRPr="009E4B36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7723F8" w:rsidRPr="009E4B36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7723F8" w:rsidRPr="009E4B36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sz w:val="16"/>
                <w:szCs w:val="16"/>
              </w:rPr>
              <w:t>2010 R*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lrTb"/>
            <w:vAlign w:val="center"/>
          </w:tcPr>
          <w:p w:rsidR="007723F8" w:rsidRPr="009E4B36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lrTb"/>
            <w:vAlign w:val="center"/>
          </w:tcPr>
          <w:p w:rsidR="007723F8" w:rsidRPr="009E4B36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lrTb"/>
            <w:vAlign w:val="center"/>
          </w:tcPr>
          <w:p w:rsidR="007723F8" w:rsidRPr="009E4B36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01 Všeobecné verejné služby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839 667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798 028 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820 301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844 560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855 990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864 770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02 Obrana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445 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504 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515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03 Verejný poriadok a bezpečnosť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50 007 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52 665 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51 749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52 000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55 366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58 215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04 Ekonomická oblasť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408 677 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387 459 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410 476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445 900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460 880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462 090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05 Ochrana životného prostredia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259 523 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264 245 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281 936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313 200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321 856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322 700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06 Bývanie a občianska vybavenosť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388 170 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406 824 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416 503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464 842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472 787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473 271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07 Zdravotníctvo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8 226 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7 423 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10 290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8 300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8 473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8 564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08 Rekreácia, kultúra a náboženstvo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221 719 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252 321 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227 903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251 300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267 566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281 374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09 Vzdelávanie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1 049 944 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1 249 973 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1 143 400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1 248 104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1 325 292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1 370 419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10 Sociálne zabezpečenie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117 444 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123 188 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129 503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128 100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131 401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color w:val="000000"/>
                <w:sz w:val="16"/>
                <w:szCs w:val="16"/>
              </w:rPr>
              <w:t>135 874</w:t>
            </w:r>
          </w:p>
        </w:tc>
      </w:tr>
      <w:tr>
        <w:tblPrEx>
          <w:tblW w:w="9180" w:type="dxa"/>
          <w:jc w:val="center"/>
          <w:tblInd w:w="-27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9E4B36" w:rsidP="007E5F4B">
            <w:pPr>
              <w:bidi w:val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 p o l u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3 343 822 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3 542 630 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3 492 511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E4B36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3 756 </w:t>
            </w:r>
            <w:r w:rsidR="00C050B2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766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3 900 101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9E4B36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3 977 792</w:t>
            </w:r>
          </w:p>
        </w:tc>
      </w:tr>
    </w:tbl>
    <w:p w:rsidR="007723F8" w:rsidRPr="009E4B36" w:rsidP="007723F8">
      <w:pPr>
        <w:bidi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*</w:t>
      </w:r>
      <w:r w:rsidRPr="009E4B36">
        <w:rPr>
          <w:rFonts w:ascii="Arial Narrow" w:hAnsi="Arial Narrow"/>
          <w:sz w:val="16"/>
          <w:szCs w:val="16"/>
        </w:rPr>
        <w:t>Vzhľadom na to, že nie sú k dispozícií aktuálne údaje, uvádza sa rozpočet za rok 2010.</w:t>
      </w: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Vývoj príjmovej a výdavkovej časti rozpočtu obcí na roky  2011 až  2013 v porovnaní s očakávanou skutočnosťou za rok 2010 a skutočnosťou za roky 2008 a 2009 je nasledovný:</w:t>
      </w: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9273" w:type="dxa"/>
        <w:jc w:val="center"/>
        <w:tblInd w:w="398" w:type="dxa"/>
        <w:tblCellMar>
          <w:left w:w="70" w:type="dxa"/>
          <w:right w:w="70" w:type="dxa"/>
        </w:tblCellMar>
        <w:tblLook w:val="04A0"/>
      </w:tblPr>
      <w:tblGrid>
        <w:gridCol w:w="3513"/>
        <w:gridCol w:w="960"/>
        <w:gridCol w:w="960"/>
        <w:gridCol w:w="960"/>
        <w:gridCol w:w="960"/>
        <w:gridCol w:w="960"/>
        <w:gridCol w:w="960"/>
      </w:tblGrid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Príjmy obcí  spolu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3 606 313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3 758 334 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3 700 446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 xml:space="preserve">3 880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071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062 780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 xml:space="preserve">4 156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172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9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 toho: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  daňové príjmy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1 685 270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1 620 306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1 433 586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1 683 915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1 918 518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2 070 070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nedaňové príjmy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594 365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414 260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507 867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495 325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516 829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528 808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 granty a  transfery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955 421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1 148 098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1 241 668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1 345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1 242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 178 814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zo splátok tuzemských úverov, pôžičiek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11 176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9 358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9 358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9 380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z predaja majetkových účastí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9 294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620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5A5600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zostatok prostr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. 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z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predch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. 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 rokov a prevod prostriedkov z peňažných fondov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141 455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317 062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217 803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146 053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159 331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152 620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 prijaté úvery 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218 341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257 196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290 228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199 164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215 761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215 760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Výdavky obcí  spolu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3 343 822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3 542 630 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3 642 049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 xml:space="preserve">3 756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 xml:space="preserve">3 900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977 792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9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 toho: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mzdy a 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1 130 587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1 209 227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1 228 789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1 218 940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1 288 256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1 315 937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 tovary a služby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908 399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948 484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884 747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1 031 649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1 124 112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1 074 638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bežné transfery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342 320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360 296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345 072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365 125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391 974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402 369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  splácanie úrokov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32 470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25 804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34 173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27 173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29 833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37 946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kapitálové výdavky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765 416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860 169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973 340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957 867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909 914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996 902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 úvery a účasť na majetku (FO)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19 828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20 188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33 194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33 194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23 236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15 000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splácanie istiny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144 802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118 462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142 734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122 818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132 776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135 000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Celkový prebytok obcí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262 491 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215 704 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58 397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123 30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162 679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178 380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-206 627 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-437 020 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-341 397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-199 16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-229 038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-228 380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9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toho: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  vylúčenie príjmových FO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-371 257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-575 670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-517 325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-355 175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-385 050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-378 380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vylúčenie výdavkových FO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164 630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138 650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175 928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156 01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156 012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150 000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25344A" w:rsidP="007E5F4B">
            <w:pPr>
              <w:bidi w:val="0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zahrnutie časového rozlíšenia</w:t>
            </w:r>
            <w:r w:rsidRPr="0025344A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a o</w:t>
            </w:r>
            <w:r w:rsidRPr="0025344A">
              <w:rPr>
                <w:rFonts w:ascii="Arial Narrow" w:hAnsi="Arial Narrow" w:cs="Arial"/>
                <w:b/>
                <w:i/>
                <w:sz w:val="16"/>
                <w:szCs w:val="16"/>
              </w:rPr>
              <w:t>statné úpravy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25344A" w:rsidP="007E5F4B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25344A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-51 749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25344A" w:rsidP="007E5F4B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25344A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-61 522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25344A" w:rsidP="007E5F4B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25344A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25344A" w:rsidP="007E5F4B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25344A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25344A" w:rsidP="007E5F4B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25344A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25344A" w:rsidP="007E5F4B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25344A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273" w:type="dxa"/>
          <w:jc w:val="center"/>
          <w:tblInd w:w="39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Prebytok  / schodok obcí  (ESA 95)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4 116*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-282 838*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-283 000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-75 859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-66 359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EF1280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-50 000</w:t>
            </w:r>
          </w:p>
        </w:tc>
      </w:tr>
    </w:tbl>
    <w:p w:rsidR="007723F8" w:rsidRPr="00DC3E63" w:rsidP="007723F8">
      <w:pPr>
        <w:bidi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*Schodok po započítaní negatívneho vplyvu zmeny stavu záväzkov a pohľadávok v roku 2008 v sume 51 749 tis. eur a v roku 2009 v sume 61 522 tis. eur.</w:t>
      </w: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Celkové príjmy obcí v roku 2011 oproti očakávanej skutočnosti na rok 2010 sú vyššie o 4,9 %, a to z dôvodu nárastu grantov a transferov o 8,4 %, nárastu daňových príjmov o 17,5 %, ale na druhej strane došlo k  poklesu nedaňových príjmov o 2,5 % a príjmových finančných operácií o 31,3 %. </w:t>
      </w: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0729CF">
        <w:rPr>
          <w:rFonts w:ascii="Arial Narrow" w:hAnsi="Arial Narrow"/>
          <w:sz w:val="22"/>
          <w:szCs w:val="22"/>
        </w:rPr>
        <w:t>V roku 20</w:t>
      </w:r>
      <w:r>
        <w:rPr>
          <w:rFonts w:ascii="Arial Narrow" w:hAnsi="Arial Narrow"/>
          <w:sz w:val="22"/>
          <w:szCs w:val="22"/>
        </w:rPr>
        <w:t>12</w:t>
      </w:r>
      <w:r w:rsidRPr="000729CF">
        <w:rPr>
          <w:rFonts w:ascii="Arial Narrow" w:hAnsi="Arial Narrow"/>
          <w:sz w:val="22"/>
          <w:szCs w:val="22"/>
        </w:rPr>
        <w:t xml:space="preserve"> sa oproti roku 20</w:t>
      </w:r>
      <w:r>
        <w:rPr>
          <w:rFonts w:ascii="Arial Narrow" w:hAnsi="Arial Narrow"/>
          <w:sz w:val="22"/>
          <w:szCs w:val="22"/>
        </w:rPr>
        <w:t>11</w:t>
      </w:r>
      <w:r w:rsidRPr="000729CF">
        <w:rPr>
          <w:rFonts w:ascii="Arial Narrow" w:hAnsi="Arial Narrow"/>
          <w:sz w:val="22"/>
          <w:szCs w:val="22"/>
        </w:rPr>
        <w:t xml:space="preserve"> v rozpočtoch obcí v príjmoch očakáva </w:t>
      </w:r>
      <w:r>
        <w:rPr>
          <w:rFonts w:ascii="Arial Narrow" w:hAnsi="Arial Narrow"/>
          <w:sz w:val="22"/>
          <w:szCs w:val="22"/>
        </w:rPr>
        <w:t>nárast</w:t>
      </w:r>
      <w:r w:rsidRPr="000729CF">
        <w:rPr>
          <w:rFonts w:ascii="Arial Narrow" w:hAnsi="Arial Narrow"/>
          <w:sz w:val="22"/>
          <w:szCs w:val="22"/>
        </w:rPr>
        <w:t xml:space="preserve"> o</w:t>
      </w:r>
      <w:r>
        <w:rPr>
          <w:rFonts w:ascii="Arial Narrow" w:hAnsi="Arial Narrow"/>
          <w:sz w:val="22"/>
          <w:szCs w:val="22"/>
        </w:rPr>
        <w:t> 4,7 % a v roku 2013</w:t>
      </w:r>
      <w:r w:rsidRPr="000729CF">
        <w:rPr>
          <w:rFonts w:ascii="Arial Narrow" w:hAnsi="Arial Narrow"/>
          <w:sz w:val="22"/>
          <w:szCs w:val="22"/>
        </w:rPr>
        <w:t xml:space="preserve"> oproti roku 20</w:t>
      </w:r>
      <w:r>
        <w:rPr>
          <w:rFonts w:ascii="Arial Narrow" w:hAnsi="Arial Narrow"/>
          <w:sz w:val="22"/>
          <w:szCs w:val="22"/>
        </w:rPr>
        <w:t>12</w:t>
      </w:r>
      <w:r w:rsidRPr="000729CF">
        <w:rPr>
          <w:rFonts w:ascii="Arial Narrow" w:hAnsi="Arial Narrow"/>
          <w:sz w:val="22"/>
          <w:szCs w:val="22"/>
        </w:rPr>
        <w:t xml:space="preserve"> v príjmovej časti rozpočtu</w:t>
      </w:r>
      <w:r>
        <w:rPr>
          <w:rFonts w:ascii="Arial Narrow" w:hAnsi="Arial Narrow"/>
          <w:sz w:val="22"/>
          <w:szCs w:val="22"/>
        </w:rPr>
        <w:t xml:space="preserve"> sa očakáva </w:t>
      </w:r>
      <w:r w:rsidRPr="000729CF">
        <w:rPr>
          <w:rFonts w:ascii="Arial Narrow" w:hAnsi="Arial Narrow"/>
          <w:sz w:val="22"/>
          <w:szCs w:val="22"/>
        </w:rPr>
        <w:t>nárast o</w:t>
      </w:r>
      <w:r>
        <w:rPr>
          <w:rFonts w:ascii="Arial Narrow" w:hAnsi="Arial Narrow"/>
          <w:sz w:val="22"/>
          <w:szCs w:val="22"/>
        </w:rPr>
        <w:t> 2,3</w:t>
      </w:r>
      <w:r w:rsidRPr="000729CF">
        <w:rPr>
          <w:rFonts w:ascii="Arial Narrow" w:hAnsi="Arial Narrow"/>
          <w:sz w:val="22"/>
          <w:szCs w:val="22"/>
        </w:rPr>
        <w:t xml:space="preserve"> </w:t>
      </w:r>
      <w:r w:rsidRPr="00642217">
        <w:rPr>
          <w:rFonts w:ascii="Arial Narrow" w:hAnsi="Arial Narrow"/>
          <w:sz w:val="22"/>
          <w:szCs w:val="22"/>
        </w:rPr>
        <w:t xml:space="preserve">%. </w:t>
      </w:r>
      <w:r w:rsidRPr="00E27ECE">
        <w:rPr>
          <w:rFonts w:ascii="Arial Narrow" w:hAnsi="Arial Narrow"/>
          <w:sz w:val="22"/>
          <w:szCs w:val="22"/>
        </w:rPr>
        <w:t>V daňových príjmoch sa očakáva nárast, a tým aj ich vyššie smerovanie do rozpočtov obcí</w:t>
      </w:r>
      <w:r w:rsidRPr="00E27ECE" w:rsidR="00E27ECE">
        <w:rPr>
          <w:rFonts w:ascii="Arial Narrow" w:hAnsi="Arial Narrow"/>
          <w:sz w:val="22"/>
          <w:szCs w:val="22"/>
        </w:rPr>
        <w:t>.</w:t>
      </w:r>
      <w:r w:rsidRPr="00E27ECE">
        <w:rPr>
          <w:rFonts w:ascii="Arial Narrow" w:hAnsi="Arial Narrow"/>
          <w:sz w:val="22"/>
          <w:szCs w:val="22"/>
        </w:rPr>
        <w:t xml:space="preserve"> </w:t>
      </w:r>
      <w:r w:rsidRPr="00E27ECE" w:rsidR="00E27ECE">
        <w:rPr>
          <w:rFonts w:ascii="Arial Narrow" w:hAnsi="Arial Narrow"/>
          <w:sz w:val="22"/>
          <w:szCs w:val="22"/>
        </w:rPr>
        <w:t xml:space="preserve">V roku 2012 sa oproti roku 2011 </w:t>
      </w:r>
      <w:r w:rsidRPr="00E27ECE">
        <w:rPr>
          <w:rFonts w:ascii="Arial Narrow" w:hAnsi="Arial Narrow"/>
          <w:sz w:val="22"/>
          <w:szCs w:val="22"/>
        </w:rPr>
        <w:t xml:space="preserve">očakáva </w:t>
      </w:r>
      <w:r w:rsidR="00E27ECE">
        <w:rPr>
          <w:rFonts w:ascii="Arial Narrow" w:hAnsi="Arial Narrow"/>
          <w:sz w:val="22"/>
          <w:szCs w:val="22"/>
        </w:rPr>
        <w:t xml:space="preserve">nárast </w:t>
      </w:r>
      <w:r w:rsidRPr="00E27ECE">
        <w:rPr>
          <w:rFonts w:ascii="Arial Narrow" w:hAnsi="Arial Narrow"/>
          <w:sz w:val="22"/>
          <w:szCs w:val="22"/>
        </w:rPr>
        <w:t xml:space="preserve">o 13,9 % a v roku 2013 oproti roku 2012 o 7,9 %. Bližšie informácie o prognóze jednotlivých druhov daňových príjmov sú uvedené v časti </w:t>
      </w:r>
      <w:r w:rsidRPr="00E27ECE" w:rsidR="00C050B2">
        <w:rPr>
          <w:rFonts w:ascii="Arial Narrow" w:hAnsi="Arial Narrow"/>
          <w:sz w:val="22"/>
          <w:szCs w:val="22"/>
        </w:rPr>
        <w:t>3 materiálu</w:t>
      </w:r>
      <w:r w:rsidRPr="00E27ECE">
        <w:rPr>
          <w:rFonts w:ascii="Arial Narrow" w:hAnsi="Arial Narrow"/>
          <w:sz w:val="22"/>
          <w:szCs w:val="22"/>
        </w:rPr>
        <w:t>.</w:t>
      </w: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RPr="000729CF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 výdavkovej časti rozpočtu obcí sa očakávajú v roku 2011 vyššie výdavky oproti očakávanej skutočnosti na rok 2010 o 3,1 %, v roku 2012 sa oproti roku 2011 očakáva nárast o 3,8 % a v roku 2013 v porovnaní s rokom 2012 o 2,0 %.</w:t>
      </w:r>
    </w:p>
    <w:p w:rsidR="00314F16" w:rsidRPr="00314F16" w:rsidP="007723F8">
      <w:pPr>
        <w:pStyle w:val="BodyText"/>
        <w:bidi w:val="0"/>
        <w:rPr>
          <w:rFonts w:ascii="Arial Narrow" w:hAnsi="Arial Narrow"/>
          <w:b/>
          <w:sz w:val="22"/>
          <w:szCs w:val="22"/>
        </w:rPr>
      </w:pPr>
    </w:p>
    <w:p w:rsidR="007723F8" w:rsidRPr="004F4646" w:rsidP="007723F8">
      <w:pPr>
        <w:pStyle w:val="BodyText"/>
        <w:bidi w:val="0"/>
        <w:rPr>
          <w:rFonts w:ascii="Arial Narrow" w:hAnsi="Arial Narrow"/>
          <w:b/>
        </w:rPr>
      </w:pPr>
      <w:r w:rsidRPr="004F4646">
        <w:rPr>
          <w:rFonts w:ascii="Arial Narrow" w:hAnsi="Arial Narrow"/>
          <w:b/>
        </w:rPr>
        <w:t>1.2. Vyššie územné celky</w:t>
      </w:r>
    </w:p>
    <w:p w:rsidR="007723F8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EF1280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</w:rPr>
        <w:t>Predpokladá sa, že VÚC v roku 2011 dosiahnu celkové príjmy vo výške 1 120 908 tis. eur a celkové výdavky v sume 1 120 908 tis. eur. Po odpočítaní príjmových a výdavkových finančných operácií sa predpokladajú príjmy v sume 1 045 709 tis. eur a výdavky 1 106 967 tis. eur a zohľadnení časového rozlíšenia z titulu daňových príjmov (1 230 tis. eur) je schodok vo výške 60 028 tis. eur. Uvedené údaje sú odhadom Ministerstva financií SR vzhľadom na to, že financovanie samosprávnych kompetencií je v plnej pôsobnosti VÚC, ktorých zastupiteľstvá rozhodujú o rozdelení a použití prostriedkov podľa jednotlivých úsekov v rámci schválených rozpočtov. VÚC takto samostatne rozhodujú cca o 61,1 % svojich príjmov.</w:t>
      </w:r>
    </w:p>
    <w:p w:rsidR="007723F8" w:rsidRPr="00EF1280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RPr="00EF1280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</w:rPr>
        <w:t xml:space="preserve">Daňové príjmy sa očakávajú </w:t>
      </w:r>
      <w:r>
        <w:rPr>
          <w:rFonts w:ascii="Arial Narrow" w:hAnsi="Arial Narrow"/>
          <w:sz w:val="22"/>
          <w:szCs w:val="22"/>
        </w:rPr>
        <w:t xml:space="preserve">v roku 2011 </w:t>
      </w:r>
      <w:r w:rsidRPr="00EF1280">
        <w:rPr>
          <w:rFonts w:ascii="Arial Narrow" w:hAnsi="Arial Narrow"/>
          <w:sz w:val="22"/>
          <w:szCs w:val="22"/>
        </w:rPr>
        <w:t xml:space="preserve">v celkovej sume 531 729 tis. eur, ktoré VÚC získajú z  výnosu dane z príjmov platenej  fyzickými osobami  v sume 409 094 tis. eur, z výnosu dane z motorových vozidiel v sume 120 362 tis. eur a zo sankcií uložených v daňovom konaní v sume 2 273 tis. eur. </w:t>
      </w:r>
    </w:p>
    <w:p w:rsidR="007723F8" w:rsidRPr="00EF1280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RPr="00EF1280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</w:rPr>
        <w:t xml:space="preserve">Predpoklad vývoja daňových príjmov VÚC v porovnaní s očakávanou skutočnosťou na rok 2010 a skutočnosťou za roky 2008 a 2009 v rokoch 2011 až 2013 je nasledovný: </w:t>
      </w:r>
    </w:p>
    <w:p w:rsidR="007723F8" w:rsidRPr="00EF1280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9187" w:type="dxa"/>
        <w:jc w:val="center"/>
        <w:tblInd w:w="-96" w:type="dxa"/>
        <w:tblCellMar>
          <w:left w:w="70" w:type="dxa"/>
          <w:right w:w="70" w:type="dxa"/>
        </w:tblCellMar>
        <w:tblLook w:val="04A0"/>
      </w:tblPr>
      <w:tblGrid>
        <w:gridCol w:w="3427"/>
        <w:gridCol w:w="960"/>
        <w:gridCol w:w="960"/>
        <w:gridCol w:w="960"/>
        <w:gridCol w:w="960"/>
        <w:gridCol w:w="960"/>
        <w:gridCol w:w="960"/>
      </w:tblGrid>
      <w:tr>
        <w:tblPrEx>
          <w:tblW w:w="9187" w:type="dxa"/>
          <w:jc w:val="center"/>
          <w:tblInd w:w="-96" w:type="dxa"/>
          <w:tblCellMar>
            <w:left w:w="70" w:type="dxa"/>
            <w:right w:w="70" w:type="dxa"/>
          </w:tblCellMar>
          <w:tblLook w:val="04A0"/>
        </w:tblPrEx>
        <w:trPr>
          <w:trHeight w:val="257"/>
          <w:jc w:val="center"/>
        </w:trPr>
        <w:tc>
          <w:tcPr>
            <w:tcW w:w="3427" w:type="dxa"/>
            <w:tcBorders>
              <w:top w:val="single" w:sz="8" w:space="0" w:color="auto"/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(v tis. eur)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one" w:sz="0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color w:val="000000"/>
                <w:sz w:val="16"/>
                <w:szCs w:val="16"/>
              </w:rPr>
              <w:t>2008 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one" w:sz="0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color w:val="000000"/>
                <w:sz w:val="16"/>
                <w:szCs w:val="16"/>
              </w:rPr>
              <w:t>2009 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one" w:sz="0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2010 OS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one" w:sz="0" w:space="0" w:color="auto"/>
              <w:right w:val="single" w:sz="8" w:space="0" w:color="000000"/>
            </w:tcBorders>
            <w:shd w:val="clear" w:color="000000" w:fill="auto"/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2011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one" w:sz="0" w:space="0" w:color="auto"/>
              <w:right w:val="single" w:sz="8" w:space="0" w:color="000000"/>
            </w:tcBorders>
            <w:shd w:val="clear" w:color="000000" w:fill="auto"/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2012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one" w:sz="0" w:space="0" w:color="auto"/>
              <w:right w:val="single" w:sz="8" w:space="0" w:color="000000"/>
            </w:tcBorders>
            <w:shd w:val="clear" w:color="000000" w:fill="auto"/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2013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N</w:t>
            </w:r>
          </w:p>
        </w:tc>
      </w:tr>
      <w:tr>
        <w:tblPrEx>
          <w:tblW w:w="9187" w:type="dxa"/>
          <w:jc w:val="center"/>
          <w:tblInd w:w="-9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Daňové príjmy spolu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508 355 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="003F0120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529 298</w:t>
            </w: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451 789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531 729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606 154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652 545</w:t>
            </w:r>
          </w:p>
        </w:tc>
      </w:tr>
      <w:tr>
        <w:tblPrEx>
          <w:tblW w:w="9187" w:type="dxa"/>
          <w:jc w:val="center"/>
          <w:tblInd w:w="-9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z toho: daň z príjmov fyzických osôb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 xml:space="preserve">  428 206 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="003F0120">
              <w:rPr>
                <w:rFonts w:ascii="Arial Narrow" w:hAnsi="Arial Narrow"/>
                <w:color w:val="000000"/>
                <w:sz w:val="16"/>
                <w:szCs w:val="16"/>
              </w:rPr>
              <w:t>403 483</w:t>
            </w: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332 608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409 094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479 867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522 533</w:t>
            </w:r>
          </w:p>
        </w:tc>
      </w:tr>
      <w:tr>
        <w:tblPrEx>
          <w:tblW w:w="9187" w:type="dxa"/>
          <w:jc w:val="center"/>
          <w:tblInd w:w="-9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daň z motorových vozidiel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80 149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125 815 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116 856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120 362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123 973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127 692</w:t>
            </w:r>
          </w:p>
        </w:tc>
      </w:tr>
      <w:tr>
        <w:tblPrEx>
          <w:tblW w:w="9187" w:type="dxa"/>
          <w:jc w:val="center"/>
          <w:tblInd w:w="-9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sankcie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2 273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2 314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2 320</w:t>
            </w:r>
          </w:p>
        </w:tc>
      </w:tr>
    </w:tbl>
    <w:p w:rsidR="007723F8" w:rsidP="007723F8">
      <w:pPr>
        <w:pStyle w:val="BodyText"/>
        <w:bidi w:val="0"/>
        <w:ind w:firstLine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</w:p>
    <w:p w:rsidR="007723F8" w:rsidRPr="00EF1280" w:rsidP="007723F8">
      <w:pPr>
        <w:pStyle w:val="BodyText"/>
        <w:bidi w:val="0"/>
        <w:ind w:firstLine="540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</w:rPr>
        <w:t xml:space="preserve">Nedaňové príjmy sa získajú z  činnosti organizácií v zriaďovateľskej pôsobnosti VÚC na úseku sociálneho zabezpečenia, na úseku školstva, dopravy, z kapitálových príjmov a z úrokov z prostriedkov vlastného hospodárenia. Uvažuje sa </w:t>
      </w:r>
      <w:r>
        <w:rPr>
          <w:rFonts w:ascii="Arial Narrow" w:hAnsi="Arial Narrow"/>
          <w:sz w:val="22"/>
          <w:szCs w:val="22"/>
        </w:rPr>
        <w:t xml:space="preserve">v roku 2011 </w:t>
      </w:r>
      <w:r w:rsidRPr="00EF1280">
        <w:rPr>
          <w:rFonts w:ascii="Arial Narrow" w:hAnsi="Arial Narrow"/>
          <w:sz w:val="22"/>
          <w:szCs w:val="22"/>
        </w:rPr>
        <w:t>s ich celkovou výškou 77 505 tis. eur, ktorá by sa mala dosiahnuť z administratívnych a iných poplatkov a platieb v sume 51 405 tis. eur, a to najmä na úseku sociálneho zabezpečenia, z úhrad platených občanmi umiestnenými v zariadeniach sociálnych služieb, za poskytované služby, ako sú str</w:t>
      </w:r>
      <w:r w:rsidR="00642217">
        <w:rPr>
          <w:rFonts w:ascii="Arial Narrow" w:hAnsi="Arial Narrow"/>
          <w:sz w:val="22"/>
          <w:szCs w:val="22"/>
        </w:rPr>
        <w:t xml:space="preserve">avovanie, bývanie a zaopatrenie, na </w:t>
      </w:r>
      <w:r w:rsidRPr="00EF1280">
        <w:rPr>
          <w:rFonts w:ascii="Arial Narrow" w:hAnsi="Arial Narrow"/>
          <w:sz w:val="22"/>
          <w:szCs w:val="22"/>
        </w:rPr>
        <w:t>úseku školstva</w:t>
      </w:r>
      <w:r w:rsidR="00642217">
        <w:rPr>
          <w:rFonts w:ascii="Arial Narrow" w:hAnsi="Arial Narrow"/>
          <w:sz w:val="22"/>
          <w:szCs w:val="22"/>
        </w:rPr>
        <w:t xml:space="preserve"> z príjmov získaných</w:t>
      </w:r>
      <w:r w:rsidRPr="00EF1280">
        <w:rPr>
          <w:rFonts w:ascii="Arial Narrow" w:hAnsi="Arial Narrow"/>
          <w:sz w:val="22"/>
          <w:szCs w:val="22"/>
        </w:rPr>
        <w:t xml:space="preserve"> z poplatkov zo zápisného a školného v základných umeleckých školách, za ubytovanie v domovoch mládeže, z</w:t>
      </w:r>
      <w:r w:rsidR="00E27ECE">
        <w:rPr>
          <w:rFonts w:ascii="Arial Narrow" w:hAnsi="Arial Narrow"/>
          <w:sz w:val="22"/>
          <w:szCs w:val="22"/>
        </w:rPr>
        <w:t> </w:t>
      </w:r>
      <w:r w:rsidRPr="00EF1280">
        <w:rPr>
          <w:rFonts w:ascii="Arial Narrow" w:hAnsi="Arial Narrow"/>
          <w:sz w:val="22"/>
          <w:szCs w:val="22"/>
        </w:rPr>
        <w:t>nájomného</w:t>
      </w:r>
      <w:r w:rsidR="00E27ECE">
        <w:rPr>
          <w:rFonts w:ascii="Arial Narrow" w:hAnsi="Arial Narrow"/>
          <w:sz w:val="22"/>
          <w:szCs w:val="22"/>
        </w:rPr>
        <w:t xml:space="preserve"> a pod.</w:t>
      </w:r>
      <w:r w:rsidRPr="00EF1280">
        <w:rPr>
          <w:rFonts w:ascii="Arial Narrow" w:hAnsi="Arial Narrow"/>
          <w:sz w:val="22"/>
          <w:szCs w:val="22"/>
        </w:rPr>
        <w:t xml:space="preserve"> Z hospodárenia s majetkom samosprávnych krajov, z úrokov z vlastných prostriedkov, z vkladov, z hospodárenia s vlastnými prostriedkami sa predpokladajú v sume 8 151 tis. eur a z iných nedaňových príjmov v sume 5 500 tis. eur. Z kapitálových príjmov (z predaja majetku) sa predpokladá získať 12 449 tis. eur.</w:t>
      </w:r>
    </w:p>
    <w:p w:rsidR="007723F8" w:rsidRPr="00EF1280" w:rsidP="007723F8">
      <w:pPr>
        <w:pStyle w:val="BodyText"/>
        <w:bidi w:val="0"/>
        <w:ind w:firstLine="540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</w:rPr>
        <w:t xml:space="preserve">   </w:t>
      </w:r>
    </w:p>
    <w:p w:rsidR="007723F8" w:rsidRPr="00EF1280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</w:rPr>
        <w:t xml:space="preserve">Granty a transfery zo štátneho rozpočtu sa rozpočtujú </w:t>
      </w:r>
      <w:r>
        <w:rPr>
          <w:rFonts w:ascii="Arial Narrow" w:hAnsi="Arial Narrow"/>
          <w:sz w:val="22"/>
          <w:szCs w:val="22"/>
        </w:rPr>
        <w:t xml:space="preserve">v roku 2011 </w:t>
      </w:r>
      <w:r w:rsidRPr="00EF1280">
        <w:rPr>
          <w:rFonts w:ascii="Arial Narrow" w:hAnsi="Arial Narrow"/>
          <w:sz w:val="22"/>
          <w:szCs w:val="22"/>
        </w:rPr>
        <w:t>v celkovej sume 436 474 tis. eur, čo predstavuje bežné granty a transfery. Granty a transfery zo štátneho rozpočtu do rozpočtov VÚC sa očakávajú z týchto kapitol:</w:t>
      </w:r>
    </w:p>
    <w:p w:rsidR="007723F8" w:rsidRPr="00EF1280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RPr="00EF1280" w:rsidP="007723F8">
      <w:pPr>
        <w:numPr>
          <w:numId w:val="16"/>
        </w:numPr>
        <w:tabs>
          <w:tab w:val="num" w:pos="142"/>
          <w:tab w:val="clear" w:pos="900"/>
        </w:tabs>
        <w:bidi w:val="0"/>
        <w:ind w:left="142" w:hanging="142"/>
        <w:jc w:val="both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  <w:u w:val="single"/>
        </w:rPr>
        <w:t>Ministerstva školstva</w:t>
      </w:r>
      <w:r w:rsidR="00E27ECE">
        <w:rPr>
          <w:rFonts w:ascii="Arial Narrow" w:hAnsi="Arial Narrow"/>
          <w:sz w:val="22"/>
          <w:szCs w:val="22"/>
          <w:u w:val="single"/>
        </w:rPr>
        <w:t>,</w:t>
      </w:r>
      <w:r w:rsidRPr="00EF1280">
        <w:rPr>
          <w:rFonts w:ascii="Arial Narrow" w:hAnsi="Arial Narrow"/>
          <w:sz w:val="22"/>
          <w:szCs w:val="22"/>
          <w:u w:val="single"/>
        </w:rPr>
        <w:t xml:space="preserve"> </w:t>
      </w:r>
      <w:r w:rsidR="00642217">
        <w:rPr>
          <w:rFonts w:ascii="Arial Narrow" w:hAnsi="Arial Narrow"/>
          <w:sz w:val="22"/>
          <w:szCs w:val="22"/>
          <w:u w:val="single"/>
        </w:rPr>
        <w:t xml:space="preserve">vedy, výskumu a športu </w:t>
      </w:r>
      <w:r w:rsidRPr="00EF1280">
        <w:rPr>
          <w:rFonts w:ascii="Arial Narrow" w:hAnsi="Arial Narrow"/>
          <w:sz w:val="22"/>
          <w:szCs w:val="22"/>
          <w:u w:val="single"/>
        </w:rPr>
        <w:t>SR</w:t>
      </w:r>
      <w:r w:rsidRPr="00EF1280">
        <w:rPr>
          <w:rFonts w:ascii="Arial Narrow" w:hAnsi="Arial Narrow"/>
          <w:sz w:val="22"/>
          <w:szCs w:val="22"/>
        </w:rPr>
        <w:t xml:space="preserve"> - v celkovej sume 402 974 tis. eur, z toho na financovanie preneseného výkonu štátnej správy na úseku stredných škôl, ku ktorým zriaďovateľskú funkciu plnia VÚC v sume 395 825 tis. eur a na podporu športovo talentovanej mládeže z Operačného programu Vzdelávanie v sume 7 149 tis. eur.</w:t>
      </w:r>
    </w:p>
    <w:p w:rsidR="007723F8" w:rsidRPr="00EF1280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EF1280" w:rsidP="007723F8">
      <w:pPr>
        <w:numPr>
          <w:numId w:val="16"/>
        </w:numPr>
        <w:tabs>
          <w:tab w:val="num" w:pos="142"/>
          <w:tab w:val="clear" w:pos="900"/>
        </w:tabs>
        <w:bidi w:val="0"/>
        <w:ind w:hanging="900"/>
        <w:jc w:val="both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  <w:u w:val="single"/>
        </w:rPr>
        <w:t xml:space="preserve">Úradu vlády SR </w:t>
      </w:r>
      <w:r w:rsidRPr="00EF1280">
        <w:rPr>
          <w:rFonts w:ascii="Arial Narrow" w:hAnsi="Arial Narrow"/>
          <w:sz w:val="22"/>
          <w:szCs w:val="22"/>
        </w:rPr>
        <w:t>– z poskytnutej sumy 33 500 tis. eur sa predpokladajú financovať protipovodňové opatrenia.</w:t>
      </w:r>
    </w:p>
    <w:p w:rsidR="007723F8" w:rsidRPr="00EF1280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EF1280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</w:rPr>
        <w:t xml:space="preserve">Príjmové finančné operácie sa predpokladajú v sume 75 200 tis. eur, a to z prevodov prostriedkov z peňažných fondov v sume 27 656 tis. eur, zo zostatku prostriedkov z predchádzajúcich rokov v sume 7 254 tis. eur a z prijatých úverov v sume 40 290 tis. eur. </w:t>
      </w:r>
    </w:p>
    <w:p w:rsidR="007723F8" w:rsidRPr="00EF1280" w:rsidP="007723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23F8" w:rsidRPr="00EF1280" w:rsidP="007723F8">
      <w:pPr>
        <w:bidi w:val="0"/>
        <w:ind w:firstLine="709"/>
        <w:jc w:val="both"/>
        <w:rPr>
          <w:rFonts w:ascii="Arial Narrow" w:hAnsi="Arial Narrow"/>
          <w:sz w:val="22"/>
          <w:szCs w:val="22"/>
        </w:rPr>
      </w:pPr>
      <w:r w:rsidRPr="00EF1280">
        <w:rPr>
          <w:rFonts w:ascii="Arial Narrow" w:hAnsi="Arial Narrow"/>
          <w:sz w:val="22"/>
          <w:szCs w:val="22"/>
        </w:rPr>
        <w:t>Celkové výdavky VÚC</w:t>
      </w:r>
      <w:r>
        <w:rPr>
          <w:rFonts w:ascii="Arial Narrow" w:hAnsi="Arial Narrow"/>
          <w:sz w:val="22"/>
          <w:szCs w:val="22"/>
        </w:rPr>
        <w:t xml:space="preserve"> v roku 2011 </w:t>
      </w:r>
      <w:r w:rsidRPr="00EF1280">
        <w:rPr>
          <w:rFonts w:ascii="Arial Narrow" w:hAnsi="Arial Narrow"/>
          <w:sz w:val="22"/>
          <w:szCs w:val="22"/>
        </w:rPr>
        <w:t xml:space="preserve">sa predpokladajú v sume 1 120 908 tis. eur. </w:t>
      </w:r>
    </w:p>
    <w:p w:rsidR="007723F8" w:rsidRPr="00EF1280" w:rsidP="007723F8">
      <w:pPr>
        <w:pStyle w:val="BodyText"/>
        <w:bidi w:val="0"/>
        <w:rPr>
          <w:rFonts w:ascii="Arial Narrow" w:hAnsi="Arial Narrow"/>
          <w:sz w:val="22"/>
          <w:szCs w:val="22"/>
        </w:rPr>
      </w:pPr>
    </w:p>
    <w:p w:rsidR="007723F8" w:rsidRPr="004147DC" w:rsidP="007723F8">
      <w:pPr>
        <w:bidi w:val="0"/>
        <w:ind w:firstLine="708"/>
        <w:jc w:val="both"/>
        <w:rPr>
          <w:rFonts w:ascii="Arial Narrow" w:hAnsi="Arial Narrow"/>
          <w:bCs/>
          <w:sz w:val="22"/>
          <w:szCs w:val="22"/>
        </w:rPr>
      </w:pPr>
      <w:r w:rsidRPr="004147DC">
        <w:rPr>
          <w:rFonts w:ascii="Arial Narrow" w:hAnsi="Arial Narrow"/>
          <w:bCs/>
          <w:sz w:val="22"/>
          <w:szCs w:val="22"/>
        </w:rPr>
        <w:t>Na základe vývoja hospodárenia v predchádzajúcich rokoch a predpokladaného vývoja príjmov Ministerstvo financií SR odhaduje, že výdavky VÚC budú smerované do jednotlivých úsekov činností v roku 2011 takto:</w:t>
      </w:r>
    </w:p>
    <w:p w:rsidR="007723F8" w:rsidRPr="004147DC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4147DC">
        <w:rPr>
          <w:rFonts w:ascii="Arial Narrow" w:hAnsi="Arial Narrow"/>
          <w:sz w:val="22"/>
          <w:szCs w:val="22"/>
        </w:rPr>
        <w:t xml:space="preserve">V oblasti výdavkov na zabezpečenie činností úradov samosprávnych krajov sa predpokladá vynaložiť finančné prostriedky v celkovej sume 116 937 tis. eur.  Z uvedenej sumy sa predpokladá financovať osobné a prevádzkové výdavky úradov, činnosť poslancov zastupiteľstiev, činnosť komisií, projekty súvisiace s regionálnym rozvojom, splátky istiny a ostatné úlohy spojené s činnosťou úradov samosprávnych krajov a starostlivosťou o majetok VÚC. </w:t>
      </w:r>
    </w:p>
    <w:p w:rsidR="007723F8" w:rsidRPr="004147DC" w:rsidP="007723F8">
      <w:pPr>
        <w:pStyle w:val="BodyText"/>
        <w:bidi w:val="0"/>
        <w:rPr>
          <w:rFonts w:ascii="Arial Narrow" w:hAnsi="Arial Narrow"/>
          <w:sz w:val="22"/>
          <w:szCs w:val="22"/>
        </w:rPr>
      </w:pPr>
    </w:p>
    <w:p w:rsidR="007723F8" w:rsidRPr="004147DC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4147DC">
        <w:rPr>
          <w:rFonts w:ascii="Arial Narrow" w:hAnsi="Arial Narrow"/>
          <w:sz w:val="22"/>
          <w:szCs w:val="22"/>
        </w:rPr>
        <w:t xml:space="preserve">Na úseku dopravy, sa uvažuje s finančnými prostriedkami v sume </w:t>
      </w:r>
      <w:r w:rsidR="00C050B2">
        <w:rPr>
          <w:rFonts w:ascii="Arial Narrow" w:hAnsi="Arial Narrow"/>
          <w:sz w:val="22"/>
          <w:szCs w:val="22"/>
        </w:rPr>
        <w:t>242 204</w:t>
      </w:r>
      <w:r w:rsidRPr="004147DC">
        <w:rPr>
          <w:rFonts w:ascii="Arial Narrow" w:hAnsi="Arial Narrow"/>
          <w:sz w:val="22"/>
          <w:szCs w:val="22"/>
        </w:rPr>
        <w:t xml:space="preserve"> tis. eur, a to na úhradu straty, jej časti alebo iné vyrovnanie dopravcom, ktorí na základe uzatvorených zmlúv o výkonoch vo verejnom záujme vykonávajú vnútroštátnu verejnú autobusovú dopravu a na zabezpečenie obslužnosti územia. Ďalšie prostriedky na úseku dopravy budú smerované na zabezpečenie správy, opravy a údržby, ale predovšetkým na rekonštrukciu ciest II. a III. triedy a na nákup a obnovu technického a strojného vybavenia súvisiaceho s údržbou ciest. V tomto úseku nie sú zohľadnené kompetencie na úseku regionálnej železničnej dopravy.</w:t>
      </w:r>
    </w:p>
    <w:p w:rsidR="007723F8" w:rsidRPr="004147DC" w:rsidP="007723F8">
      <w:pPr>
        <w:bidi w:val="0"/>
        <w:ind w:firstLine="708"/>
        <w:jc w:val="both"/>
        <w:rPr>
          <w:rFonts w:ascii="Arial Narrow" w:hAnsi="Arial Narrow"/>
          <w:bCs/>
          <w:sz w:val="22"/>
          <w:szCs w:val="22"/>
        </w:rPr>
      </w:pPr>
    </w:p>
    <w:p w:rsidR="00590EEF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4147DC" w:rsidR="007723F8">
        <w:rPr>
          <w:rFonts w:ascii="Arial Narrow" w:hAnsi="Arial Narrow"/>
          <w:sz w:val="22"/>
          <w:szCs w:val="22"/>
        </w:rPr>
        <w:t>Pre úsek zdravotníctva sa uvažuje so sumou 11 195 tis. eur na realizáciu výdavkov kapitálového charakteru.</w:t>
      </w:r>
    </w:p>
    <w:p w:rsidR="007723F8" w:rsidRPr="004147DC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  <w:u w:val="single"/>
        </w:rPr>
      </w:pPr>
      <w:r w:rsidRPr="004147DC">
        <w:rPr>
          <w:rFonts w:ascii="Arial Narrow" w:hAnsi="Arial Narrow"/>
          <w:sz w:val="22"/>
          <w:szCs w:val="22"/>
        </w:rPr>
        <w:tab/>
      </w:r>
    </w:p>
    <w:p w:rsidR="007723F8" w:rsidRPr="004147DC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4147DC">
        <w:rPr>
          <w:rFonts w:ascii="Arial Narrow" w:hAnsi="Arial Narrow"/>
          <w:sz w:val="22"/>
          <w:szCs w:val="22"/>
        </w:rPr>
        <w:t>V kultúrnych zariadeniach sa predpokladá vynaložiť výdavky vo výške 57 554 tis. eur, z ktorých sa bude financovať kultúrna činnosť, a to divadiel, múzeí a galérií, osvetových zariadení, knižníc, hvezdární a ostatných kultúrnych inštitúcií v pôsobnosti VÚC a realizáci</w:t>
      </w:r>
      <w:r w:rsidR="00E27ECE">
        <w:rPr>
          <w:rFonts w:ascii="Arial Narrow" w:hAnsi="Arial Narrow"/>
          <w:sz w:val="22"/>
          <w:szCs w:val="22"/>
        </w:rPr>
        <w:t>a</w:t>
      </w:r>
      <w:r w:rsidRPr="004147DC">
        <w:rPr>
          <w:rFonts w:ascii="Arial Narrow" w:hAnsi="Arial Narrow"/>
          <w:sz w:val="22"/>
          <w:szCs w:val="22"/>
        </w:rPr>
        <w:t xml:space="preserve"> výdavkov kapitálového charakteru.</w:t>
      </w:r>
    </w:p>
    <w:p w:rsidR="007723F8" w:rsidRPr="004147DC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RPr="004147DC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 w:rsidRPr="004147DC">
        <w:rPr>
          <w:rFonts w:ascii="Arial Narrow" w:hAnsi="Arial Narrow"/>
          <w:sz w:val="22"/>
          <w:szCs w:val="22"/>
        </w:rPr>
        <w:t xml:space="preserve">Na úseku školstva na zabezpečenie bežných a kapitálových výdavkov pre stredné školy a školské zariadenia sa predpokladá použiť finančné prostriedky </w:t>
      </w:r>
      <w:r>
        <w:rPr>
          <w:rFonts w:ascii="Arial Narrow" w:hAnsi="Arial Narrow"/>
          <w:sz w:val="22"/>
          <w:szCs w:val="22"/>
        </w:rPr>
        <w:t xml:space="preserve">v roku 2011 </w:t>
      </w:r>
      <w:r w:rsidRPr="004147DC">
        <w:rPr>
          <w:rFonts w:ascii="Arial Narrow" w:hAnsi="Arial Narrow"/>
          <w:sz w:val="22"/>
          <w:szCs w:val="22"/>
        </w:rPr>
        <w:t>vo výške </w:t>
      </w:r>
      <w:r w:rsidR="00C050B2">
        <w:rPr>
          <w:rFonts w:ascii="Arial Narrow" w:hAnsi="Arial Narrow"/>
          <w:sz w:val="22"/>
          <w:szCs w:val="22"/>
        </w:rPr>
        <w:t>501 270</w:t>
      </w:r>
      <w:r w:rsidRPr="004147DC">
        <w:rPr>
          <w:rFonts w:ascii="Arial Narrow" w:hAnsi="Arial Narrow"/>
          <w:sz w:val="22"/>
          <w:szCs w:val="22"/>
        </w:rPr>
        <w:t xml:space="preserve"> tis. eur. Činnosti na úseku školstva budú financované z dotácií poskytnutých z  kapitoly Ministerstva školstva</w:t>
      </w:r>
      <w:r w:rsidR="00E27ECE">
        <w:rPr>
          <w:rFonts w:ascii="Arial Narrow" w:hAnsi="Arial Narrow"/>
          <w:sz w:val="22"/>
          <w:szCs w:val="22"/>
        </w:rPr>
        <w:t>, vedy, výskumu a športu</w:t>
      </w:r>
      <w:r w:rsidRPr="004147DC">
        <w:rPr>
          <w:rFonts w:ascii="Arial Narrow" w:hAnsi="Arial Narrow"/>
          <w:sz w:val="22"/>
          <w:szCs w:val="22"/>
        </w:rPr>
        <w:t xml:space="preserve"> SR v rámci preneseného výkonu štátnej správy a z vlastných príjmov VÚC. Ide o financovanie škôl a školských zariadení – gymnázií, stredných odborných škôl, stredných odborných učilíšť, stredísk praktického vyučovania, združených stredných škôl a zariadení, školských jedální, domovov mládeže, umeleckých škôl, ktoré patria do zriaďovateľskej pôsobnosti VÚC. Z uvedených prostriedkov sa predpokladá aj poskytovanie dotácií zriaďovateľom neštátnych škôl a školských zariadení na financovanie ich činnosti a taktiež podpora športovo talentovanej mládeže stredných škôl.</w:t>
      </w:r>
    </w:p>
    <w:p w:rsidR="007723F8" w:rsidRPr="004147DC" w:rsidP="007723F8">
      <w:pPr>
        <w:bidi w:val="0"/>
        <w:jc w:val="both"/>
        <w:rPr>
          <w:rFonts w:ascii="Arial Narrow" w:hAnsi="Arial Narrow"/>
          <w:sz w:val="22"/>
          <w:szCs w:val="22"/>
        </w:rPr>
      </w:pPr>
      <w:r w:rsidRPr="004147DC">
        <w:rPr>
          <w:rFonts w:ascii="Arial Narrow" w:hAnsi="Arial Narrow"/>
          <w:sz w:val="22"/>
          <w:szCs w:val="22"/>
        </w:rPr>
        <w:t xml:space="preserve"> </w:t>
      </w:r>
    </w:p>
    <w:p w:rsidR="007723F8" w:rsidRPr="004147DC" w:rsidP="007723F8">
      <w:pPr>
        <w:bidi w:val="0"/>
        <w:ind w:firstLine="708"/>
        <w:jc w:val="both"/>
        <w:rPr>
          <w:rFonts w:ascii="Arial Narrow" w:hAnsi="Arial Narrow"/>
          <w:bCs/>
          <w:sz w:val="22"/>
          <w:szCs w:val="22"/>
        </w:rPr>
      </w:pPr>
      <w:r w:rsidRPr="004147DC">
        <w:rPr>
          <w:rFonts w:ascii="Arial Narrow" w:hAnsi="Arial Narrow"/>
          <w:bCs/>
          <w:sz w:val="22"/>
          <w:szCs w:val="22"/>
        </w:rPr>
        <w:t xml:space="preserve">Na úseku sociálneho zabezpečenia sa uvažuje s finančnými prostriedkami v sume 191 748 tis. eur na zabezpečenie financovania pôsobnosti VÚC v uvedenej oblasti. </w:t>
      </w:r>
    </w:p>
    <w:p w:rsidR="007723F8" w:rsidP="007723F8">
      <w:pPr>
        <w:bidi w:val="0"/>
        <w:ind w:firstLine="708"/>
        <w:jc w:val="both"/>
        <w:rPr>
          <w:rFonts w:ascii="Arial Narrow" w:hAnsi="Arial Narrow"/>
          <w:bCs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Vývoj výdavkov podľa jednotlivých úsekov činnosti VÚC sa podľa odhadu Ministerstva financií SR v rokoch 2011 až 2013 v porovnaní so skutočnosťou za roky 2008 a 2009 a  rozpočtom na rok 2010 predpokladá takto:</w:t>
      </w:r>
    </w:p>
    <w:p w:rsidR="007723F8" w:rsidRPr="00AE2D2A" w:rsidP="007723F8">
      <w:pPr>
        <w:bidi w:val="0"/>
        <w:ind w:firstLine="708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Style w:val="TableNormal"/>
        <w:tblW w:w="9197" w:type="dxa"/>
        <w:jc w:val="center"/>
        <w:tblInd w:w="-66" w:type="dxa"/>
        <w:tblCellMar>
          <w:left w:w="70" w:type="dxa"/>
          <w:right w:w="70" w:type="dxa"/>
        </w:tblCellMar>
        <w:tblLook w:val="04A0"/>
      </w:tblPr>
      <w:tblGrid>
        <w:gridCol w:w="3538"/>
        <w:gridCol w:w="953"/>
        <w:gridCol w:w="951"/>
        <w:gridCol w:w="926"/>
        <w:gridCol w:w="943"/>
        <w:gridCol w:w="943"/>
        <w:gridCol w:w="943"/>
      </w:tblGrid>
      <w:tr>
        <w:tblPrEx>
          <w:tblW w:w="9197" w:type="dxa"/>
          <w:jc w:val="center"/>
          <w:tblInd w:w="-6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sz w:val="16"/>
                <w:szCs w:val="16"/>
              </w:rPr>
              <w:t>Funkcia (v tis. eur)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ind w:left="-590" w:firstLine="59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sz w:val="16"/>
                <w:szCs w:val="16"/>
              </w:rPr>
              <w:t>2010 R*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197" w:type="dxa"/>
          <w:jc w:val="center"/>
          <w:tblInd w:w="-6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4147DC">
              <w:rPr>
                <w:rFonts w:ascii="Arial Narrow" w:hAnsi="Arial Narrow"/>
                <w:sz w:val="16"/>
                <w:szCs w:val="16"/>
              </w:rPr>
              <w:t>01 Všeobecné verejné služby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47DC">
              <w:rPr>
                <w:rFonts w:ascii="Arial Narrow" w:hAnsi="Arial Narrow"/>
                <w:sz w:val="16"/>
                <w:szCs w:val="16"/>
              </w:rPr>
              <w:t> 171 894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47DC">
              <w:rPr>
                <w:rFonts w:ascii="Arial Narrow" w:hAnsi="Arial Narrow"/>
                <w:sz w:val="16"/>
                <w:szCs w:val="16"/>
              </w:rPr>
              <w:t> 121 822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47DC">
              <w:rPr>
                <w:rFonts w:ascii="Arial Narrow" w:hAnsi="Arial Narrow"/>
                <w:sz w:val="16"/>
                <w:szCs w:val="16"/>
              </w:rPr>
              <w:t>95 134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47DC">
              <w:rPr>
                <w:rFonts w:ascii="Arial Narrow" w:hAnsi="Arial Narrow"/>
                <w:sz w:val="16"/>
                <w:szCs w:val="16"/>
              </w:rPr>
              <w:t>116 937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47DC">
              <w:rPr>
                <w:rFonts w:ascii="Arial Narrow" w:hAnsi="Arial Narrow"/>
                <w:sz w:val="16"/>
                <w:szCs w:val="16"/>
              </w:rPr>
              <w:t>127 500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47DC">
              <w:rPr>
                <w:rFonts w:ascii="Arial Narrow" w:hAnsi="Arial Narrow"/>
                <w:sz w:val="16"/>
                <w:szCs w:val="16"/>
              </w:rPr>
              <w:t>132 811</w:t>
            </w:r>
          </w:p>
        </w:tc>
      </w:tr>
      <w:tr>
        <w:tblPrEx>
          <w:tblW w:w="9197" w:type="dxa"/>
          <w:jc w:val="center"/>
          <w:tblInd w:w="-6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04 Ekonomická oblasť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217 424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230 262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190 581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242 204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236 950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246 820</w:t>
            </w:r>
          </w:p>
        </w:tc>
      </w:tr>
      <w:tr>
        <w:tblPrEx>
          <w:tblW w:w="9197" w:type="dxa"/>
          <w:jc w:val="center"/>
          <w:tblInd w:w="-6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07 Zdravotníctvo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19 359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11 663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9 958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11 195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12 220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12 729</w:t>
            </w:r>
          </w:p>
        </w:tc>
      </w:tr>
      <w:tr>
        <w:tblPrEx>
          <w:tblW w:w="9197" w:type="dxa"/>
          <w:jc w:val="center"/>
          <w:tblInd w:w="-6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08 Rekreácia, kultúra a náboženstvo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59 125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59 958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60 861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57 554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62 750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65 364</w:t>
            </w:r>
          </w:p>
        </w:tc>
      </w:tr>
      <w:tr>
        <w:tblPrEx>
          <w:tblW w:w="9197" w:type="dxa"/>
          <w:jc w:val="center"/>
          <w:tblInd w:w="-6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09 Vzdelávanie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464 306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511 039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504 625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501 270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534 775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543 551</w:t>
            </w:r>
          </w:p>
        </w:tc>
      </w:tr>
      <w:tr>
        <w:tblPrEx>
          <w:tblW w:w="9197" w:type="dxa"/>
          <w:jc w:val="center"/>
          <w:tblInd w:w="-6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10 Sociálne zabezpečenie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189 780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 199 759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194 018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191 748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209 075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color w:val="000000"/>
                <w:sz w:val="16"/>
                <w:szCs w:val="16"/>
              </w:rPr>
              <w:t>217 783</w:t>
            </w:r>
          </w:p>
        </w:tc>
      </w:tr>
      <w:tr>
        <w:tblPrEx>
          <w:tblW w:w="9197" w:type="dxa"/>
          <w:jc w:val="center"/>
          <w:tblInd w:w="-66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 p o l u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 1 121 888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 1 131 503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1 055 177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1 120 908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1 183 270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7723F8" w:rsidRPr="004147DC" w:rsidP="007E5F4B">
            <w:pPr>
              <w:bidi w:val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147DC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1 219 058</w:t>
            </w:r>
          </w:p>
        </w:tc>
      </w:tr>
    </w:tbl>
    <w:p w:rsidR="007723F8" w:rsidRPr="004147DC" w:rsidP="007723F8">
      <w:pPr>
        <w:bidi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*</w:t>
      </w:r>
      <w:r w:rsidRPr="009E4B36">
        <w:rPr>
          <w:rFonts w:ascii="Arial Narrow" w:hAnsi="Arial Narrow"/>
          <w:sz w:val="16"/>
          <w:szCs w:val="16"/>
        </w:rPr>
        <w:t>Vzhľadom na to, že nie sú k dispozícií aktuálne údaje, uvádza sa rozpočet za rok 2010.</w:t>
      </w: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Vývoj príjmovej a výdavkovej časti rozpočtu VÚC na roky 2011 až 2013 v porovnaní s očakávanou skutočnosťou na rok 2010 a so skutočnosťou v rokoch 2008 a 2009 je nasledovný: </w:t>
      </w: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p w:rsidR="007723F8" w:rsidP="007723F8">
      <w:pPr>
        <w:pStyle w:val="BodyText"/>
        <w:bidi w:val="0"/>
        <w:ind w:firstLine="708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9221" w:type="dxa"/>
        <w:jc w:val="center"/>
        <w:tblInd w:w="18" w:type="dxa"/>
        <w:tblCellMar>
          <w:left w:w="70" w:type="dxa"/>
          <w:right w:w="70" w:type="dxa"/>
        </w:tblCellMar>
        <w:tblLook w:val="04A0"/>
      </w:tblPr>
      <w:tblGrid>
        <w:gridCol w:w="3596"/>
        <w:gridCol w:w="960"/>
        <w:gridCol w:w="960"/>
        <w:gridCol w:w="915"/>
        <w:gridCol w:w="960"/>
        <w:gridCol w:w="960"/>
        <w:gridCol w:w="870"/>
      </w:tblGrid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7723F8" w:rsidRPr="00EF1280" w:rsidP="007E5F4B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F1280">
              <w:rPr>
                <w:rFonts w:ascii="Arial Narrow" w:hAnsi="Arial Narrow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Príjmy VÚC  spolu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1 195 199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1 178 786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1 183 226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1 120 908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1 183 270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1 225 737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108"/>
          <w:jc w:val="center"/>
        </w:trPr>
        <w:tc>
          <w:tcPr>
            <w:tcW w:w="9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 xml:space="preserve">  daňové príjmy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508 355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529 298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451 789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531 729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606 154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652 545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  nedaňové príjmy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94 928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71 537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75 337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77 505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83 262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87 400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 xml:space="preserve">  granty a transfery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392 233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433 627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514 648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436 474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409 567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411 860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  zo splátok tuzemských úverov, pôžičiek a z predaja majetkový. Účastí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  zostatok prostr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. 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z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>predch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. </w:t>
            </w:r>
            <w:r w:rsidRPr="00EF1280">
              <w:rPr>
                <w:rFonts w:ascii="Arial Narrow" w:hAnsi="Arial Narrow"/>
                <w:color w:val="000000"/>
                <w:sz w:val="16"/>
                <w:szCs w:val="16"/>
              </w:rPr>
              <w:t xml:space="preserve"> rokov a prevod prostriedkov z peňažných fondov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77 013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78 881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62 469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34 910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51 093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24 141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  prijaté úvery 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122 624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65 410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77 987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40 290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33 194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49 791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Výdavky VÚC  spolu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1 121 888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1 134 503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1 173 632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1 120 908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1 183 270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1 219 057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94"/>
          <w:jc w:val="center"/>
        </w:trPr>
        <w:tc>
          <w:tcPr>
            <w:tcW w:w="9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  mzdy a 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326 447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346 818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359 765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351 045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357 020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374 090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 xml:space="preserve">  tovary a služby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228 083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223 306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229 654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254 005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256 565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265 213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  bežné transfery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350 978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388 843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344 591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347 897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370 175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373 175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 xml:space="preserve">  splácanie úrokov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6 721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7 364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7 958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8 278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14 003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15 060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  kapitálové výdavky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196 220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158 886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222 000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145 741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168 246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172 255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 xml:space="preserve">  úvery a účasť na majetku (FO)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1 521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664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 xml:space="preserve"> splácanie istiny (FO)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12 531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7 765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13 278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16 597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18 600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Celkový prebytok VÚC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73 311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44 283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9 594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6 680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-186 245 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-135 038 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-131 788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-61 258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-67 026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-54 668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107"/>
          <w:jc w:val="center"/>
        </w:trPr>
        <w:tc>
          <w:tcPr>
            <w:tcW w:w="9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toho:</w:t>
            </w: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  vylúčenie príjmových FO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-199 682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-144 324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-141 452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-75 200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-84 287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-73 932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▪ </w:t>
            </w: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  vylúčenie výdavkových FO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 xml:space="preserve">13 437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9 286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9 664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13 942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17 261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color w:val="000000"/>
                <w:sz w:val="16"/>
                <w:szCs w:val="16"/>
              </w:rPr>
              <w:t>19 264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zahrnutie časového rozlíšenia</w:t>
            </w:r>
            <w:r w:rsidRPr="0025344A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a o</w:t>
            </w:r>
            <w:r w:rsidRPr="0025344A">
              <w:rPr>
                <w:rFonts w:ascii="Arial Narrow" w:hAnsi="Arial Narrow" w:cs="Arial"/>
                <w:b/>
                <w:i/>
                <w:sz w:val="16"/>
                <w:szCs w:val="16"/>
              </w:rPr>
              <w:t>statné úpravy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57 425</w:t>
            </w: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-3</w:t>
            </w:r>
            <w:r w:rsidR="00F63915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3 378</w:t>
            </w: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1 194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1 230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1 266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7723F8" w:rsidRPr="00A0651F" w:rsidP="007E5F4B">
            <w:pPr>
              <w:bidi w:val="0"/>
              <w:ind w:firstLine="320" w:firstLineChars="20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1 304</w:t>
            </w:r>
          </w:p>
        </w:tc>
      </w:tr>
      <w:tr>
        <w:tblPrEx>
          <w:tblW w:w="9221" w:type="dxa"/>
          <w:jc w:val="center"/>
          <w:tblInd w:w="1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Schodok  VÚC  (ESA 95)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-55 510*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="00F63915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-124 133</w:t>
            </w: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*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- 121 000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-60 028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-65 760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extDirection w:val="lrTb"/>
            <w:vAlign w:val="center"/>
          </w:tcPr>
          <w:p w:rsidR="007723F8" w:rsidRPr="00A0651F" w:rsidP="007E5F4B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-46 684</w:t>
            </w:r>
          </w:p>
        </w:tc>
      </w:tr>
    </w:tbl>
    <w:p w:rsidR="007723F8" w:rsidRPr="00DC3E63" w:rsidP="007723F8">
      <w:pPr>
        <w:bidi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*Schodok po započítaní vplyvu zmeny stavu záväzkov a pohľadávok v roku 2008 v sume 57 425 tis. eur a v roku 2009 v sume 3</w:t>
      </w:r>
      <w:r w:rsidR="00F63915">
        <w:rPr>
          <w:rFonts w:ascii="Arial Narrow" w:hAnsi="Arial Narrow"/>
          <w:sz w:val="16"/>
          <w:szCs w:val="16"/>
        </w:rPr>
        <w:t>3 378</w:t>
      </w:r>
      <w:r>
        <w:rPr>
          <w:rFonts w:ascii="Arial Narrow" w:hAnsi="Arial Narrow"/>
          <w:sz w:val="16"/>
          <w:szCs w:val="16"/>
        </w:rPr>
        <w:t xml:space="preserve"> tis. eur.</w:t>
      </w: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Celkové príjmy VÚC v roku 2011 oproti očakávanej skutočnosti na rok 2010 poklesli o 5,3 %, z toho granty a transfery poklesli  o 15,2 % a príjmové finančné operácie o 46,8 %, v daňových príjmoch došlo k nárastu </w:t>
      </w:r>
      <w:r w:rsidR="008A728F"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 xml:space="preserve">o 17,7 % a nedaňových príjmoch o 2,9 %.  </w:t>
      </w: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roku 2012 sa oproti roku 2011 v rozpočtoch VÚC v príjmoch očakáva nárast o 5,6 % predovšetkým z dôvodu nárastu daňových príjmov. V roku 2013 oproti roku 2012 sa v príjmovej časti rozpočtu očakáva nárast o 3,6 %. Na  náraste príjmovej časti rozpočtu sa podieľajú najmä daňové príjmy, ktorých vyššie výnosy, a tým aj ich vyššie smerovanie do rozpočtov VÚC sa očakáva v roku 2012 oproti roku 2011 o 14,0 % a v roku 2013 oproti roku </w:t>
      </w:r>
      <w:r w:rsidRPr="00C050B2">
        <w:rPr>
          <w:rFonts w:ascii="Arial Narrow" w:hAnsi="Arial Narrow"/>
          <w:sz w:val="22"/>
          <w:szCs w:val="22"/>
        </w:rPr>
        <w:t xml:space="preserve">2012 o 7,7 %. Bližšie informácie o prognóze jednotlivých druhov daňových príjmov sú uvedené v časti </w:t>
      </w:r>
      <w:r w:rsidRPr="00C050B2" w:rsidR="00C050B2">
        <w:rPr>
          <w:rFonts w:ascii="Arial Narrow" w:hAnsi="Arial Narrow"/>
          <w:sz w:val="22"/>
          <w:szCs w:val="22"/>
        </w:rPr>
        <w:t>3 materiálu</w:t>
      </w:r>
      <w:r w:rsidRPr="00C050B2">
        <w:rPr>
          <w:rFonts w:ascii="Arial Narrow" w:hAnsi="Arial Narrow"/>
          <w:sz w:val="22"/>
          <w:szCs w:val="22"/>
        </w:rPr>
        <w:t>.</w:t>
      </w:r>
    </w:p>
    <w:p w:rsidR="007723F8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23F8" w:rsidRPr="000729CF" w:rsidP="007723F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 výdavkovej časti rozpočtu VÚC sa očakávajú v roku 2011 nižšie výdavky oproti roku 2010 o 4,5 % najmä z dôvodu predpokladaného poklesu kapitálových výdavkov. V roku 2012 sa oproti roku 2011 očakáva nárast o 5,6 % a v roku 2013 v porovnaní s rokom 2012 o 3,0 %.</w:t>
      </w:r>
    </w:p>
    <w:p w:rsidR="00314F16" w:rsidRPr="00314F16" w:rsidP="0084667A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84667A" w:rsidRPr="004F4646" w:rsidP="0084667A">
      <w:pPr>
        <w:bidi w:val="0"/>
        <w:jc w:val="both"/>
        <w:rPr>
          <w:rFonts w:ascii="Arial Narrow" w:hAnsi="Arial Narrow" w:cs="Arial"/>
          <w:b/>
          <w:bCs/>
        </w:rPr>
      </w:pPr>
      <w:r w:rsidRPr="00423C9E">
        <w:rPr>
          <w:rFonts w:ascii="Arial Narrow" w:hAnsi="Arial Narrow" w:cs="Arial"/>
          <w:b/>
          <w:bCs/>
        </w:rPr>
        <w:t>2. Sociálna poisťovňa</w:t>
      </w:r>
    </w:p>
    <w:p w:rsidR="0084667A" w:rsidP="0084667A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061321" w:rsidP="00061321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="006B0874">
        <w:rPr>
          <w:rFonts w:ascii="Arial Narrow" w:hAnsi="Arial Narrow" w:cs="Arial"/>
          <w:sz w:val="22"/>
          <w:szCs w:val="22"/>
        </w:rPr>
        <w:tab/>
      </w:r>
      <w:r w:rsidRPr="007009B7">
        <w:rPr>
          <w:rFonts w:ascii="Arial Narrow" w:hAnsi="Arial Narrow" w:cs="Arial"/>
          <w:sz w:val="22"/>
          <w:szCs w:val="22"/>
        </w:rPr>
        <w:t xml:space="preserve">Návrh rozpočtu Sociálnej poisťovne v roku 2011 vychádza z očakávanej skutočnosti Sociálnej poisťovne v roku 2010, z aktualizovanej makroekonomickej prognózy zo septembra 2010 a pripravovanej novely zákona o sociálnom poistení. Vývoj príjmovej a výdavkovej časti rozpočtu </w:t>
      </w:r>
      <w:r>
        <w:rPr>
          <w:rFonts w:ascii="Arial Narrow" w:hAnsi="Arial Narrow" w:cs="Arial"/>
          <w:sz w:val="22"/>
          <w:szCs w:val="22"/>
        </w:rPr>
        <w:t>Sociálnej poisťovne</w:t>
      </w:r>
      <w:r w:rsidRPr="007009B7">
        <w:rPr>
          <w:rFonts w:ascii="Arial Narrow" w:hAnsi="Arial Narrow" w:cs="Arial"/>
          <w:sz w:val="22"/>
          <w:szCs w:val="22"/>
        </w:rPr>
        <w:t xml:space="preserve"> na roky 2011 až 2013 je v porovnaní s predchádzajúcimi rokmi nasledovný:</w:t>
      </w:r>
    </w:p>
    <w:p w:rsidR="00115721" w:rsidP="00061321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115721" w:rsidP="00061321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061321" w:rsidP="00061321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7210A1" w:rsidP="00061321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F63915" w:rsidP="00061321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314F16" w:rsidP="00061321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CE3A37" w:rsidP="00061321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651768" w:rsidRPr="00CB1E8E" w:rsidP="00061321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Normal"/>
        <w:tblW w:w="9175" w:type="dxa"/>
        <w:jc w:val="center"/>
        <w:tblInd w:w="-780" w:type="dxa"/>
        <w:tblCellMar>
          <w:left w:w="70" w:type="dxa"/>
          <w:right w:w="70" w:type="dxa"/>
        </w:tblCellMar>
        <w:tblLook w:val="04A0"/>
      </w:tblPr>
      <w:tblGrid>
        <w:gridCol w:w="4043"/>
        <w:gridCol w:w="931"/>
        <w:gridCol w:w="840"/>
        <w:gridCol w:w="840"/>
        <w:gridCol w:w="840"/>
        <w:gridCol w:w="841"/>
        <w:gridCol w:w="840"/>
      </w:tblGrid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5721" w:rsidRPr="007009B7" w:rsidP="00370164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extDirection w:val="lrTb"/>
            <w:vAlign w:val="center"/>
          </w:tcPr>
          <w:p w:rsidR="00115721" w:rsidRPr="007009B7" w:rsidP="00370164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Príjmy Sociálnej poisťovne spolu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 </w:t>
            </w: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8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64 808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 248 049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6 414 365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6 735 522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7 214 736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extDirection w:val="lrTb"/>
            <w:vAlign w:val="center"/>
          </w:tcPr>
          <w:p w:rsidR="00115721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7 689 646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976F12" w:rsidRPr="00A0651F" w:rsidP="00370164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  <w:tc>
          <w:tcPr>
            <w:tcW w:w="931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▪   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daňové príjmy (príjmy z poistného)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 707 492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 515 439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4 394 150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4 707 783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5 026 376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5 395 118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z toho:  ekonomicky aktívne osoby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4 166 767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3 992 028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4 025 811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4 367 869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4 700 913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5 060 935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 xml:space="preserve"> prevod za výstup z II. piliera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132 294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108 778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 w:rsidRPr="007009B7" w:rsidR="00005901">
              <w:rPr>
                <w:rFonts w:ascii="Arial Narrow" w:hAnsi="Arial Narrow" w:cs="Arial"/>
                <w:sz w:val="16"/>
                <w:szCs w:val="16"/>
              </w:rPr>
              <w:t>Š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tát</w:t>
            </w:r>
            <w:r w:rsidR="00005901">
              <w:rPr>
                <w:rFonts w:ascii="Arial Narrow" w:hAnsi="Arial Narrow" w:cs="Arial"/>
                <w:sz w:val="16"/>
                <w:szCs w:val="16"/>
              </w:rPr>
              <w:t xml:space="preserve"> (poistenci štátu)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146 840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169 722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163 173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167 984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169 940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178 452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▪   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nedaňové príjmy (úroky a iné príjmy)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 xml:space="preserve">22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3 483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14 474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14 821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15 222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15 574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▪  </w:t>
            </w:r>
            <w:r w:rsidRPr="007009B7">
              <w:rPr>
                <w:rFonts w:ascii="Arial Narrow" w:hAnsi="Arial Narrow" w:cs="Arial"/>
                <w:b/>
                <w:bCs/>
                <w:sz w:val="16"/>
                <w:szCs w:val="16"/>
              </w:rPr>
              <w:t> granty a transfery – ŠFA (ŠR)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567 616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921 985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1 567 217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1 608 733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1 672 696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1 717 805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z toho:  na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 xml:space="preserve"> krytie deficitu účtu DP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567 616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875 300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1 567 217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1 608 733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1 672 696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1 717 805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transfer z ESF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▪   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zostatok prostr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 xml:space="preserve"> z predch.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 xml:space="preserve">rokov (FO)           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67 281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97 142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419 857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384 69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480 620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540 954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▪  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 xml:space="preserve">úver z garančného poistenia (FO)     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18 668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19 492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19 822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20 195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Výdavky Sociálnej poisťovne </w:t>
            </w: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spolu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 </w:t>
            </w: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69 723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 818 675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6 029 67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6 254 902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6 673 782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976F12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7 108 68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6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AF46CD" w:rsidRPr="00A0651F" w:rsidP="00370164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  <w:tc>
          <w:tcPr>
            <w:tcW w:w="931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▪    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výdavky poistenia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78 815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 671 793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5 830 44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6 069 3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6 484 172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6 911 292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▪    výdavky správneho fondu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157 532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146 882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150 839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135 471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136 742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141 302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009B7">
              <w:rPr>
                <w:rFonts w:ascii="Arial Narrow" w:hAnsi="Arial Narrow" w:cs="Arial"/>
                <w:sz w:val="16"/>
                <w:szCs w:val="16"/>
              </w:rPr>
              <w:t>▪    úver poskytnutý z garančného fondu  (FO)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33 37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46 95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48 387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50 082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52 868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56 09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Celková bilancia Sociálnej poisťovne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7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95 084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29 374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384 69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480 620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540 954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580 9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60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-533 904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-750 189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-390 138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-354 104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-447 574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-505 057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 xml:space="preserve">   ▪    vylúčenie príjmových FO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-5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 xml:space="preserve">7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797 142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-438 525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-404 186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-500 442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-561 149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sz w:val="16"/>
                <w:szCs w:val="16"/>
              </w:rPr>
              <w:t xml:space="preserve">   ▪    vylúčenie výdavkových FO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33 37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46 95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48 387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50 082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52 868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56 09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časové rozlíšenie  príjmov z poistného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-6 041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="00423C9E">
              <w:rPr>
                <w:rFonts w:ascii="Arial Narrow" w:hAnsi="Arial Narrow"/>
                <w:color w:val="000000"/>
                <w:sz w:val="16"/>
                <w:szCs w:val="16"/>
              </w:rPr>
              <w:t>-11 277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8 374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17 130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19 829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color w:val="000000"/>
                <w:sz w:val="16"/>
                <w:szCs w:val="16"/>
              </w:rPr>
              <w:t>19 851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7009B7" w:rsidR="0000590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K</w:t>
            </w: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ap</w:t>
            </w:r>
            <w:r w:rsidR="0000590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itálové </w:t>
            </w: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transfery z dôvodu predp</w:t>
            </w:r>
            <w:r w:rsidR="0000590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o</w:t>
            </w: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kladanej</w:t>
            </w:r>
            <w:r w:rsidR="0000590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nevymož</w:t>
            </w:r>
            <w:r w:rsidR="0000590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iteľnosti </w:t>
            </w: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pohľadávok </w:t>
            </w:r>
            <w:r w:rsidR="0000590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garančného poistenia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-29 719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-30 590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-33 046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F90DF1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-35 897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AF46CD" w:rsidRPr="00F90DF1" w:rsidP="00370164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90DF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90DF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35 883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90DF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15 810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90DF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90DF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90DF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46CD" w:rsidRPr="00F90DF1" w:rsidP="00370164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90DF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9175" w:type="dxa"/>
          <w:jc w:val="center"/>
          <w:tblInd w:w="-780" w:type="dxa"/>
          <w:tblCellMar>
            <w:left w:w="70" w:type="dxa"/>
            <w:right w:w="70" w:type="dxa"/>
          </w:tblCellMar>
          <w:tblLook w:val="04A0"/>
        </w:tblPrEx>
        <w:trPr>
          <w:trHeight w:val="284"/>
          <w:jc w:val="center"/>
        </w:trPr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7009B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Prebytok (+) /schodok (-) SP (ESA 95)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91 044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3</w:t>
            </w:r>
            <w:r w:rsidR="00423C9E">
              <w:rPr>
                <w:rFonts w:ascii="Arial Narrow" w:hAnsi="Arial Narrow"/>
                <w:b/>
                <w:color w:val="000000"/>
                <w:sz w:val="16"/>
                <w:szCs w:val="16"/>
              </w:rPr>
              <w:t>16 282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-26 789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113 05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80 163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AF46CD" w:rsidRPr="007009B7" w:rsidP="00370164">
            <w:pPr>
              <w:bidi w:val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7009B7">
              <w:rPr>
                <w:rFonts w:ascii="Arial Narrow" w:hAnsi="Arial Narrow"/>
                <w:b/>
                <w:color w:val="000000"/>
                <w:sz w:val="16"/>
                <w:szCs w:val="16"/>
              </w:rPr>
              <w:t>59 85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7</w:t>
            </w:r>
          </w:p>
        </w:tc>
      </w:tr>
    </w:tbl>
    <w:p w:rsidR="00061321" w:rsidP="00061321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061321" w:rsidRPr="007009B7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Celkové príjmy na rok</w:t>
      </w:r>
      <w:r w:rsidRPr="007009B7">
        <w:rPr>
          <w:rFonts w:ascii="Arial Narrow" w:hAnsi="Arial Narrow" w:cs="Arial"/>
          <w:sz w:val="22"/>
          <w:szCs w:val="22"/>
        </w:rPr>
        <w:t xml:space="preserve"> 2011 sa </w:t>
      </w:r>
      <w:r>
        <w:rPr>
          <w:rFonts w:ascii="Arial Narrow" w:hAnsi="Arial Narrow" w:cs="Arial"/>
          <w:sz w:val="22"/>
          <w:szCs w:val="22"/>
        </w:rPr>
        <w:t>navrhujú</w:t>
      </w:r>
      <w:r w:rsidRPr="007009B7">
        <w:rPr>
          <w:rFonts w:ascii="Arial Narrow" w:hAnsi="Arial Narrow" w:cs="Arial"/>
          <w:sz w:val="22"/>
          <w:szCs w:val="22"/>
        </w:rPr>
        <w:t xml:space="preserve"> v sume </w:t>
      </w:r>
      <w:r w:rsidRPr="007009B7">
        <w:rPr>
          <w:rFonts w:ascii="Arial Narrow" w:hAnsi="Arial Narrow" w:cs="Arial"/>
          <w:bCs/>
          <w:sz w:val="22"/>
          <w:szCs w:val="22"/>
        </w:rPr>
        <w:t xml:space="preserve">6,74 mld. eur, čo oproti očakávanej skutočnosti </w:t>
      </w:r>
      <w:r w:rsidR="007210A1">
        <w:rPr>
          <w:rFonts w:ascii="Arial Narrow" w:hAnsi="Arial Narrow" w:cs="Arial"/>
          <w:bCs/>
          <w:sz w:val="22"/>
          <w:szCs w:val="22"/>
        </w:rPr>
        <w:t>na</w:t>
      </w:r>
      <w:r w:rsidRPr="007009B7">
        <w:rPr>
          <w:rFonts w:ascii="Arial Narrow" w:hAnsi="Arial Narrow" w:cs="Arial"/>
          <w:bCs/>
          <w:sz w:val="22"/>
          <w:szCs w:val="22"/>
        </w:rPr>
        <w:t xml:space="preserve"> rok 2010 predstavuje nárast o 5,00</w:t>
      </w:r>
      <w:r w:rsidR="005B48B6">
        <w:rPr>
          <w:rFonts w:ascii="Arial Narrow" w:hAnsi="Arial Narrow" w:cs="Arial"/>
          <w:bCs/>
          <w:sz w:val="22"/>
          <w:szCs w:val="22"/>
        </w:rPr>
        <w:t xml:space="preserve"> </w:t>
      </w:r>
      <w:r w:rsidRPr="007009B7">
        <w:rPr>
          <w:rFonts w:ascii="Arial Narrow" w:hAnsi="Arial Narrow" w:cs="Arial"/>
          <w:bCs/>
          <w:sz w:val="22"/>
          <w:szCs w:val="22"/>
        </w:rPr>
        <w:t>%</w:t>
      </w:r>
      <w:r>
        <w:rPr>
          <w:rFonts w:ascii="Arial Narrow" w:hAnsi="Arial Narrow" w:cs="Arial"/>
          <w:bCs/>
          <w:sz w:val="22"/>
          <w:szCs w:val="22"/>
        </w:rPr>
        <w:t>. Návrh</w:t>
      </w:r>
      <w:r w:rsidRPr="007009B7">
        <w:rPr>
          <w:rFonts w:ascii="Arial Narrow" w:hAnsi="Arial Narrow" w:cs="Arial"/>
          <w:sz w:val="22"/>
          <w:szCs w:val="22"/>
        </w:rPr>
        <w:t xml:space="preserve"> premieta očakávaný prevod finančných prostriedkov z roku 2010 vo výške 385 mil. eur. Objemovo najväčšiu položku  predstavujú daňové príjmy, ktorých podiel na celkových príjmoch v sledovanom období predstavuje cca 70</w:t>
      </w:r>
      <w:r w:rsidR="005B48B6">
        <w:rPr>
          <w:rFonts w:ascii="Arial Narrow" w:hAnsi="Arial Narrow" w:cs="Arial"/>
          <w:sz w:val="22"/>
          <w:szCs w:val="22"/>
        </w:rPr>
        <w:t xml:space="preserve"> </w:t>
      </w:r>
      <w:r w:rsidRPr="007009B7">
        <w:rPr>
          <w:rFonts w:ascii="Arial Narrow" w:hAnsi="Arial Narrow" w:cs="Arial"/>
          <w:sz w:val="22"/>
          <w:szCs w:val="22"/>
        </w:rPr>
        <w:t>%. Tieto príjmy zahŕňajú príjmy z poistného od ekonomicky aktívnych osôb, poistné platené štátom na starobné poistenie, invalidné poistenie a poistné do rezervného fondu solidarity za zákonom definovanú skupinu poistencov.</w:t>
      </w:r>
    </w:p>
    <w:p w:rsidR="00061321" w:rsidRPr="007009B7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061321" w:rsidRPr="007009B7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7009B7">
        <w:rPr>
          <w:rFonts w:ascii="Arial Narrow" w:hAnsi="Arial Narrow" w:cs="Arial"/>
          <w:sz w:val="22"/>
          <w:szCs w:val="22"/>
        </w:rPr>
        <w:t>Po zohľadnení demografického vývoja obyvateľstva, už platnej a pripravovanej legislatívy sa predpokladá výška poistného plateného štátom v roku 2011 v sume 168 mil. eur</w:t>
      </w:r>
      <w:r>
        <w:rPr>
          <w:rFonts w:ascii="Arial Narrow" w:hAnsi="Arial Narrow" w:cs="Arial"/>
          <w:sz w:val="22"/>
          <w:szCs w:val="22"/>
        </w:rPr>
        <w:t>, čo oproti očakávanej skutočnosti pre rok 2010 predstavuje nárast o 2,95</w:t>
      </w:r>
      <w:r w:rsidR="005B48B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%</w:t>
      </w:r>
      <w:r w:rsidRPr="007009B7">
        <w:rPr>
          <w:rFonts w:ascii="Arial Narrow" w:hAnsi="Arial Narrow" w:cs="Arial"/>
          <w:sz w:val="22"/>
          <w:szCs w:val="22"/>
        </w:rPr>
        <w:t>.</w:t>
      </w:r>
    </w:p>
    <w:p w:rsidR="00061321" w:rsidRPr="007009B7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061321" w:rsidRPr="007009B7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7009B7">
        <w:rPr>
          <w:rFonts w:ascii="Arial Narrow" w:hAnsi="Arial Narrow" w:cs="Arial"/>
          <w:sz w:val="22"/>
          <w:szCs w:val="22"/>
        </w:rPr>
        <w:t xml:space="preserve"> Na krytie deficitov základného fondu starobného poistenia sa predpokladá poskytnutie prostriedkov zo štátneho rozpočtu v sume 1,61 mld. eur v roku 2011, v roku 2012 v sume 1,67 mld. eur a v roku 2013 v sume 1,72 mld. eur.</w:t>
      </w:r>
    </w:p>
    <w:p w:rsidR="00061321" w:rsidRPr="007009B7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061321" w:rsidRPr="007009B7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Celkové výdavky na rok</w:t>
      </w:r>
      <w:r w:rsidRPr="007009B7">
        <w:rPr>
          <w:rFonts w:ascii="Arial Narrow" w:hAnsi="Arial Narrow" w:cs="Arial"/>
          <w:sz w:val="22"/>
          <w:szCs w:val="22"/>
        </w:rPr>
        <w:t xml:space="preserve"> 2011 sa </w:t>
      </w:r>
      <w:r>
        <w:rPr>
          <w:rFonts w:ascii="Arial Narrow" w:hAnsi="Arial Narrow" w:cs="Arial"/>
          <w:sz w:val="22"/>
          <w:szCs w:val="22"/>
        </w:rPr>
        <w:t>navrhujú</w:t>
      </w:r>
      <w:r w:rsidRPr="007009B7">
        <w:rPr>
          <w:rFonts w:ascii="Arial Narrow" w:hAnsi="Arial Narrow" w:cs="Arial"/>
          <w:sz w:val="22"/>
          <w:szCs w:val="22"/>
        </w:rPr>
        <w:t xml:space="preserve"> v sume 6,25 mld. eur, </w:t>
      </w:r>
      <w:r w:rsidRPr="007009B7">
        <w:rPr>
          <w:rFonts w:ascii="Arial Narrow" w:hAnsi="Arial Narrow" w:cs="Arial"/>
          <w:bCs/>
          <w:sz w:val="22"/>
          <w:szCs w:val="22"/>
        </w:rPr>
        <w:t>čo oproti očakávanej skutočnosti pre rok 2010 predstavuje nárast o 3,74 %</w:t>
      </w:r>
      <w:r>
        <w:rPr>
          <w:rFonts w:ascii="Arial Narrow" w:hAnsi="Arial Narrow" w:cs="Arial"/>
          <w:bCs/>
          <w:sz w:val="22"/>
          <w:szCs w:val="22"/>
        </w:rPr>
        <w:t>. Premietnutá je</w:t>
      </w:r>
      <w:r w:rsidRPr="007009B7">
        <w:rPr>
          <w:rFonts w:ascii="Arial Narrow" w:hAnsi="Arial Narrow" w:cs="Arial"/>
          <w:sz w:val="22"/>
          <w:szCs w:val="22"/>
        </w:rPr>
        <w:t xml:space="preserve"> valorizácia dôchodkov o 1,8 % s tým, že výška valorizácie dôchodkov od 1. januára 2011 bola stanovená podľa mechanizmu, keď sa na polročnej báze zohľadňuje miera inflácie a priemerná mesačná mzda. V roku 2012 a 2013 sa už valorizácia dôchodkov zrealizuje jednotnou pevnou sumou v závislosti od priemerného medziročného rastu spotrebiteľských cien vo vzťahu k priemernej sume starobného dôchodku.</w:t>
      </w:r>
    </w:p>
    <w:p w:rsidR="00061321" w:rsidRPr="007009B7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061321" w:rsidRPr="007009B7" w:rsidP="00061321">
      <w:pPr>
        <w:bidi w:val="0"/>
        <w:jc w:val="both"/>
        <w:rPr>
          <w:rFonts w:ascii="Arial Narrow" w:hAnsi="Arial Narrow" w:cs="Arial"/>
          <w:sz w:val="22"/>
          <w:szCs w:val="22"/>
        </w:rPr>
      </w:pPr>
      <w:r w:rsidRPr="007009B7">
        <w:rPr>
          <w:rFonts w:ascii="Arial Narrow" w:hAnsi="Arial Narrow" w:cs="Arial"/>
          <w:sz w:val="22"/>
          <w:szCs w:val="22"/>
        </w:rPr>
        <w:tab/>
        <w:t xml:space="preserve">Pri návrhu rozpočtu správneho fondu </w:t>
      </w:r>
      <w:r>
        <w:rPr>
          <w:rFonts w:ascii="Arial Narrow" w:hAnsi="Arial Narrow" w:cs="Arial"/>
          <w:sz w:val="22"/>
          <w:szCs w:val="22"/>
        </w:rPr>
        <w:t xml:space="preserve">na rok 2011 </w:t>
      </w:r>
      <w:r w:rsidRPr="007009B7">
        <w:rPr>
          <w:rFonts w:ascii="Arial Narrow" w:hAnsi="Arial Narrow" w:cs="Arial"/>
          <w:sz w:val="22"/>
          <w:szCs w:val="22"/>
        </w:rPr>
        <w:t xml:space="preserve">sa vychádzalo z pripravovanej legislatívnej úpravy, </w:t>
      </w:r>
      <w:r>
        <w:rPr>
          <w:rFonts w:ascii="Arial Narrow" w:hAnsi="Arial Narrow" w:cs="Arial"/>
          <w:sz w:val="22"/>
          <w:szCs w:val="22"/>
        </w:rPr>
        <w:t>kde dochádza k zníženiu tvorby správneho fondu z poistného z 2,9</w:t>
      </w:r>
      <w:r w:rsidR="005B48B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% na</w:t>
      </w:r>
      <w:r w:rsidRPr="007009B7">
        <w:rPr>
          <w:rFonts w:ascii="Arial Narrow" w:hAnsi="Arial Narrow" w:cs="Arial"/>
          <w:sz w:val="22"/>
          <w:szCs w:val="22"/>
        </w:rPr>
        <w:t xml:space="preserve"> 2,5 %. </w:t>
      </w:r>
    </w:p>
    <w:p w:rsidR="00061321" w:rsidRPr="007009B7" w:rsidP="00061321">
      <w:pPr>
        <w:pStyle w:val="BodyTextIndent2"/>
        <w:tabs>
          <w:tab w:val="left" w:pos="0"/>
        </w:tabs>
        <w:bidi w:val="0"/>
        <w:spacing w:after="0" w:line="240" w:lineRule="auto"/>
        <w:ind w:left="0" w:firstLine="709"/>
        <w:jc w:val="both"/>
        <w:rPr>
          <w:rFonts w:ascii="Arial Narrow" w:hAnsi="Arial Narrow" w:cs="Arial"/>
          <w:sz w:val="22"/>
          <w:szCs w:val="22"/>
        </w:rPr>
      </w:pPr>
      <w:r w:rsidRPr="007009B7">
        <w:rPr>
          <w:rFonts w:ascii="Arial Narrow" w:hAnsi="Arial Narrow" w:cs="Arial"/>
          <w:sz w:val="22"/>
          <w:szCs w:val="22"/>
        </w:rPr>
        <w:t xml:space="preserve">Celkový </w:t>
      </w:r>
      <w:r>
        <w:rPr>
          <w:rFonts w:ascii="Arial Narrow" w:hAnsi="Arial Narrow" w:cs="Arial"/>
          <w:sz w:val="22"/>
          <w:szCs w:val="22"/>
        </w:rPr>
        <w:t xml:space="preserve">hotovostný </w:t>
      </w:r>
      <w:r w:rsidRPr="007009B7">
        <w:rPr>
          <w:rFonts w:ascii="Arial Narrow" w:hAnsi="Arial Narrow" w:cs="Arial"/>
          <w:sz w:val="22"/>
          <w:szCs w:val="22"/>
        </w:rPr>
        <w:t xml:space="preserve">prebytok </w:t>
      </w:r>
      <w:r>
        <w:rPr>
          <w:rFonts w:ascii="Arial Narrow" w:hAnsi="Arial Narrow" w:cs="Arial"/>
          <w:sz w:val="22"/>
          <w:szCs w:val="22"/>
        </w:rPr>
        <w:t xml:space="preserve">Sociálnej poisťovne </w:t>
      </w:r>
      <w:r w:rsidRPr="007009B7">
        <w:rPr>
          <w:rFonts w:ascii="Arial Narrow" w:hAnsi="Arial Narrow" w:cs="Arial"/>
          <w:sz w:val="22"/>
          <w:szCs w:val="22"/>
        </w:rPr>
        <w:t xml:space="preserve">sa v roku 2011 predpokladá vo výške </w:t>
      </w:r>
      <w:r>
        <w:rPr>
          <w:rFonts w:ascii="Arial Narrow" w:hAnsi="Arial Narrow" w:cs="Arial"/>
          <w:sz w:val="22"/>
          <w:szCs w:val="22"/>
        </w:rPr>
        <w:t>481</w:t>
      </w:r>
      <w:r w:rsidRPr="007009B7">
        <w:rPr>
          <w:rFonts w:ascii="Arial Narrow" w:hAnsi="Arial Narrow" w:cs="Arial"/>
          <w:sz w:val="22"/>
          <w:szCs w:val="22"/>
        </w:rPr>
        <w:t xml:space="preserve"> mil. eur, </w:t>
      </w:r>
      <w:r>
        <w:rPr>
          <w:rFonts w:ascii="Arial Narrow" w:hAnsi="Arial Narrow" w:cs="Arial"/>
          <w:sz w:val="22"/>
          <w:szCs w:val="22"/>
        </w:rPr>
        <w:t>v</w:t>
      </w:r>
      <w:r w:rsidRPr="007009B7">
        <w:rPr>
          <w:rFonts w:ascii="Arial Narrow" w:hAnsi="Arial Narrow" w:cs="Arial"/>
          <w:sz w:val="22"/>
          <w:szCs w:val="22"/>
        </w:rPr>
        <w:t xml:space="preserve"> roku 2012 sa predpokladá celkový prebytok na  úrovni </w:t>
      </w:r>
      <w:r>
        <w:rPr>
          <w:rFonts w:ascii="Arial Narrow" w:hAnsi="Arial Narrow" w:cs="Arial"/>
          <w:sz w:val="22"/>
          <w:szCs w:val="22"/>
        </w:rPr>
        <w:t>541</w:t>
      </w:r>
      <w:r w:rsidRPr="007009B7">
        <w:rPr>
          <w:rFonts w:ascii="Arial Narrow" w:hAnsi="Arial Narrow" w:cs="Arial"/>
          <w:sz w:val="22"/>
          <w:szCs w:val="22"/>
        </w:rPr>
        <w:t xml:space="preserve"> mil. eur a v roku 2013 vo výške </w:t>
      </w:r>
      <w:r>
        <w:rPr>
          <w:rFonts w:ascii="Arial Narrow" w:hAnsi="Arial Narrow" w:cs="Arial"/>
          <w:sz w:val="22"/>
          <w:szCs w:val="22"/>
        </w:rPr>
        <w:t>581</w:t>
      </w:r>
      <w:r w:rsidRPr="007009B7">
        <w:rPr>
          <w:rFonts w:ascii="Arial Narrow" w:hAnsi="Arial Narrow" w:cs="Arial"/>
          <w:sz w:val="22"/>
          <w:szCs w:val="22"/>
        </w:rPr>
        <w:t xml:space="preserve"> mil. eur. V metodike ESA 95 je </w:t>
      </w:r>
      <w:r>
        <w:rPr>
          <w:rFonts w:ascii="Arial Narrow" w:hAnsi="Arial Narrow" w:cs="Arial"/>
          <w:sz w:val="22"/>
          <w:szCs w:val="22"/>
        </w:rPr>
        <w:t>predpokladaný</w:t>
      </w:r>
      <w:r w:rsidRPr="007009B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prebytok</w:t>
      </w:r>
      <w:r w:rsidRPr="007009B7">
        <w:rPr>
          <w:rFonts w:ascii="Arial Narrow" w:hAnsi="Arial Narrow" w:cs="Arial"/>
          <w:sz w:val="22"/>
          <w:szCs w:val="22"/>
        </w:rPr>
        <w:t xml:space="preserve"> hospodárenia </w:t>
      </w:r>
      <w:r>
        <w:rPr>
          <w:rFonts w:ascii="Arial Narrow" w:hAnsi="Arial Narrow" w:cs="Arial"/>
          <w:sz w:val="22"/>
          <w:szCs w:val="22"/>
        </w:rPr>
        <w:t>Sociálnej poisťovne</w:t>
      </w:r>
      <w:r w:rsidRPr="007009B7">
        <w:rPr>
          <w:rFonts w:ascii="Arial Narrow" w:hAnsi="Arial Narrow" w:cs="Arial"/>
          <w:sz w:val="22"/>
          <w:szCs w:val="22"/>
        </w:rPr>
        <w:t xml:space="preserve"> v roku 2011 vo výške 1</w:t>
      </w:r>
      <w:r>
        <w:rPr>
          <w:rFonts w:ascii="Arial Narrow" w:hAnsi="Arial Narrow" w:cs="Arial"/>
          <w:sz w:val="22"/>
          <w:szCs w:val="22"/>
        </w:rPr>
        <w:t>1</w:t>
      </w:r>
      <w:r w:rsidRPr="007009B7">
        <w:rPr>
          <w:rFonts w:ascii="Arial Narrow" w:hAnsi="Arial Narrow" w:cs="Arial"/>
          <w:sz w:val="22"/>
          <w:szCs w:val="22"/>
        </w:rPr>
        <w:t xml:space="preserve">3 </w:t>
      </w:r>
      <w:r>
        <w:rPr>
          <w:rFonts w:ascii="Arial Narrow" w:hAnsi="Arial Narrow" w:cs="Arial"/>
          <w:sz w:val="22"/>
          <w:szCs w:val="22"/>
        </w:rPr>
        <w:t>mil</w:t>
      </w:r>
      <w:r w:rsidRPr="007009B7">
        <w:rPr>
          <w:rFonts w:ascii="Arial Narrow" w:hAnsi="Arial Narrow" w:cs="Arial"/>
          <w:sz w:val="22"/>
          <w:szCs w:val="22"/>
        </w:rPr>
        <w:t xml:space="preserve">. eur, v roku 2012 vo výške </w:t>
      </w:r>
      <w:r>
        <w:rPr>
          <w:rFonts w:ascii="Arial Narrow" w:hAnsi="Arial Narrow" w:cs="Arial"/>
          <w:sz w:val="22"/>
          <w:szCs w:val="22"/>
        </w:rPr>
        <w:t>80,2</w:t>
      </w:r>
      <w:r w:rsidRPr="007009B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mil</w:t>
      </w:r>
      <w:r w:rsidRPr="007009B7">
        <w:rPr>
          <w:rFonts w:ascii="Arial Narrow" w:hAnsi="Arial Narrow" w:cs="Arial"/>
          <w:sz w:val="22"/>
          <w:szCs w:val="22"/>
        </w:rPr>
        <w:t xml:space="preserve">. eur a v roku 2013 vo výške </w:t>
      </w:r>
      <w:r>
        <w:rPr>
          <w:rFonts w:ascii="Arial Narrow" w:hAnsi="Arial Narrow" w:cs="Arial"/>
          <w:sz w:val="22"/>
          <w:szCs w:val="22"/>
        </w:rPr>
        <w:t>59,9 mil</w:t>
      </w:r>
      <w:r w:rsidRPr="007009B7">
        <w:rPr>
          <w:rFonts w:ascii="Arial Narrow" w:hAnsi="Arial Narrow" w:cs="Arial"/>
          <w:sz w:val="22"/>
          <w:szCs w:val="22"/>
        </w:rPr>
        <w:t>. eur.</w:t>
      </w:r>
    </w:p>
    <w:p w:rsidR="00BE4C52" w:rsidRPr="00314F16" w:rsidP="0084667A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84667A" w:rsidRPr="004F4646" w:rsidP="0084667A">
      <w:pPr>
        <w:bidi w:val="0"/>
        <w:jc w:val="both"/>
        <w:rPr>
          <w:rFonts w:ascii="Arial Narrow" w:hAnsi="Arial Narrow"/>
          <w:b/>
        </w:rPr>
      </w:pPr>
      <w:r w:rsidRPr="00423C9E">
        <w:rPr>
          <w:rFonts w:ascii="Arial Narrow" w:hAnsi="Arial Narrow"/>
          <w:b/>
        </w:rPr>
        <w:t>3. Verejné zdravotné poistenie</w:t>
      </w:r>
    </w:p>
    <w:p w:rsidR="0084667A" w:rsidP="0084667A">
      <w:pPr>
        <w:pStyle w:val="BodyText"/>
        <w:bidi w:val="0"/>
        <w:rPr>
          <w:rFonts w:ascii="Arial Narrow" w:hAnsi="Arial Narrow"/>
          <w:sz w:val="22"/>
          <w:szCs w:val="22"/>
          <w:highlight w:val="yellow"/>
        </w:rPr>
      </w:pPr>
    </w:p>
    <w:p w:rsidR="00061321" w:rsidP="00061321">
      <w:pPr>
        <w:pStyle w:val="BodyText"/>
        <w:bidi w:val="0"/>
        <w:ind w:firstLine="708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Návrh rozpočtu verejného zdravotného poistenia na roky 2011 až 2013 je zostavený na základe platnej a pripravovanej legislatívy a zohľadňuje sektorové zaradenie súkromných zdravotných poisťovní Štatistickým úradom SR vyplývajúce </w:t>
      </w:r>
      <w:r w:rsidR="00D64B3B">
        <w:rPr>
          <w:rFonts w:ascii="Arial Narrow" w:hAnsi="Arial Narrow" w:cs="Arial"/>
          <w:sz w:val="22"/>
          <w:szCs w:val="22"/>
        </w:rPr>
        <w:t>z</w:t>
      </w:r>
      <w:r w:rsidRPr="00135653">
        <w:rPr>
          <w:rFonts w:ascii="Arial Narrow" w:hAnsi="Arial Narrow" w:cs="Arial"/>
          <w:sz w:val="22"/>
          <w:szCs w:val="22"/>
        </w:rPr>
        <w:t>o záverov misie Eurostatu, ktoré sa začalo uplatňovať od roku 2009.</w:t>
      </w:r>
    </w:p>
    <w:p w:rsidR="006B0874" w:rsidP="00061321">
      <w:pPr>
        <w:pStyle w:val="BodyText"/>
        <w:bidi w:val="0"/>
        <w:ind w:firstLine="708"/>
        <w:rPr>
          <w:rFonts w:ascii="Arial Narrow" w:hAnsi="Arial Narrow" w:cs="Arial"/>
          <w:sz w:val="22"/>
          <w:szCs w:val="22"/>
        </w:rPr>
      </w:pPr>
    </w:p>
    <w:p w:rsidR="006B0874" w:rsidRPr="00135653" w:rsidP="006B0874">
      <w:pPr>
        <w:bidi w:val="0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>Vývoj príjmovej a výdavkovej časti rozpočtu verejného zdravotného poistenia na roky 2011 až 2013 je v porovnaní s predchádzajúcimi rokmi nasledovný:</w:t>
      </w:r>
    </w:p>
    <w:p w:rsidR="006B0874" w:rsidRPr="00135653" w:rsidP="006B0874">
      <w:pPr>
        <w:pStyle w:val="BodyText"/>
        <w:bidi w:val="0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4905" w:type="pct"/>
        <w:jc w:val="center"/>
        <w:tblInd w:w="-571" w:type="dxa"/>
        <w:tblCellMar>
          <w:left w:w="70" w:type="dxa"/>
          <w:right w:w="70" w:type="dxa"/>
        </w:tblCellMar>
        <w:tblLook w:val="04A0"/>
      </w:tblPr>
      <w:tblGrid>
        <w:gridCol w:w="3537"/>
        <w:gridCol w:w="977"/>
        <w:gridCol w:w="959"/>
        <w:gridCol w:w="959"/>
        <w:gridCol w:w="919"/>
        <w:gridCol w:w="880"/>
        <w:gridCol w:w="959"/>
      </w:tblGrid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397"/>
          <w:jc w:val="center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1751A" w:rsidRPr="002A195F" w:rsidP="00285272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1751A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sz w:val="16"/>
                <w:szCs w:val="16"/>
              </w:rPr>
              <w:t>2008 S</w:t>
            </w:r>
          </w:p>
          <w:p w:rsidR="00F1751A" w:rsidRPr="002A195F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sz w:val="16"/>
                <w:szCs w:val="16"/>
              </w:rPr>
              <w:t>ZP spolu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1751A" w:rsidRPr="002A195F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1751A" w:rsidRPr="002A195F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1751A" w:rsidRPr="002A195F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sz w:val="16"/>
                <w:szCs w:val="16"/>
              </w:rPr>
              <w:t>2011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1751A" w:rsidRPr="002A195F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sz w:val="16"/>
                <w:szCs w:val="16"/>
              </w:rPr>
              <w:t>2012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F1751A" w:rsidRPr="002A195F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sz w:val="16"/>
                <w:szCs w:val="16"/>
              </w:rPr>
              <w:t>2013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308"/>
          <w:jc w:val="center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1751A" w:rsidRPr="002A195F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Príjmy verejného zdravotného poistenia spolu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1751A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43 842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1751A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82 302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1751A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3 664 006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1751A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3 697 399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1751A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812 100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1751A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4 045 295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167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D57A45" w:rsidRPr="00A0651F" w:rsidP="00285272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  <w:tc>
          <w:tcPr>
            <w:tcW w:w="531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daňové príjmy, z toho: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25</w:t>
            </w:r>
            <w:r>
              <w:rPr>
                <w:rFonts w:ascii="Arial Narrow" w:hAnsi="Arial Narrow" w:cs="Arial"/>
                <w:sz w:val="16"/>
                <w:szCs w:val="16"/>
              </w:rPr>
              <w:t>2 440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34</w:t>
            </w:r>
            <w:r>
              <w:rPr>
                <w:rFonts w:ascii="Arial Narrow" w:hAnsi="Arial Narrow" w:cs="Arial"/>
                <w:sz w:val="16"/>
                <w:szCs w:val="16"/>
              </w:rPr>
              <w:t>2 434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3 559 608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3 598 513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3 712 500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3 945 066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5C260C">
              <w:rPr>
                <w:rFonts w:ascii="Arial Narrow" w:hAnsi="Arial Narrow" w:cs="Arial"/>
                <w:sz w:val="16"/>
                <w:szCs w:val="16"/>
              </w:rPr>
              <w:t xml:space="preserve">           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ekonomicky aktívne obyvateľstvo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2 232 510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2 161 025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2 196 514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2 367 286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2 555 490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2 744 612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5C260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C26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platba štátu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997 457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1 162 382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1 284 912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1 197 816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1 132 220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1 174 112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5C260C">
              <w:rPr>
                <w:rFonts w:ascii="Arial Narrow" w:hAnsi="Arial Narrow" w:cs="Arial"/>
                <w:sz w:val="16"/>
                <w:szCs w:val="16"/>
              </w:rPr>
              <w:t xml:space="preserve">          </w:t>
            </w: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  ročné zúčtovanie poistného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16 987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14 467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73 672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29 666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21 035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22 586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5C260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prerozdelenie poistného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5C260C">
              <w:rPr>
                <w:rFonts w:ascii="Arial Narrow" w:hAnsi="Arial Narrow" w:cs="Arial"/>
                <w:sz w:val="16"/>
                <w:szCs w:val="16"/>
              </w:rPr>
              <w:t xml:space="preserve">         </w:t>
            </w: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="005C260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sankcie súvisiace s poistným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4 156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3 337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4 510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3 745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3 755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3 756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 nedaňové príjmy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24 6</w:t>
            </w:r>
            <w:r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20 347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18 356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16 457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16 671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16 800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</w:t>
            </w:r>
            <w:r w:rsidR="005C26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transfery v rámci VS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</w:rPr>
              <w:t>79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</w:rPr>
              <w:t>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199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199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22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 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zostatok prostr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z predch</w:t>
            </w:r>
            <w:r>
              <w:rPr>
                <w:rFonts w:ascii="Arial Narrow" w:hAnsi="Arial Narrow" w:cs="Arial"/>
                <w:sz w:val="16"/>
                <w:szCs w:val="16"/>
              </w:rPr>
              <w:t>. r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okov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(FO)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266 477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219 268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85 843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82 230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82 730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83 230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397"/>
          <w:jc w:val="center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57A45" w:rsidRPr="002A195F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Výdavky verejného zdr</w:t>
            </w:r>
            <w:r w:rsidR="0028527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avotného poistenia spolu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40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4 767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58 447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3 581 776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3 614 669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3 728 870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57A45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3 961 565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03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5C260C" w:rsidRPr="00A0651F" w:rsidP="00285272">
            <w:pPr>
              <w:bidi w:val="0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0651F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z toho: </w:t>
            </w:r>
          </w:p>
        </w:tc>
        <w:tc>
          <w:tcPr>
            <w:tcW w:w="531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výdavky poistenia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3 162 028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3 292 754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3 403 860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3 460 349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3 572 362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3 796 657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397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výdavky na prevádzkové činnosti štátnej zdravotnej poisťovne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125 137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63 925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82 563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84 345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85 426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89 773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61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úhrada za správu verejného zdravotného poistenia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36 050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37 136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39 853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40 642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43 782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</w:t>
            </w:r>
            <w:r w:rsidR="0084507A"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ostatné výdavky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9</w:t>
            </w:r>
            <w:r>
              <w:rPr>
                <w:rFonts w:ascii="Arial Narrow" w:hAnsi="Arial Narrow" w:cs="Arial"/>
                <w:sz w:val="16"/>
                <w:szCs w:val="16"/>
              </w:rPr>
              <w:t>5 155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40 657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31 549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1 681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1 682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1 683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 </w:t>
            </w:r>
            <w:r w:rsidR="0084507A">
              <w:rPr>
                <w:rFonts w:ascii="Arial Narrow" w:hAnsi="Arial Narrow" w:cs="Arial"/>
                <w:sz w:val="16"/>
                <w:szCs w:val="16"/>
              </w:rPr>
              <w:t>p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ríspevok na činnosť UDZS*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14 150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14 195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14 985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15 998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16 176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16 689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</w:t>
            </w:r>
            <w:r w:rsidR="0084507A"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>príspevok na činnosť OS ZZS**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8 297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10 990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11 683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12 443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12 582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12 981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361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Celkový prebytok verejného zdravotného poistenia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39 075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123 855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82 230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82 730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83 230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83 730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266 477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219 268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-85 843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-82 230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-82 730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-83 230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▪   </w:t>
            </w:r>
            <w:r w:rsidRPr="002A195F">
              <w:rPr>
                <w:rFonts w:ascii="Arial Narrow" w:hAnsi="Arial Narrow" w:cs="Arial"/>
                <w:sz w:val="16"/>
                <w:szCs w:val="16"/>
              </w:rPr>
              <w:t xml:space="preserve">vylúčenie príjmových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FO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>266 477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-</w:t>
            </w:r>
            <w:r>
              <w:rPr>
                <w:rFonts w:ascii="Arial Narrow" w:hAnsi="Arial Narrow" w:cs="Arial"/>
                <w:sz w:val="16"/>
                <w:szCs w:val="16"/>
              </w:rPr>
              <w:t>219 268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-85 843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-82 230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-82 730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sz w:val="16"/>
                <w:szCs w:val="16"/>
              </w:rPr>
              <w:t>-83 230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zahrnutie časového rozlíšenia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-16 697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10 589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7 272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12 509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14 167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14 224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187 114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423C9E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5 368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4905" w:type="pct"/>
          <w:jc w:val="center"/>
          <w:tblInd w:w="-571" w:type="dxa"/>
          <w:tblCellMar>
            <w:left w:w="70" w:type="dxa"/>
            <w:right w:w="70" w:type="dxa"/>
          </w:tblCellMar>
          <w:tblLook w:val="04A0"/>
        </w:tblPrEx>
        <w:trPr>
          <w:trHeight w:val="397"/>
          <w:jc w:val="center"/>
        </w:trPr>
        <w:tc>
          <w:tcPr>
            <w:tcW w:w="1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Prebytok /schodok vereného zdravotného poistenia (ESA 95)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43 016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</w:t>
            </w:r>
            <w:r w:rsidR="00423C9E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9 456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3 659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13 009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14 667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C260C" w:rsidRPr="002A195F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2A195F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14 724</w:t>
            </w:r>
          </w:p>
        </w:tc>
      </w:tr>
    </w:tbl>
    <w:p w:rsidR="006B0874" w:rsidRPr="002A195F" w:rsidP="006B0874">
      <w:pPr>
        <w:pStyle w:val="BodyText"/>
        <w:bidi w:val="0"/>
        <w:rPr>
          <w:rFonts w:ascii="Arial Narrow" w:hAnsi="Arial Narrow"/>
          <w:sz w:val="16"/>
          <w:szCs w:val="16"/>
        </w:rPr>
      </w:pPr>
      <w:r w:rsidR="00285272">
        <w:rPr>
          <w:rFonts w:ascii="Arial Narrow" w:hAnsi="Arial Narrow"/>
          <w:sz w:val="16"/>
          <w:szCs w:val="16"/>
        </w:rPr>
        <w:t xml:space="preserve"> </w:t>
      </w:r>
      <w:r w:rsidRPr="002A195F">
        <w:rPr>
          <w:rFonts w:ascii="Arial Narrow" w:hAnsi="Arial Narrow"/>
          <w:sz w:val="16"/>
          <w:szCs w:val="16"/>
        </w:rPr>
        <w:t>*UDZS - Úrad pre doh</w:t>
      </w:r>
      <w:r w:rsidRPr="002A195F">
        <w:rPr>
          <w:rFonts w:ascii="Arial Narrow" w:eastAsia="Times New Roman" w:hAnsi="Arial Narrow" w:hint="default"/>
          <w:sz w:val="16"/>
          <w:szCs w:val="16"/>
        </w:rPr>
        <w:t>ľ</w:t>
      </w:r>
      <w:r w:rsidRPr="002A195F">
        <w:rPr>
          <w:rFonts w:ascii="Arial Narrow" w:hAnsi="Arial Narrow"/>
          <w:sz w:val="16"/>
          <w:szCs w:val="16"/>
        </w:rPr>
        <w:t>ad nad zdravotnou starostlivos</w:t>
      </w:r>
      <w:r w:rsidRPr="002A195F">
        <w:rPr>
          <w:rFonts w:ascii="Arial Narrow" w:eastAsia="Times New Roman" w:hAnsi="Arial Narrow" w:hint="default"/>
          <w:sz w:val="16"/>
          <w:szCs w:val="16"/>
        </w:rPr>
        <w:t>ť</w:t>
      </w:r>
      <w:r w:rsidRPr="002A195F">
        <w:rPr>
          <w:rFonts w:ascii="Arial Narrow" w:hAnsi="Arial Narrow"/>
          <w:sz w:val="16"/>
          <w:szCs w:val="16"/>
        </w:rPr>
        <w:t>ou</w:t>
      </w:r>
    </w:p>
    <w:p w:rsidR="006B0874" w:rsidRPr="002A195F" w:rsidP="006B0874">
      <w:pPr>
        <w:pStyle w:val="BodyText"/>
        <w:bidi w:val="0"/>
        <w:rPr>
          <w:rFonts w:ascii="Arial Narrow" w:hAnsi="Arial Narrow"/>
          <w:sz w:val="16"/>
          <w:szCs w:val="16"/>
        </w:rPr>
      </w:pPr>
      <w:r w:rsidR="00285272">
        <w:rPr>
          <w:rFonts w:ascii="Arial Narrow" w:hAnsi="Arial Narrow"/>
          <w:sz w:val="16"/>
          <w:szCs w:val="16"/>
        </w:rPr>
        <w:t xml:space="preserve"> </w:t>
      </w:r>
      <w:r w:rsidRPr="002A195F">
        <w:rPr>
          <w:rFonts w:ascii="Arial Narrow" w:hAnsi="Arial Narrow"/>
          <w:sz w:val="16"/>
          <w:szCs w:val="16"/>
        </w:rPr>
        <w:t>**OS ZZS - opera</w:t>
      </w:r>
      <w:r w:rsidRPr="002A195F">
        <w:rPr>
          <w:rFonts w:ascii="Arial Narrow" w:eastAsia="Times New Roman" w:hAnsi="Arial Narrow" w:hint="default"/>
          <w:sz w:val="16"/>
          <w:szCs w:val="16"/>
        </w:rPr>
        <w:t>č</w:t>
      </w:r>
      <w:r w:rsidRPr="002A195F">
        <w:rPr>
          <w:rFonts w:ascii="Arial Narrow" w:hAnsi="Arial Narrow"/>
          <w:sz w:val="16"/>
          <w:szCs w:val="16"/>
        </w:rPr>
        <w:t>né strediská ties</w:t>
      </w:r>
      <w:r w:rsidRPr="002A195F">
        <w:rPr>
          <w:rFonts w:ascii="Arial Narrow" w:eastAsia="Times New Roman" w:hAnsi="Arial Narrow" w:hint="default"/>
          <w:sz w:val="16"/>
          <w:szCs w:val="16"/>
        </w:rPr>
        <w:t>ň</w:t>
      </w:r>
      <w:r w:rsidRPr="002A195F">
        <w:rPr>
          <w:rFonts w:ascii="Arial Narrow" w:hAnsi="Arial Narrow"/>
          <w:sz w:val="16"/>
          <w:szCs w:val="16"/>
        </w:rPr>
        <w:t>ového volania záchrannej zdravotnej služby</w:t>
      </w:r>
    </w:p>
    <w:p w:rsidR="00061321" w:rsidRPr="00135653" w:rsidP="00061321">
      <w:pPr>
        <w:pStyle w:val="BodyText"/>
        <w:bidi w:val="0"/>
        <w:ind w:firstLine="708"/>
        <w:rPr>
          <w:rFonts w:ascii="Arial Narrow" w:hAnsi="Arial Narrow" w:cs="Arial"/>
          <w:sz w:val="22"/>
          <w:szCs w:val="22"/>
        </w:rPr>
      </w:pPr>
    </w:p>
    <w:p w:rsidR="00061321" w:rsidRPr="00135653" w:rsidP="00061321">
      <w:pPr>
        <w:pStyle w:val="BodyText"/>
        <w:bidi w:val="0"/>
        <w:ind w:firstLine="708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Celkové príjmy v systéme verejného zdravotného poistenia sa </w:t>
      </w:r>
      <w:r w:rsidR="00D64B3B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2011 predpokladajú vo výške </w:t>
        <w:br/>
        <w:t xml:space="preserve">3,70 mld. eur, čo predstavuje 0,91% nárast oproti očakávaným príjmom v roku 2010. </w:t>
      </w:r>
      <w:r w:rsidR="00D64B3B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> rok 2012 sa celkové príjmy predpokladajú v objeme 3,81 mld. eur s medziročným nárastom 3,10 % a </w:t>
      </w:r>
      <w:r w:rsidR="00D64B3B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> rok 2013 v objeme 4,05 mld. eur s medziročným nárastom 6,12 %.</w:t>
      </w:r>
    </w:p>
    <w:p w:rsidR="00061321" w:rsidRPr="00135653" w:rsidP="00061321">
      <w:pPr>
        <w:pStyle w:val="BodyText"/>
        <w:bidi w:val="0"/>
        <w:rPr>
          <w:rFonts w:ascii="Arial Narrow" w:hAnsi="Arial Narrow" w:cs="Arial"/>
          <w:sz w:val="22"/>
          <w:szCs w:val="22"/>
        </w:rPr>
      </w:pPr>
    </w:p>
    <w:p w:rsidR="00061321" w:rsidRPr="00135653" w:rsidP="00BE4C52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Poistné platené štátom je určené pre zákonom vymedzené kategórie osôb. </w:t>
      </w:r>
      <w:r w:rsidR="00D64B3B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2011 sa predpokladá poistné platené štátom na úrovni 1,20 mld. eur, </w:t>
      </w:r>
      <w:r w:rsidR="00D64B3B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> rok 2012 na úrovni 1,13 mld. eur a </w:t>
      </w:r>
      <w:r w:rsidR="00D64B3B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2013 na úrovni 1,17 mld. eur. V roku 2011 sa predpokladá ročné zúčtovanie poistného plateného štátom za rok 2010 vo výške 10,0 mil. eur v nadväznosti na údaje o počte poistencov štátu evidované v roku 2010 v centrálnom registri poistencov.</w:t>
      </w:r>
    </w:p>
    <w:p w:rsidR="005B48B6" w:rsidP="00061321">
      <w:pPr>
        <w:pStyle w:val="BodyText2"/>
        <w:bidi w:val="0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061321" w:rsidRPr="00135653" w:rsidP="00061321">
      <w:pPr>
        <w:pStyle w:val="BodyText2"/>
        <w:bidi w:val="0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>Návrh rozpočtu príjmov z poistného od ekonomicky aktívnych osôb nadväzuje na prognózy daňových príjmov</w:t>
      </w:r>
      <w:r>
        <w:rPr>
          <w:rFonts w:ascii="Arial Narrow" w:hAnsi="Arial Narrow" w:cs="Arial"/>
          <w:sz w:val="22"/>
          <w:szCs w:val="22"/>
        </w:rPr>
        <w:t xml:space="preserve">, ktoré </w:t>
      </w:r>
      <w:r w:rsidRPr="00194601">
        <w:rPr>
          <w:rFonts w:ascii="Arial Narrow" w:hAnsi="Arial Narrow" w:cs="Arial"/>
          <w:sz w:val="22"/>
          <w:szCs w:val="22"/>
        </w:rPr>
        <w:t>zohľad</w:t>
      </w:r>
      <w:r>
        <w:rPr>
          <w:rFonts w:ascii="Arial Narrow" w:hAnsi="Arial Narrow" w:cs="Arial"/>
          <w:sz w:val="22"/>
          <w:szCs w:val="22"/>
        </w:rPr>
        <w:t>ňujú príslušné</w:t>
      </w:r>
      <w:r w:rsidRPr="00194601">
        <w:rPr>
          <w:rFonts w:ascii="Arial Narrow" w:hAnsi="Arial Narrow" w:cs="Arial"/>
          <w:sz w:val="22"/>
          <w:szCs w:val="22"/>
        </w:rPr>
        <w:t xml:space="preserve"> vplyvy legislatívnych zmien v oblasti odvodov</w:t>
      </w:r>
      <w:r w:rsidRPr="00135653">
        <w:rPr>
          <w:rFonts w:ascii="Arial Narrow" w:hAnsi="Arial Narrow" w:cs="Arial"/>
          <w:sz w:val="22"/>
          <w:szCs w:val="22"/>
        </w:rPr>
        <w:t xml:space="preserve">. Príjmy od ekonomicky aktívnych osôb, vrátane ročného zúčtovania poistného, sa na rok 2011 predpokladajú vo výške 2,39 mld. eur s medziročným nárastom 7,74 % oproti očakávanej skutočnosti roku 2010. V roku 2012 sa výška príjmov od ekonomicky aktívnych osôb predpokladá na úrovni 2,58 mld. eur s medziročným nárastom o 7,94 % a v roku 2013 na úrovni 2,77 mld. eur s medziročným nárastom 7,40 %. </w:t>
      </w:r>
    </w:p>
    <w:p w:rsidR="00061321" w:rsidRPr="00135653" w:rsidP="00061321">
      <w:pPr>
        <w:pStyle w:val="BodyText2"/>
        <w:bidi w:val="0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Do súhrnu daňových príjmov verejného zdravotného poistenia sa započítavajú aj sankcie súvisiace so zdravotným poistením vo výške 3,74 mil. eur v roku 2011, vo výške 3,75 </w:t>
      </w:r>
      <w:r>
        <w:rPr>
          <w:rFonts w:ascii="Arial Narrow" w:hAnsi="Arial Narrow" w:cs="Arial"/>
          <w:sz w:val="22"/>
          <w:szCs w:val="22"/>
        </w:rPr>
        <w:t xml:space="preserve">mil. eur </w:t>
      </w:r>
      <w:r w:rsidRPr="00135653">
        <w:rPr>
          <w:rFonts w:ascii="Arial Narrow" w:hAnsi="Arial Narrow" w:cs="Arial"/>
          <w:sz w:val="22"/>
          <w:szCs w:val="22"/>
        </w:rPr>
        <w:t xml:space="preserve">v roku 2012 a vo výške 3,76 mil. eur v roku 2013. Nedaňové príjmy sa predpokladajú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2011 na úrovni 16,5 mil. eur,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2012 na úrovni 16,7 mil. eur a 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2013 na úrovni 16,8 mil. eur. V príjmovej časti rozpočtu zdravotných poisťovní je započítaný transfer z Ministerstva zdravotníctva SR v ročnej výške 199 tis. eur na úhradu neodkladnej zdravotnej starostlivosti v súlade so zákonom č. 580/2004 Z. z. o zdravotnom poistení a o zmene a doplnení zákona č. 95/2002 Z. z. o poisťovníctve a o zmene a doplnení niektorých zákonov. Súčasťou celkových príjmov verejného zdravotného poistenia je aj zostatok prostriedkov z predchádzajúcich rokov.</w:t>
      </w: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Celkové výdavky verejného zdravotného poistenia sa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2011 predpokladajú na úrovni 3,61 mld. eur s medziročným nárastom o 0,92 % oproti očakávaným výdavkom v roku 2010.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> rok 2012 sa celkové výdavky predpokladajú v objeme 3,73 mld. eur s medziročným náras</w:t>
      </w:r>
      <w:r w:rsidR="007A23E8">
        <w:rPr>
          <w:rFonts w:ascii="Arial Narrow" w:hAnsi="Arial Narrow" w:cs="Arial"/>
          <w:sz w:val="22"/>
          <w:szCs w:val="22"/>
        </w:rPr>
        <w:t>tom 3,16 % a na</w:t>
      </w:r>
      <w:r w:rsidRPr="00135653">
        <w:rPr>
          <w:rFonts w:ascii="Arial Narrow" w:hAnsi="Arial Narrow" w:cs="Arial"/>
          <w:sz w:val="22"/>
          <w:szCs w:val="22"/>
        </w:rPr>
        <w:t> rok 2013 v objeme 3,96 mld. eur s medziročným nárastom 6,24 %.</w:t>
      </w: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V súlade s legislatívnou úpravou zdravotného poistenia je ako bežný transfer vo výdavkoch verejného zdravotného poistenia zapracovaný príspevok na činnosť Úradu pre dohľad nad zdravotnou starostlivosťou a príspevok na činnosť operačných stredísk tiesňového volania záchrannej zdravotnej služby. Výška príspevkov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2011 vychádza z predpokladaného výberu poistného zdravotnými poisťovňami v roku 2010. </w:t>
      </w: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 </w:t>
      </w: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>Výdavky na prevádzkové činnosti štátnej zdravotnej poisťovne a výdavky súkromných zdravotných poisťovní na správu verejného zdravotného poistenia zahŕňajú predpoklad bežných aj kapitálových výdavkov na prevádzkové činnosti zdravotných poisťovní kryté príjmom z výberu poistného.</w:t>
      </w: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Ostatné výdavky zahŕňajú výdavky na dane a poplatky odvádzané do štátneho rozpočtu podľa § 6a ods. 3 zákona č. 581/2007 Z. z. o zdravotných poisťovniach, dohľade nad zdravotnou starostlivosťou a o zmene a doplnení niektorých zákonov. </w:t>
      </w:r>
    </w:p>
    <w:p w:rsidR="00061321" w:rsidRPr="00135653" w:rsidP="00061321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061321" w:rsidRPr="00135653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135653">
        <w:rPr>
          <w:rFonts w:ascii="Arial Narrow" w:hAnsi="Arial Narrow" w:cs="Arial"/>
          <w:sz w:val="22"/>
          <w:szCs w:val="22"/>
        </w:rPr>
        <w:t xml:space="preserve">Celkový hotovostný prebytok hospodárenia verejného zdravotného poistenia sa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</w:t>
      </w:r>
      <w:r w:rsidR="0095217B">
        <w:rPr>
          <w:rFonts w:ascii="Arial Narrow" w:hAnsi="Arial Narrow" w:cs="Arial"/>
          <w:sz w:val="22"/>
          <w:szCs w:val="22"/>
        </w:rPr>
        <w:t xml:space="preserve">rok </w:t>
      </w:r>
      <w:r w:rsidRPr="00135653">
        <w:rPr>
          <w:rFonts w:ascii="Arial Narrow" w:hAnsi="Arial Narrow" w:cs="Arial"/>
          <w:sz w:val="22"/>
          <w:szCs w:val="22"/>
        </w:rPr>
        <w:t xml:space="preserve">2011 predpokladá vo výške 82,7 mil. eur,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2012 vo výške 83,2 mil. eur a 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135653">
        <w:rPr>
          <w:rFonts w:ascii="Arial Narrow" w:hAnsi="Arial Narrow" w:cs="Arial"/>
          <w:sz w:val="22"/>
          <w:szCs w:val="22"/>
        </w:rPr>
        <w:t xml:space="preserve"> rok 2013 vo výške 83,7 mil. eur, pričom prebytok v metodike ESA 95 sa predpokladá v roku 2011 na úrovni 13,0 mil. eur, v rokoch 2012 a 2013 na úrovni 14,7 mil. eur. </w:t>
      </w:r>
    </w:p>
    <w:p w:rsidR="00061321" w:rsidRPr="00061321" w:rsidP="00061321">
      <w:pPr>
        <w:bidi w:val="0"/>
        <w:rPr>
          <w:rFonts w:ascii="Times New Roman" w:hAnsi="Times New Roman"/>
        </w:rPr>
      </w:pPr>
    </w:p>
    <w:p w:rsidR="0084667A" w:rsidRPr="004F4646" w:rsidP="0084667A">
      <w:pPr>
        <w:pStyle w:val="Heading1"/>
        <w:bidi w:val="0"/>
        <w:spacing w:before="0" w:after="0"/>
        <w:rPr>
          <w:rFonts w:ascii="Arial Narrow" w:hAnsi="Arial Narrow"/>
          <w:sz w:val="24"/>
          <w:szCs w:val="24"/>
        </w:rPr>
      </w:pPr>
      <w:r w:rsidRPr="004F4646">
        <w:rPr>
          <w:rFonts w:ascii="Arial Narrow" w:hAnsi="Arial Narrow"/>
          <w:sz w:val="24"/>
          <w:szCs w:val="24"/>
        </w:rPr>
        <w:t>4. Štátne fondy</w:t>
      </w:r>
    </w:p>
    <w:p w:rsidR="00590EEF" w:rsidRPr="00590EEF" w:rsidP="0084667A">
      <w:pPr>
        <w:bidi w:val="0"/>
        <w:rPr>
          <w:rFonts w:ascii="Arial Narrow" w:hAnsi="Arial Narrow"/>
          <w:b/>
          <w:sz w:val="22"/>
          <w:szCs w:val="22"/>
        </w:rPr>
      </w:pPr>
    </w:p>
    <w:p w:rsidR="0084667A" w:rsidRPr="005E3AC2" w:rsidP="00061321">
      <w:pPr>
        <w:bidi w:val="0"/>
        <w:jc w:val="both"/>
        <w:rPr>
          <w:rFonts w:ascii="Arial Narrow" w:hAnsi="Arial Narrow"/>
          <w:b/>
          <w:szCs w:val="28"/>
        </w:rPr>
      </w:pPr>
      <w:r w:rsidRPr="005E3AC2">
        <w:rPr>
          <w:rFonts w:ascii="Arial Narrow" w:hAnsi="Arial Narrow"/>
          <w:b/>
          <w:szCs w:val="28"/>
        </w:rPr>
        <w:t>4.1. Štátny fond rozvoja bývania</w:t>
      </w:r>
    </w:p>
    <w:p w:rsidR="0084667A" w:rsidP="0084667A">
      <w:pPr>
        <w:bidi w:val="0"/>
        <w:rPr>
          <w:rFonts w:ascii="Arial Narrow" w:hAnsi="Arial Narrow"/>
          <w:b/>
          <w:sz w:val="22"/>
          <w:szCs w:val="22"/>
        </w:rPr>
      </w:pPr>
    </w:p>
    <w:p w:rsidR="00061321" w:rsidRPr="00061321" w:rsidP="007A23E8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061321">
        <w:rPr>
          <w:rFonts w:ascii="Arial Narrow" w:hAnsi="Arial Narrow"/>
          <w:sz w:val="22"/>
          <w:szCs w:val="22"/>
        </w:rPr>
        <w:t>Prostredníctvom  Štátneho fondu rozvoja bývania (ďalej len „ŠFRB“) sa uskutočňuje financovanie štátnej podpory pri rozširovaní a zveľaďovaní bytového fondu.</w:t>
      </w:r>
    </w:p>
    <w:p w:rsidR="00061321" w:rsidP="007A23E8">
      <w:pPr>
        <w:bidi w:val="0"/>
        <w:ind w:firstLine="708"/>
        <w:jc w:val="both"/>
        <w:rPr>
          <w:rFonts w:ascii="Arial Narrow" w:hAnsi="Arial Narrow"/>
        </w:rPr>
      </w:pPr>
    </w:p>
    <w:p w:rsidR="00B70914" w:rsidP="00061321">
      <w:pPr>
        <w:bidi w:val="0"/>
        <w:ind w:firstLine="708"/>
        <w:rPr>
          <w:rFonts w:ascii="Arial Narrow" w:hAnsi="Arial Narrow"/>
        </w:rPr>
      </w:pPr>
    </w:p>
    <w:p w:rsidR="00BE4C52" w:rsidP="00061321">
      <w:pPr>
        <w:bidi w:val="0"/>
        <w:ind w:firstLine="708"/>
        <w:rPr>
          <w:rFonts w:ascii="Arial Narrow" w:hAnsi="Arial Narrow"/>
        </w:rPr>
      </w:pPr>
    </w:p>
    <w:p w:rsidR="00CE3A37" w:rsidP="00061321">
      <w:pPr>
        <w:bidi w:val="0"/>
        <w:ind w:firstLine="708"/>
        <w:rPr>
          <w:rFonts w:ascii="Arial Narrow" w:hAnsi="Arial Narrow"/>
        </w:rPr>
      </w:pPr>
    </w:p>
    <w:p w:rsidR="00CE3A37" w:rsidP="00061321">
      <w:pPr>
        <w:bidi w:val="0"/>
        <w:ind w:firstLine="708"/>
        <w:rPr>
          <w:rFonts w:ascii="Arial Narrow" w:hAnsi="Arial Narrow"/>
        </w:rPr>
      </w:pPr>
    </w:p>
    <w:p w:rsidR="00CE3A37" w:rsidP="00061321">
      <w:pPr>
        <w:bidi w:val="0"/>
        <w:ind w:firstLine="708"/>
        <w:rPr>
          <w:rFonts w:ascii="Arial Narrow" w:hAnsi="Arial Narrow"/>
        </w:rPr>
      </w:pPr>
    </w:p>
    <w:p w:rsidR="00BE4C52" w:rsidP="00061321">
      <w:pPr>
        <w:bidi w:val="0"/>
        <w:ind w:firstLine="708"/>
        <w:rPr>
          <w:rFonts w:ascii="Arial Narrow" w:hAnsi="Arial Narrow"/>
        </w:rPr>
      </w:pPr>
    </w:p>
    <w:p w:rsidR="00BE4C52" w:rsidP="00061321">
      <w:pPr>
        <w:bidi w:val="0"/>
        <w:ind w:firstLine="708"/>
        <w:rPr>
          <w:rFonts w:ascii="Arial Narrow" w:hAnsi="Arial Narrow"/>
        </w:rPr>
      </w:pPr>
    </w:p>
    <w:p w:rsidR="00BE4C52" w:rsidP="00061321">
      <w:pPr>
        <w:bidi w:val="0"/>
        <w:ind w:firstLine="708"/>
        <w:rPr>
          <w:rFonts w:ascii="Arial Narrow" w:hAnsi="Arial Narrow"/>
        </w:rPr>
      </w:pPr>
    </w:p>
    <w:p w:rsidR="00BE4C52" w:rsidP="00061321">
      <w:pPr>
        <w:bidi w:val="0"/>
        <w:ind w:firstLine="708"/>
        <w:rPr>
          <w:rFonts w:ascii="Arial Narrow" w:hAnsi="Arial Narrow"/>
        </w:rPr>
      </w:pPr>
    </w:p>
    <w:p w:rsidR="00BE4C52" w:rsidP="00061321">
      <w:pPr>
        <w:bidi w:val="0"/>
        <w:ind w:firstLine="708"/>
        <w:rPr>
          <w:rFonts w:ascii="Arial Narrow" w:hAnsi="Arial Narrow"/>
        </w:rPr>
      </w:pPr>
    </w:p>
    <w:p w:rsidR="00B70914" w:rsidP="00061321">
      <w:pPr>
        <w:bidi w:val="0"/>
        <w:ind w:firstLine="708"/>
        <w:rPr>
          <w:rFonts w:ascii="Arial Narrow" w:hAnsi="Arial Narrow"/>
        </w:rPr>
      </w:pPr>
    </w:p>
    <w:tbl>
      <w:tblPr>
        <w:tblStyle w:val="TableNormal"/>
        <w:tblW w:w="9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920"/>
        <w:gridCol w:w="920"/>
        <w:gridCol w:w="920"/>
        <w:gridCol w:w="920"/>
        <w:gridCol w:w="920"/>
        <w:gridCol w:w="920"/>
      </w:tblGrid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1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3D56B9" w:rsidP="00285272">
            <w:pPr>
              <w:bidi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D56B9" w:rsidR="003D56B9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Pr="003D56B9">
              <w:rPr>
                <w:rFonts w:ascii="Arial Narrow" w:hAnsi="Arial Narrow" w:cs="Arial"/>
                <w:b/>
                <w:bCs/>
                <w:sz w:val="16"/>
                <w:szCs w:val="16"/>
              </w:rPr>
              <w:t>v tis. eur</w:t>
            </w:r>
            <w:r w:rsidRPr="003D56B9" w:rsidR="003D56B9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  <w:r w:rsidRPr="003D56B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="00A4720A">
              <w:rPr>
                <w:rFonts w:ascii="Arial Narrow" w:hAnsi="Arial Narrow" w:cs="Arial"/>
                <w:b/>
                <w:bCs/>
                <w:sz w:val="16"/>
                <w:szCs w:val="16"/>
              </w:rPr>
              <w:t>2008</w:t>
            </w:r>
            <w:r w:rsidRPr="00B70914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Príjmy 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Š</w:t>
            </w: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FRB spolu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175 147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225 198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149 135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153 438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158 670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1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▪   nedaňové príjmy, z toho: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29 582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28 364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32 286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32 022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35 227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37 527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="00E405D3">
              <w:rPr>
                <w:rFonts w:ascii="Arial Narrow" w:hAnsi="Arial Narrow" w:cs="Arial"/>
                <w:sz w:val="16"/>
                <w:szCs w:val="16"/>
              </w:rPr>
              <w:t xml:space="preserve">       </w:t>
            </w: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administratívne a iné poplatky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    úroky z domácich pôžičiek a vkladov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27 508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27 602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30 236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31 690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34 895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37 195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    iné nedaňové príjmy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1 858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332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▪   granty a transfery,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76 215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137 960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54 904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54 904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54 904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54 904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    transfery v rámci verejnej správy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76 215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137 960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54 904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54 904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54 904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54 904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▪   príjmy z transakcií s fin. akt. a pas., z toho: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69 350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58 874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62 819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62 209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63 307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66 239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    zo splácania úverov, pôž. a NFV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40 763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45 527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52 500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65 000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    zost. prostr. z predch. roka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28 587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13 347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10 319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7 209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2 307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1 239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Výdavky ŠFRB spolu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161 801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214 880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142 800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146 827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152 198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157 199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▪   bežné výdavky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1 885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3 836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3 810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3 856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3 856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3 856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mzdy a odvody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718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776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1 088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1 001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tovary a služby (prev. náklady)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3 060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2 722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2 800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bežné transfery,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▪   kapitálové výdavky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642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771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831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831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831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        obstarávanie kapit. akt.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400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        kapitálové transfery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377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431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▪   výdavky z transakcií s fin. akt. a pas., z toho: (FO)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159 274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210 273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138 590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142 140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147 511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152 512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    úvery a účasť na majetku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159 274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210 273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138 590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142 140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147 511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152 512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Celkový prebytok ŠFRB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13 346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10 318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7 209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2 308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1 471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89 924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151 399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75 771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79 931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84 204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86 273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   z 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▪   vylúčenie príjmových FO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-69 350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-58 874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-62 819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-62 209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-63 307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-66 239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 xml:space="preserve">    ▪   vylúčenie výdavkových FO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159 274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210 273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138 590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142 140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147 511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sz w:val="16"/>
                <w:szCs w:val="16"/>
              </w:rPr>
              <w:t>152 512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Prebytok (+)/schodok (-) ŠFRB   (ESA 95)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103 259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161 598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82 980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82 239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85 444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70914" w:rsidRPr="00B70914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B7091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87 744</w:t>
            </w:r>
          </w:p>
        </w:tc>
      </w:tr>
    </w:tbl>
    <w:p w:rsidR="00061321" w:rsidP="00061321">
      <w:pPr>
        <w:bidi w:val="0"/>
        <w:rPr>
          <w:rFonts w:ascii="Arial" w:hAnsi="Arial" w:cs="Arial"/>
          <w:b/>
        </w:rPr>
      </w:pPr>
    </w:p>
    <w:p w:rsidR="00061321" w:rsidRPr="00061321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61321">
        <w:rPr>
          <w:rFonts w:ascii="Arial Narrow" w:hAnsi="Arial Narrow" w:cs="Arial"/>
          <w:sz w:val="22"/>
          <w:szCs w:val="22"/>
        </w:rPr>
        <w:t>Príjmy ŠFRB v roku 2011 predstavujú celkovú výšku 149 mil. eur, pričom transfer zo štátneho rozpočtu je rozpočtovaný vo výške 54,9 mil. eur a vlastné zdroje v sume 94,2 mil. eur. Vlastné príjmy ŠFRB sa očakávajú najmä zo splácania úverov v sume 55,0 mil. eur,  z úrokov z poskytnutých úverov vo výške 31,0 mil. eur a  8,10 mil. eur predstavujú ostatné príjmy. Navrhované príjmy v roku 2011 v porovnaní so schváleným rozpočtom roku 2010 sú vyššie o 3,81 %, t.</w:t>
      </w:r>
      <w:r w:rsidR="003D56B9">
        <w:rPr>
          <w:rFonts w:ascii="Arial Narrow" w:hAnsi="Arial Narrow" w:cs="Arial"/>
          <w:sz w:val="22"/>
          <w:szCs w:val="22"/>
        </w:rPr>
        <w:t xml:space="preserve"> </w:t>
      </w:r>
      <w:r w:rsidRPr="00061321">
        <w:rPr>
          <w:rFonts w:ascii="Arial Narrow" w:hAnsi="Arial Narrow" w:cs="Arial"/>
          <w:sz w:val="22"/>
          <w:szCs w:val="22"/>
        </w:rPr>
        <w:t xml:space="preserve">j. o 5,48 mil. eur.  </w:t>
      </w:r>
    </w:p>
    <w:p w:rsidR="00061321" w:rsidRPr="00061321" w:rsidP="00061321">
      <w:pPr>
        <w:bidi w:val="0"/>
        <w:rPr>
          <w:rFonts w:ascii="Arial Narrow" w:hAnsi="Arial Narrow" w:cs="Arial"/>
          <w:sz w:val="22"/>
          <w:szCs w:val="22"/>
          <w:u w:val="single"/>
        </w:rPr>
      </w:pPr>
    </w:p>
    <w:p w:rsidR="00061321" w:rsidRPr="00061321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61321">
        <w:rPr>
          <w:rFonts w:ascii="Arial Narrow" w:hAnsi="Arial Narrow" w:cs="Arial"/>
          <w:sz w:val="22"/>
          <w:szCs w:val="22"/>
        </w:rPr>
        <w:t xml:space="preserve">Výdavky ŠFRB v roku 2011 sa rozpočtujú v sume 147 mil. eur a  v porovnaní so schváleným rozpočtom roku 2010 sú vyššie o 2,44 %, t.j. o 3,50 mil. eur. Z rozpočtovaných výdavkov roku 2011 je čiastka 142 mil. eur  vyčlenená na poskytovanie úverov, z toho 108 mil. eur na výstavbu bytov, 22,6 mil. eur na obnovu bytových domov, 1,80 mil. eur na výstavbu zariadení sociálnych služieb a 10,0 mil. eur na zatepľovanie bytových domov  projektov GIS (zelené investičné schémy). Na poskytovanie podpôr vo forme nenávratného príspevku pri obstarávaní bývania pre občanov s ťažkým zdravotným postihnutím je rozpočtovaných 432 tis. eur a 4,26 mil. eur tvoria výdavky súvisiace </w:t>
      </w:r>
      <w:r w:rsidR="00372512">
        <w:rPr>
          <w:rFonts w:ascii="Arial Narrow" w:hAnsi="Arial Narrow" w:cs="Arial"/>
          <w:sz w:val="22"/>
          <w:szCs w:val="22"/>
        </w:rPr>
        <w:t>so</w:t>
      </w:r>
      <w:r w:rsidRPr="00061321">
        <w:rPr>
          <w:rFonts w:ascii="Arial Narrow" w:hAnsi="Arial Narrow" w:cs="Arial"/>
          <w:sz w:val="22"/>
          <w:szCs w:val="22"/>
        </w:rPr>
        <w:t xml:space="preserve"> zabezpečen</w:t>
      </w:r>
      <w:r w:rsidR="00372512">
        <w:rPr>
          <w:rFonts w:ascii="Arial Narrow" w:hAnsi="Arial Narrow" w:cs="Arial"/>
          <w:sz w:val="22"/>
          <w:szCs w:val="22"/>
        </w:rPr>
        <w:t>ím</w:t>
      </w:r>
      <w:r w:rsidRPr="00061321">
        <w:rPr>
          <w:rFonts w:ascii="Arial Narrow" w:hAnsi="Arial Narrow" w:cs="Arial"/>
          <w:sz w:val="22"/>
          <w:szCs w:val="22"/>
        </w:rPr>
        <w:t xml:space="preserve"> bankových služieb a správy fondu. </w:t>
      </w:r>
    </w:p>
    <w:p w:rsidR="00061321" w:rsidRPr="00061321" w:rsidP="00061321">
      <w:pPr>
        <w:bidi w:val="0"/>
        <w:rPr>
          <w:rFonts w:ascii="Arial Narrow" w:hAnsi="Arial Narrow" w:cs="Arial"/>
          <w:sz w:val="22"/>
          <w:szCs w:val="22"/>
        </w:rPr>
      </w:pPr>
    </w:p>
    <w:p w:rsidR="00061321" w:rsidRPr="00061321" w:rsidP="00061321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61321">
        <w:rPr>
          <w:rFonts w:ascii="Arial Narrow" w:hAnsi="Arial Narrow" w:cs="Arial"/>
          <w:sz w:val="22"/>
          <w:szCs w:val="22"/>
        </w:rPr>
        <w:t>Celkový hotovostný prebytok ŠFRB sa rozpočtuje v roku 2011 v sume 2,31 mil. eur, v roku 2012 vo výške 1,24 mil. eur a v roku 2013 v sume 1,47 mil. eur. V metodike ESA 95</w:t>
      </w:r>
      <w:r w:rsidRPr="00061321">
        <w:rPr>
          <w:rFonts w:ascii="Arial Narrow" w:hAnsi="Arial Narrow" w:cs="Arial"/>
          <w:b/>
          <w:sz w:val="22"/>
          <w:szCs w:val="22"/>
        </w:rPr>
        <w:t xml:space="preserve"> </w:t>
      </w:r>
      <w:r w:rsidRPr="00061321">
        <w:rPr>
          <w:rFonts w:ascii="Arial Narrow" w:hAnsi="Arial Narrow" w:cs="Arial"/>
          <w:sz w:val="22"/>
          <w:szCs w:val="22"/>
        </w:rPr>
        <w:t>sa prebytok hospodárenia ŠFRB</w:t>
      </w:r>
      <w:r w:rsidRPr="00061321">
        <w:rPr>
          <w:rFonts w:ascii="Arial Narrow" w:hAnsi="Arial Narrow" w:cs="Arial"/>
          <w:b/>
          <w:sz w:val="22"/>
          <w:szCs w:val="22"/>
        </w:rPr>
        <w:t xml:space="preserve"> </w:t>
      </w:r>
      <w:r w:rsidRPr="00061321">
        <w:rPr>
          <w:rFonts w:ascii="Arial Narrow" w:hAnsi="Arial Narrow" w:cs="Arial"/>
          <w:sz w:val="22"/>
          <w:szCs w:val="22"/>
        </w:rPr>
        <w:t>kvantifikuje v roku 2011</w:t>
      </w:r>
      <w:r w:rsidRPr="00061321">
        <w:rPr>
          <w:rFonts w:ascii="Arial Narrow" w:hAnsi="Arial Narrow" w:cs="Arial"/>
          <w:b/>
          <w:sz w:val="22"/>
          <w:szCs w:val="22"/>
        </w:rPr>
        <w:t xml:space="preserve"> </w:t>
      </w:r>
      <w:r w:rsidRPr="00061321">
        <w:rPr>
          <w:rFonts w:ascii="Arial Narrow" w:hAnsi="Arial Narrow" w:cs="Arial"/>
          <w:sz w:val="22"/>
          <w:szCs w:val="22"/>
        </w:rPr>
        <w:t xml:space="preserve">vo výške 82,2 mil. eur, v roku 2012 v čiastke 85,4 mil. eur, v roku 2013 vo výške 87,7 mil. eur.  </w:t>
      </w:r>
    </w:p>
    <w:p w:rsidR="007A23E8" w:rsidP="007A23E8">
      <w:pPr>
        <w:bidi w:val="0"/>
        <w:jc w:val="both"/>
        <w:rPr>
          <w:rFonts w:ascii="Arial Narrow" w:hAnsi="Arial Narrow" w:cs="Arial"/>
        </w:rPr>
      </w:pPr>
    </w:p>
    <w:p w:rsidR="007A23E8" w:rsidP="007A23E8">
      <w:pPr>
        <w:bidi w:val="0"/>
        <w:jc w:val="both"/>
        <w:rPr>
          <w:rFonts w:ascii="Arial Narrow" w:hAnsi="Arial Narrow"/>
          <w:b/>
        </w:rPr>
      </w:pPr>
    </w:p>
    <w:p w:rsidR="0084667A" w:rsidRPr="002E5A49" w:rsidP="007A23E8">
      <w:pPr>
        <w:bidi w:val="0"/>
        <w:jc w:val="both"/>
        <w:rPr>
          <w:rFonts w:ascii="Arial Narrow" w:hAnsi="Arial Narrow"/>
          <w:b/>
        </w:rPr>
      </w:pPr>
      <w:r w:rsidRPr="002E5A49">
        <w:rPr>
          <w:rFonts w:ascii="Arial Narrow" w:hAnsi="Arial Narrow"/>
          <w:b/>
        </w:rPr>
        <w:t xml:space="preserve">4.2. Národný jadrový fond </w:t>
      </w:r>
    </w:p>
    <w:p w:rsidR="0084667A" w:rsidRPr="00F45672" w:rsidP="0084667A">
      <w:pPr>
        <w:bidi w:val="0"/>
        <w:ind w:firstLine="708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2E5A49" w:rsidRPr="00A44DF2" w:rsidP="002E5A49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Účelom zriadenia Národného jadrového</w:t>
      </w:r>
      <w:r w:rsidRPr="00A44DF2">
        <w:rPr>
          <w:rFonts w:ascii="Arial Narrow" w:hAnsi="Arial Narrow"/>
          <w:sz w:val="22"/>
          <w:szCs w:val="22"/>
        </w:rPr>
        <w:t xml:space="preserve"> fond</w:t>
      </w:r>
      <w:r>
        <w:rPr>
          <w:rFonts w:ascii="Arial Narrow" w:hAnsi="Arial Narrow"/>
          <w:sz w:val="22"/>
          <w:szCs w:val="22"/>
        </w:rPr>
        <w:t>u</w:t>
      </w:r>
      <w:r w:rsidRPr="00A44DF2">
        <w:rPr>
          <w:rFonts w:ascii="Arial Narrow" w:hAnsi="Arial Narrow"/>
          <w:sz w:val="22"/>
          <w:szCs w:val="22"/>
        </w:rPr>
        <w:t xml:space="preserve"> na vyraďovanie jadrových zariadení a na nakladanie s vyhoretým jadrovým palivom a rádioaktívnymi odpadmi </w:t>
      </w:r>
      <w:r>
        <w:rPr>
          <w:rFonts w:ascii="Arial Narrow" w:hAnsi="Arial Narrow"/>
          <w:sz w:val="22"/>
          <w:szCs w:val="22"/>
        </w:rPr>
        <w:t>(ďalej len „NJF“) je sústreďovať a spravovať finančné prostriedky na ukončenie prevádzky jadrového zariadenia na vyraďovanie, vyraďovanie jadrových zariadení vrátane nakladania s rádioaktívnymi odpadmi z tohto vyraďovania, ukladanie vyhoretého jadrového paliva vrátane prepravy na ukladanie, inštitucionálnu kontrolu úložísk rádioaktívnych odpadov a vyhoretého jadrového paliva a skladovanie vyhoretého jadrového paliva.</w:t>
      </w:r>
    </w:p>
    <w:p w:rsidR="002E5A49" w:rsidP="002E5A49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9254" w:type="dxa"/>
        <w:jc w:val="center"/>
        <w:tblInd w:w="26" w:type="dxa"/>
        <w:tblCellMar>
          <w:left w:w="70" w:type="dxa"/>
          <w:right w:w="70" w:type="dxa"/>
        </w:tblCellMar>
        <w:tblLook w:val="00A0"/>
      </w:tblPr>
      <w:tblGrid>
        <w:gridCol w:w="3734"/>
        <w:gridCol w:w="920"/>
        <w:gridCol w:w="920"/>
        <w:gridCol w:w="920"/>
        <w:gridCol w:w="920"/>
        <w:gridCol w:w="920"/>
        <w:gridCol w:w="920"/>
      </w:tblGrid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405"/>
          <w:jc w:val="center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D56B9" w:rsidP="002D6C95">
            <w:pPr>
              <w:bidi w:val="0"/>
              <w:rPr>
                <w:rFonts w:ascii="Arial Narrow" w:hAnsi="Arial Narrow" w:cs="Arial"/>
                <w:b/>
                <w:sz w:val="16"/>
                <w:szCs w:val="16"/>
              </w:rPr>
            </w:pPr>
            <w:bookmarkStart w:id="0" w:name="RANGE_A1_G30"/>
            <w:r w:rsidRPr="003D56B9" w:rsidR="003D56B9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Pr="003D56B9">
              <w:rPr>
                <w:rFonts w:ascii="Arial Narrow" w:hAnsi="Arial Narrow" w:cs="Arial"/>
                <w:b/>
                <w:bCs/>
                <w:sz w:val="16"/>
                <w:szCs w:val="16"/>
              </w:rPr>
              <w:t>v tis. eur</w:t>
            </w:r>
            <w:r w:rsidRPr="003D56B9" w:rsidR="003D56B9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  <w:r w:rsidRPr="003D56B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bookmarkEnd w:id="0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Príjmy NJF spolu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716 268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765 369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797 659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873 645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996 004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1 147 054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231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both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▪   nedaňové príjmy, z toho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106 631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86 712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66 909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141 696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152 027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180 705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3F0120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    úroky z domácich pôžičiek a vkladov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27 916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17 256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5 500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10 287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10 703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9 955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3F0120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    z prijatých odvodov od vlatníkov JEZ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78 715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69 456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61 409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61 409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71 324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100 750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3F0120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   od prevádzkovateľov prenos. a distribuč. sústav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70 000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▪   granty a transfery,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345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3F0120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    transfery v rámci verejnej správy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345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▪   ostatné príjmy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▪   príjmy z transakcií s fin. akt. a pas., z toho: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609 532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678 432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730 539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731 617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843 645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966 004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3F0120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    zost. prostr. z predch. roka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609 532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678 432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730 539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731 617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843 645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966 004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Výdavky NJF spolu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37 836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34 830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66 042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30 000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177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both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▪   bežné výdavky,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30 828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30 855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51 155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25 960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26 048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26 244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225F8" w:rsidRPr="003F0120" w:rsidP="003F0120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mzdy a odvody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499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225F8" w:rsidRPr="003F0120" w:rsidP="003F0120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tovary a služby (prev. náklady)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733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225F8" w:rsidRPr="003F0120" w:rsidP="003F0120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bežné transfery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30 249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30 266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50 460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25 258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25 328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25 012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▪   kapitálové výdavky,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7 008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3 975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14 887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4 040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3 952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3 756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        obstarávanie kapitálových aktív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        kapitálové transfery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7 008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3 952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14 884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4 038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3 949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3 748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Celkový prebytok NJF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678 432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730 539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731 617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843 645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966 004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1 117 054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-609 532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-678 432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-730 539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-731 617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-843 645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-966 004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   z 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 xml:space="preserve">    ▪   vylúčenie príjmových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-609 532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-678 432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-730 539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-731 617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-843 645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sz w:val="16"/>
                <w:szCs w:val="16"/>
              </w:rPr>
              <w:t>-966 004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5F8" w:rsidRPr="003F0120" w:rsidP="002D6C95">
            <w:pPr>
              <w:bidi w:val="0"/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  <w:t xml:space="preserve">    ostatné úpravy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-1 593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-6 748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9254" w:type="dxa"/>
          <w:jc w:val="center"/>
          <w:tblInd w:w="26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both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Prebytok (+)/schodok (-) NJF   (ESA 95)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67 307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45 359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1 078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112 028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122 359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</w:tcPr>
          <w:p w:rsidR="005225F8" w:rsidRPr="003F0120" w:rsidP="002D6C95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151 050</w:t>
            </w:r>
          </w:p>
        </w:tc>
      </w:tr>
    </w:tbl>
    <w:p w:rsidR="002E5A49" w:rsidP="002E5A49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2E5A49" w:rsidRPr="00BF5B15" w:rsidP="002E5A49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návrhu rozpočtu príjmov NJF na rok 2011 sú zohľadnené príjmy z povinných príspevkov od prevádzkovateľov jadrových zariadení vyrábajúcich elektrinu v sume 61,4 mil. eur. Príspevky vyberané prevádzkovateľom prenosovej sústavy a prevádzkovateľom distribučnej sústavy určené na úhradu tzv. historického dlhu sú rozpočtované v sume 70 mil. eur. Príjmy zo štátneho rozpočtu sú rozpočtované v sume </w:t>
        <w:br/>
        <w:t>332 tis. eur. Úroky z uložených prostriedkov predstavujú 10,3 mil. eur. Zostatok prostriedkov z minulého roka predstavuje sumu 73</w:t>
      </w:r>
      <w:r w:rsidR="005225F8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mil. eur. </w:t>
      </w:r>
    </w:p>
    <w:p w:rsidR="002E5A49" w:rsidRPr="005B5775" w:rsidP="002E5A49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2E5A49" w:rsidP="002E5A49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2B51F5">
        <w:rPr>
          <w:rFonts w:ascii="Arial Narrow" w:hAnsi="Arial Narrow"/>
          <w:sz w:val="22"/>
          <w:szCs w:val="22"/>
        </w:rPr>
        <w:t xml:space="preserve">Výdavky </w:t>
      </w:r>
      <w:r>
        <w:rPr>
          <w:rFonts w:ascii="Arial Narrow" w:hAnsi="Arial Narrow"/>
          <w:sz w:val="22"/>
          <w:szCs w:val="22"/>
        </w:rPr>
        <w:t xml:space="preserve">NJF </w:t>
      </w:r>
      <w:r w:rsidRPr="002B51F5">
        <w:rPr>
          <w:rFonts w:ascii="Arial Narrow" w:hAnsi="Arial Narrow"/>
          <w:sz w:val="22"/>
          <w:szCs w:val="22"/>
        </w:rPr>
        <w:t xml:space="preserve">sú smerované na </w:t>
      </w:r>
      <w:r>
        <w:rPr>
          <w:rFonts w:ascii="Arial Narrow" w:hAnsi="Arial Narrow"/>
          <w:sz w:val="22"/>
          <w:szCs w:val="22"/>
        </w:rPr>
        <w:t xml:space="preserve">projekty záverečnej časti jadrovej energetiky týkajúce sa vyraďovania jadrovej elektrárne A-1, ukončovania prevádzky jadrovej elektrárne V-1, nakladania s rádioaktívnymi odpadmi z vyraďovania, </w:t>
      </w:r>
      <w:r w:rsidRPr="002B51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skladovania vyhoretého jadrového paliva,  nakladania</w:t>
      </w:r>
      <w:r w:rsidRPr="002B51F5">
        <w:rPr>
          <w:rFonts w:ascii="Arial Narrow" w:hAnsi="Arial Narrow"/>
          <w:sz w:val="22"/>
          <w:szCs w:val="22"/>
        </w:rPr>
        <w:t xml:space="preserve"> s jadrovými materiálmi a rádioaktívnymi odpadmi</w:t>
      </w:r>
      <w:r>
        <w:rPr>
          <w:rFonts w:ascii="Arial Narrow" w:hAnsi="Arial Narrow"/>
          <w:sz w:val="22"/>
          <w:szCs w:val="22"/>
        </w:rPr>
        <w:t xml:space="preserve">, ktorých pôvodca nie je známy (financované z prostriedkov ŠR) </w:t>
      </w:r>
      <w:r w:rsidRPr="002B51F5">
        <w:rPr>
          <w:rFonts w:ascii="Arial Narrow" w:hAnsi="Arial Narrow"/>
          <w:sz w:val="22"/>
          <w:szCs w:val="22"/>
        </w:rPr>
        <w:t xml:space="preserve"> a  na správu </w:t>
      </w:r>
      <w:r>
        <w:rPr>
          <w:rFonts w:ascii="Arial Narrow" w:hAnsi="Arial Narrow"/>
          <w:sz w:val="22"/>
          <w:szCs w:val="22"/>
        </w:rPr>
        <w:t>NJF</w:t>
      </w:r>
      <w:r w:rsidRPr="002B51F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Na rok 2011 sa výdavky NJF rozpočtujú v sume 30,0 mil. eur, oproti schválenému rozpočtu na rok 2010 klesajú o 55,6 % a oproti očakávanej skutočnosti na rok 2010 klesajú o 54,6 %. </w:t>
      </w:r>
    </w:p>
    <w:p w:rsidR="002E5A49" w:rsidP="002E5A49">
      <w:pPr>
        <w:bidi w:val="0"/>
        <w:jc w:val="both"/>
        <w:rPr>
          <w:rFonts w:ascii="Arial Narrow" w:hAnsi="Arial Narrow" w:cs="Arial"/>
          <w:bCs/>
          <w:color w:val="303030"/>
          <w:sz w:val="22"/>
          <w:szCs w:val="22"/>
        </w:rPr>
      </w:pPr>
    </w:p>
    <w:p w:rsidR="002E5A49" w:rsidRPr="00FC5A71" w:rsidP="002E5A49">
      <w:pPr>
        <w:pStyle w:val="BodyTextIndent2"/>
        <w:tabs>
          <w:tab w:val="left" w:pos="0"/>
        </w:tabs>
        <w:bidi w:val="0"/>
        <w:spacing w:after="0" w:line="240" w:lineRule="auto"/>
        <w:ind w:left="0" w:firstLine="709"/>
        <w:jc w:val="both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>C</w:t>
      </w:r>
      <w:r>
        <w:rPr>
          <w:rFonts w:ascii="Arial Narrow" w:hAnsi="Arial Narrow" w:cs="Arial"/>
          <w:sz w:val="22"/>
          <w:szCs w:val="22"/>
        </w:rPr>
        <w:t>elkový hotovostný prebytok NJF</w:t>
      </w:r>
      <w:r w:rsidRPr="00FC5A71">
        <w:rPr>
          <w:rFonts w:ascii="Arial Narrow" w:hAnsi="Arial Narrow" w:cs="Arial"/>
          <w:sz w:val="22"/>
          <w:szCs w:val="22"/>
        </w:rPr>
        <w:t xml:space="preserve"> sa v rok</w:t>
      </w:r>
      <w:r>
        <w:rPr>
          <w:rFonts w:ascii="Arial Narrow" w:hAnsi="Arial Narrow" w:cs="Arial"/>
          <w:sz w:val="22"/>
          <w:szCs w:val="22"/>
        </w:rPr>
        <w:t xml:space="preserve">u 2011 predpokladá vo výške 844 </w:t>
      </w:r>
      <w:r w:rsidRPr="00FC5A71">
        <w:rPr>
          <w:rFonts w:ascii="Arial Narrow" w:hAnsi="Arial Narrow" w:cs="Arial"/>
          <w:sz w:val="22"/>
          <w:szCs w:val="22"/>
        </w:rPr>
        <w:t xml:space="preserve"> mil. eur</w:t>
      </w:r>
      <w:r>
        <w:rPr>
          <w:rFonts w:ascii="Arial Narrow" w:hAnsi="Arial Narrow" w:cs="Arial"/>
          <w:sz w:val="22"/>
          <w:szCs w:val="22"/>
        </w:rPr>
        <w:t>, v</w:t>
      </w:r>
      <w:r w:rsidRPr="00FC5A71">
        <w:rPr>
          <w:rFonts w:ascii="Arial Narrow" w:hAnsi="Arial Narrow" w:cs="Arial"/>
          <w:sz w:val="22"/>
          <w:szCs w:val="22"/>
        </w:rPr>
        <w:t xml:space="preserve"> roku 2012 </w:t>
      </w:r>
      <w:r>
        <w:rPr>
          <w:rFonts w:ascii="Arial Narrow" w:hAnsi="Arial Narrow" w:cs="Arial"/>
          <w:sz w:val="22"/>
          <w:szCs w:val="22"/>
        </w:rPr>
        <w:t>vo výške 966</w:t>
      </w:r>
      <w:r w:rsidRPr="00FC5A71">
        <w:rPr>
          <w:rFonts w:ascii="Arial Narrow" w:hAnsi="Arial Narrow" w:cs="Arial"/>
          <w:sz w:val="22"/>
          <w:szCs w:val="22"/>
        </w:rPr>
        <w:t xml:space="preserve"> mil. eur a v roku 2013 vo výške </w:t>
      </w:r>
      <w:r>
        <w:rPr>
          <w:rFonts w:ascii="Arial Narrow" w:hAnsi="Arial Narrow" w:cs="Arial"/>
          <w:sz w:val="22"/>
          <w:szCs w:val="22"/>
        </w:rPr>
        <w:t>1,12 m</w:t>
      </w:r>
      <w:r w:rsidRPr="00FC5A71">
        <w:rPr>
          <w:rFonts w:ascii="Arial Narrow" w:hAnsi="Arial Narrow" w:cs="Arial"/>
          <w:sz w:val="22"/>
          <w:szCs w:val="22"/>
        </w:rPr>
        <w:t>l</w:t>
      </w:r>
      <w:r>
        <w:rPr>
          <w:rFonts w:ascii="Arial Narrow" w:hAnsi="Arial Narrow" w:cs="Arial"/>
          <w:sz w:val="22"/>
          <w:szCs w:val="22"/>
        </w:rPr>
        <w:t>d</w:t>
      </w:r>
      <w:r w:rsidRPr="00FC5A71">
        <w:rPr>
          <w:rFonts w:ascii="Arial Narrow" w:hAnsi="Arial Narrow" w:cs="Arial"/>
          <w:sz w:val="22"/>
          <w:szCs w:val="22"/>
        </w:rPr>
        <w:t>. eu</w:t>
      </w:r>
      <w:r>
        <w:rPr>
          <w:rFonts w:ascii="Arial Narrow" w:hAnsi="Arial Narrow" w:cs="Arial"/>
          <w:sz w:val="22"/>
          <w:szCs w:val="22"/>
        </w:rPr>
        <w:t>r. V metodike ESA 95 sa prebytok hospodárenia NJF</w:t>
      </w:r>
      <w:r w:rsidRPr="00FC5A71">
        <w:rPr>
          <w:rFonts w:ascii="Arial Narrow" w:hAnsi="Arial Narrow" w:cs="Arial"/>
          <w:sz w:val="22"/>
          <w:szCs w:val="22"/>
        </w:rPr>
        <w:t xml:space="preserve"> v roku 2011</w:t>
      </w:r>
      <w:r>
        <w:rPr>
          <w:rFonts w:ascii="Arial Narrow" w:hAnsi="Arial Narrow" w:cs="Arial"/>
          <w:sz w:val="22"/>
          <w:szCs w:val="22"/>
        </w:rPr>
        <w:t xml:space="preserve"> kvantifikuje </w:t>
      </w:r>
      <w:r w:rsidRPr="00FC5A71">
        <w:rPr>
          <w:rFonts w:ascii="Arial Narrow" w:hAnsi="Arial Narrow" w:cs="Arial"/>
          <w:sz w:val="22"/>
          <w:szCs w:val="22"/>
        </w:rPr>
        <w:t xml:space="preserve">vo výške </w:t>
      </w:r>
      <w:r>
        <w:rPr>
          <w:rFonts w:ascii="Arial Narrow" w:hAnsi="Arial Narrow" w:cs="Arial"/>
          <w:sz w:val="22"/>
          <w:szCs w:val="22"/>
        </w:rPr>
        <w:t xml:space="preserve">112 mil. </w:t>
      </w:r>
      <w:r w:rsidRPr="00FC5A71">
        <w:rPr>
          <w:rFonts w:ascii="Arial Narrow" w:hAnsi="Arial Narrow" w:cs="Arial"/>
          <w:sz w:val="22"/>
          <w:szCs w:val="22"/>
        </w:rPr>
        <w:t xml:space="preserve">eur, v roku 2012 vo výške </w:t>
      </w:r>
      <w:r>
        <w:rPr>
          <w:rFonts w:ascii="Arial Narrow" w:hAnsi="Arial Narrow" w:cs="Arial"/>
          <w:sz w:val="22"/>
          <w:szCs w:val="22"/>
        </w:rPr>
        <w:t>122 mil</w:t>
      </w:r>
      <w:r w:rsidRPr="00FC5A71">
        <w:rPr>
          <w:rFonts w:ascii="Arial Narrow" w:hAnsi="Arial Narrow" w:cs="Arial"/>
          <w:sz w:val="22"/>
          <w:szCs w:val="22"/>
        </w:rPr>
        <w:t xml:space="preserve">. eur a v roku 2013 vo výške </w:t>
      </w:r>
      <w:r>
        <w:rPr>
          <w:rFonts w:ascii="Arial Narrow" w:hAnsi="Arial Narrow" w:cs="Arial"/>
          <w:sz w:val="22"/>
          <w:szCs w:val="22"/>
        </w:rPr>
        <w:br/>
        <w:t>151 mil.</w:t>
      </w:r>
      <w:r w:rsidRPr="00FC5A71">
        <w:rPr>
          <w:rFonts w:ascii="Arial Narrow" w:hAnsi="Arial Narrow" w:cs="Arial"/>
          <w:sz w:val="22"/>
          <w:szCs w:val="22"/>
        </w:rPr>
        <w:t xml:space="preserve"> eur.</w:t>
      </w:r>
    </w:p>
    <w:p w:rsidR="00590EEF" w:rsidP="0084667A">
      <w:pPr>
        <w:bidi w:val="0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4667A" w:rsidP="0084667A">
      <w:pPr>
        <w:bidi w:val="0"/>
        <w:rPr>
          <w:rFonts w:ascii="Arial Narrow" w:hAnsi="Arial Narrow" w:cs="Arial"/>
          <w:b/>
          <w:bCs/>
        </w:rPr>
      </w:pPr>
      <w:r w:rsidRPr="002E5A49">
        <w:rPr>
          <w:rFonts w:ascii="Arial Narrow" w:hAnsi="Arial Narrow" w:cs="Arial"/>
          <w:b/>
          <w:bCs/>
        </w:rPr>
        <w:t>4.3. Environmentálny fond</w:t>
      </w:r>
    </w:p>
    <w:p w:rsidR="0084667A" w:rsidP="0084667A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2E5A49" w:rsidP="002E5A49">
      <w:pPr>
        <w:pStyle w:val="BodyTextIndent2"/>
        <w:tabs>
          <w:tab w:val="left" w:pos="0"/>
        </w:tabs>
        <w:bidi w:val="0"/>
        <w:spacing w:after="0" w:line="240" w:lineRule="auto"/>
        <w:ind w:left="0" w:firstLine="709"/>
        <w:jc w:val="both"/>
        <w:rPr>
          <w:rFonts w:ascii="Arial Narrow" w:hAnsi="Arial Narrow" w:cs="Arial"/>
          <w:sz w:val="22"/>
          <w:szCs w:val="22"/>
        </w:rPr>
      </w:pPr>
      <w:r w:rsidRPr="00A23EB5">
        <w:rPr>
          <w:rFonts w:ascii="Arial Narrow" w:hAnsi="Arial Narrow" w:cs="Arial"/>
          <w:sz w:val="22"/>
          <w:szCs w:val="22"/>
        </w:rPr>
        <w:t>Prostriedky Environmentálneho fondu (ďalej len „EF“) by mali v roku 2011 slúžiť na zníženie znečistenia odpadových vôd, zabezpečenie zásobovania obyvateľstva pitnou vodou z obecných vodovodov, zlepšenie kvality ovzdušia, rozvoj odpadového hospodárstva, ochranu prírody ako aj odstraňovani</w:t>
      </w:r>
      <w:r w:rsidR="007A23E8">
        <w:rPr>
          <w:rFonts w:ascii="Arial Narrow" w:hAnsi="Arial Narrow" w:cs="Arial"/>
          <w:sz w:val="22"/>
          <w:szCs w:val="22"/>
        </w:rPr>
        <w:t>e</w:t>
      </w:r>
      <w:r w:rsidRPr="00A23EB5">
        <w:rPr>
          <w:rFonts w:ascii="Arial Narrow" w:hAnsi="Arial Narrow" w:cs="Arial"/>
          <w:sz w:val="22"/>
          <w:szCs w:val="22"/>
        </w:rPr>
        <w:t xml:space="preserve"> následk</w:t>
      </w:r>
      <w:r>
        <w:rPr>
          <w:rFonts w:ascii="Arial Narrow" w:hAnsi="Arial Narrow" w:cs="Arial"/>
          <w:sz w:val="22"/>
          <w:szCs w:val="22"/>
        </w:rPr>
        <w:t>ov havárií. EF</w:t>
      </w:r>
      <w:r w:rsidRPr="00A23EB5">
        <w:rPr>
          <w:rFonts w:ascii="Arial Narrow" w:hAnsi="Arial Narrow" w:cs="Arial"/>
          <w:sz w:val="22"/>
          <w:szCs w:val="22"/>
        </w:rPr>
        <w:t xml:space="preserve"> bude v uvedených rokoch poskytovať aj návratnú podporu prostredníctvom  úverov určen</w:t>
      </w:r>
      <w:r>
        <w:rPr>
          <w:rFonts w:ascii="Arial Narrow" w:hAnsi="Arial Narrow" w:cs="Arial"/>
          <w:sz w:val="22"/>
          <w:szCs w:val="22"/>
        </w:rPr>
        <w:t>ých na ekologické projekty. EF</w:t>
      </w:r>
      <w:r w:rsidRPr="00A23EB5">
        <w:rPr>
          <w:rFonts w:ascii="Arial Narrow" w:hAnsi="Arial Narrow" w:cs="Arial"/>
          <w:sz w:val="22"/>
          <w:szCs w:val="22"/>
        </w:rPr>
        <w:t xml:space="preserve"> bude napĺňať programové ciele v oblasti realizácie štátnej podpory starostlivosti o životné prostredie konkrétnymi krokmi, ktoré umožnia znížiť rozostavanosť investícií environmentálneho charakteru, ktorých investormi  sú prevažne malé obce do dvoch tisíc obyvateľov.</w:t>
      </w:r>
    </w:p>
    <w:p w:rsidR="002E5A49" w:rsidP="0024343E">
      <w:pPr>
        <w:bidi w:val="0"/>
        <w:spacing w:before="120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A23EB5">
        <w:rPr>
          <w:rFonts w:ascii="Arial Narrow" w:hAnsi="Arial Narrow" w:cs="Arial"/>
          <w:sz w:val="22"/>
          <w:szCs w:val="22"/>
        </w:rPr>
        <w:t>Vývoj príjmovej a výdavkovej časti rozpočtu EF na roky 2011 až 2013 je nasledovný</w:t>
      </w:r>
      <w:r w:rsidR="00867FB3">
        <w:rPr>
          <w:rFonts w:ascii="Arial Narrow" w:hAnsi="Arial Narrow" w:cs="Arial"/>
          <w:sz w:val="22"/>
          <w:szCs w:val="22"/>
        </w:rPr>
        <w:t>:</w:t>
      </w:r>
    </w:p>
    <w:p w:rsidR="002E5A49" w:rsidP="002E5A49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Normal"/>
        <w:tblW w:w="9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920"/>
        <w:gridCol w:w="920"/>
        <w:gridCol w:w="920"/>
        <w:gridCol w:w="920"/>
        <w:gridCol w:w="920"/>
        <w:gridCol w:w="920"/>
      </w:tblGrid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7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5D333F" w:rsidP="005D333F">
            <w:pPr>
              <w:bidi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D333F" w:rsidR="005D333F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Pr="005D333F">
              <w:rPr>
                <w:rFonts w:ascii="Arial Narrow" w:hAnsi="Arial Narrow" w:cs="Arial"/>
                <w:b/>
                <w:bCs/>
                <w:sz w:val="16"/>
                <w:szCs w:val="16"/>
              </w:rPr>
              <w:t>v tis. eur</w:t>
            </w:r>
            <w:r w:rsidRPr="005D333F" w:rsidR="005D333F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  <w:r w:rsidRPr="005D333F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Príjmy EF spolu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176 236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145 89</w:t>
            </w:r>
            <w:r w:rsidR="00F6391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129 134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205 956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313 405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421 043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daňové príjmy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1 188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875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nedaňové príjmy,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138 000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44 21</w:t>
            </w:r>
            <w:r w:rsidR="00F63915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41 423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140 528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140 828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140 833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    z úhrad za vydobyté nerasty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2 837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="00F63915">
              <w:rPr>
                <w:rFonts w:ascii="Arial Narrow" w:hAnsi="Arial Narrow" w:cs="Arial"/>
                <w:sz w:val="16"/>
                <w:szCs w:val="16"/>
              </w:rPr>
              <w:t>2 510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2 655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2 655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2 650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    administ. poplatky a iné poplatky a platby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43 443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="00F63915">
              <w:rPr>
                <w:rFonts w:ascii="Arial Narrow" w:hAnsi="Arial Narrow" w:cs="Arial"/>
                <w:sz w:val="16"/>
                <w:szCs w:val="16"/>
              </w:rPr>
              <w:t>38 026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38 528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37 353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37 653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37 663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    príjem z predaja kapitál. Aktív (z emis.kvót)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74 953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100 000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    úroky z tuzem. úverov, pôžičiek, vkladov a ážio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1 208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="00F63915">
              <w:rPr>
                <w:rFonts w:ascii="Arial Narrow" w:hAnsi="Arial Narrow" w:cs="Arial"/>
                <w:sz w:val="16"/>
                <w:szCs w:val="16"/>
              </w:rPr>
              <w:t>463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483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    iné nedaňové príjmy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15 559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transfery zo ŠR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príjmy z transakcií s fin. akt. a pas., z toho: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37 048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97 571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86 711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64 558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171 702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279 335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    zo splátok tuzem. úverov, pôž. a NFV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797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1 477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2 625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2 987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2 755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    zost. prostr. z predch. roka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36 251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96 094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84 086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61 571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168 892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276 580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Výdavky EF spolu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80 143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61 809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67 563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37 064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36 825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36 618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bežné výdavky,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6 158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11 830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9 219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3 991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mzdy a odvody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649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643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774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893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tovary a služby (prev. náklady)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2 862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435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vrátenie príjmov minulých rokov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2 650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bežné transfery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8 325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5 193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kapitálové výdavky,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70 645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40 025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32 654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30 014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30 017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30 127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obstarávanie kapitálových aktív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127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ind w:firstLine="480" w:firstLineChars="3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kapitálové transfery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70 605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40 021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32 505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30 000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výdavky z transakcií s fin. akt. a pas., z toho: (FO)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9 954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25 690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2 500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04DB" w:rsidRPr="004F04DB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    úvery, pôžičky a NFV v rámci VS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9 954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25 690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2 500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Celkový prebytok EF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96 093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84 08</w:t>
            </w:r>
            <w:r w:rsidR="00F6391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61 571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168 892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276 580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384 425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-33 708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-87 617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-61 021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-61 338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-168 802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-276 835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12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   z 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vylúčenie príjmových FO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-37 048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-97 571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-86 711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-64 558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-171 702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-279 335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 xml:space="preserve">    ▪   vylúčenie výdavkových FO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9 954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25 690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sz w:val="16"/>
                <w:szCs w:val="16"/>
              </w:rPr>
              <w:t>2 500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3F0120" w:rsidP="00285272">
            <w:pPr>
              <w:bidi w:val="0"/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</w:pPr>
            <w:r w:rsidRPr="003F0120" w:rsidR="002D1ADB"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  <w:t>ostatné úpravy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3F0120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i/>
                <w:sz w:val="16"/>
                <w:szCs w:val="16"/>
              </w:rPr>
              <w:t>-11 850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3F0120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i/>
                <w:sz w:val="16"/>
                <w:szCs w:val="16"/>
              </w:rPr>
              <w:t>345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3F0120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4F04DB" w:rsidRPr="003F0120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3F0120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F04DB" w:rsidRPr="003F0120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3F0120">
              <w:rPr>
                <w:rFonts w:ascii="Arial Narrow" w:hAnsi="Arial Narrow" w:cs="Arial"/>
                <w:b/>
                <w:i/>
                <w:sz w:val="16"/>
                <w:szCs w:val="16"/>
              </w:rPr>
              <w:t>0</w:t>
            </w:r>
          </w:p>
        </w:tc>
      </w:tr>
      <w:tr>
        <w:tblPrEx>
          <w:tblW w:w="928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Prebytok (+)/schodok (-)  EF(ESA 95)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50 535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-3 18</w:t>
            </w:r>
            <w:r w:rsidR="00F6391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107 554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107 778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lrTb"/>
            <w:vAlign w:val="center"/>
          </w:tcPr>
          <w:p w:rsidR="004F04DB" w:rsidRPr="004F04DB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4F04DB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107 590</w:t>
            </w:r>
          </w:p>
        </w:tc>
      </w:tr>
    </w:tbl>
    <w:p w:rsidR="002E5A49" w:rsidRPr="00A23EB5" w:rsidP="002E5A49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A23EB5">
        <w:rPr>
          <w:rFonts w:ascii="Arial Narrow" w:hAnsi="Arial Narrow" w:cs="Arial"/>
          <w:sz w:val="22"/>
          <w:szCs w:val="22"/>
        </w:rPr>
        <w:t>Objem príjmov navrhnutý na rok 2011 v celkovej výške 206 mil. eur, ktorý má byť dosiahnutý rovnako ako po minulé roky výlučne z vla</w:t>
      </w:r>
      <w:r>
        <w:rPr>
          <w:rFonts w:ascii="Arial Narrow" w:hAnsi="Arial Narrow" w:cs="Arial"/>
          <w:sz w:val="22"/>
          <w:szCs w:val="22"/>
        </w:rPr>
        <w:t>stných zdrojov bez dotácií zo štátneho rozpočtu</w:t>
      </w:r>
      <w:r w:rsidRPr="00A23EB5">
        <w:rPr>
          <w:rFonts w:ascii="Arial Narrow" w:hAnsi="Arial Narrow" w:cs="Arial"/>
          <w:sz w:val="22"/>
          <w:szCs w:val="22"/>
        </w:rPr>
        <w:t xml:space="preserve">, rastie oproti </w:t>
      </w:r>
      <w:r>
        <w:rPr>
          <w:rFonts w:ascii="Arial Narrow" w:hAnsi="Arial Narrow" w:cs="Arial"/>
          <w:sz w:val="22"/>
          <w:szCs w:val="22"/>
        </w:rPr>
        <w:t xml:space="preserve">očakávanej skutočnosti </w:t>
      </w:r>
      <w:r w:rsidRPr="00A23EB5">
        <w:rPr>
          <w:rFonts w:ascii="Arial Narrow" w:hAnsi="Arial Narrow" w:cs="Arial"/>
          <w:sz w:val="22"/>
          <w:szCs w:val="22"/>
        </w:rPr>
        <w:t xml:space="preserve">roku 2010 </w:t>
      </w:r>
      <w:r>
        <w:rPr>
          <w:rFonts w:ascii="Arial Narrow" w:hAnsi="Arial Narrow" w:cs="Arial"/>
          <w:sz w:val="22"/>
          <w:szCs w:val="22"/>
        </w:rPr>
        <w:t>o 59,5</w:t>
      </w:r>
      <w:r w:rsidRPr="00A23EB5">
        <w:rPr>
          <w:rFonts w:ascii="Arial Narrow" w:hAnsi="Arial Narrow" w:cs="Arial"/>
          <w:sz w:val="22"/>
          <w:szCs w:val="22"/>
        </w:rPr>
        <w:t xml:space="preserve"> %.  Dôvodom nárastu je vyššia úroveň rozpočtovaných príjmov z predaja emisných kvót</w:t>
      </w:r>
      <w:r>
        <w:rPr>
          <w:rFonts w:ascii="Arial Narrow" w:hAnsi="Arial Narrow" w:cs="Arial"/>
          <w:sz w:val="22"/>
          <w:szCs w:val="22"/>
        </w:rPr>
        <w:t>, ktorá je naplánovaná na úroveň 100 mil. eur ročne</w:t>
      </w:r>
      <w:r w:rsidRPr="00A23EB5">
        <w:rPr>
          <w:rFonts w:ascii="Arial Narrow" w:hAnsi="Arial Narrow" w:cs="Arial"/>
          <w:sz w:val="22"/>
          <w:szCs w:val="22"/>
        </w:rPr>
        <w:t>. Východiskom na spracovanie návrhu rozpočtu príjmov fondu na roky 2011 až 2013 bola očakávaná skutočnosť v plnení príjmov v roku 2010. Najväčší podiel na celkových príjmoch by mal tvoriť príjem z predaja emisných kvót, a to 48,6 %. Príjmy z administratívnych poplatkov (poplatkov a platieb za vypúšťanie odpadových vôd do povrchových vôd, za odber podzemnej vody a za znečisťovanie ovzdušia</w:t>
      </w:r>
      <w:r>
        <w:rPr>
          <w:rFonts w:ascii="Arial Narrow" w:hAnsi="Arial Narrow" w:cs="Arial"/>
          <w:sz w:val="22"/>
          <w:szCs w:val="22"/>
        </w:rPr>
        <w:t>), ktoré v minulosti tvorili najvyšší podiel</w:t>
      </w:r>
      <w:r w:rsidRPr="00A23EB5">
        <w:rPr>
          <w:rFonts w:ascii="Arial Narrow" w:hAnsi="Arial Narrow" w:cs="Arial"/>
          <w:sz w:val="22"/>
          <w:szCs w:val="22"/>
        </w:rPr>
        <w:t xml:space="preserve"> príjmov, by mali v roku 2011 </w:t>
      </w:r>
      <w:r>
        <w:rPr>
          <w:rFonts w:ascii="Arial Narrow" w:hAnsi="Arial Narrow" w:cs="Arial"/>
          <w:sz w:val="22"/>
          <w:szCs w:val="22"/>
        </w:rPr>
        <w:t xml:space="preserve">činiť </w:t>
      </w:r>
      <w:r w:rsidRPr="00A23EB5">
        <w:rPr>
          <w:rFonts w:ascii="Arial Narrow" w:hAnsi="Arial Narrow" w:cs="Arial"/>
          <w:sz w:val="22"/>
          <w:szCs w:val="22"/>
        </w:rPr>
        <w:t xml:space="preserve">18,1 % celkových príjmov. </w:t>
      </w:r>
    </w:p>
    <w:p w:rsidR="002E5A49" w:rsidP="002E5A49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2E5A49" w:rsidRPr="00A23EB5" w:rsidP="002E5A49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Výdavky EF</w:t>
      </w:r>
      <w:r w:rsidRPr="00A23EB5">
        <w:rPr>
          <w:rFonts w:ascii="Arial Narrow" w:hAnsi="Arial Narrow" w:cs="Arial"/>
          <w:sz w:val="22"/>
          <w:szCs w:val="22"/>
        </w:rPr>
        <w:t xml:space="preserve"> navrhnuté na rok 2011 v celkovej výške</w:t>
      </w:r>
      <w:r>
        <w:rPr>
          <w:rFonts w:ascii="Arial Narrow" w:hAnsi="Arial Narrow" w:cs="Arial"/>
          <w:sz w:val="22"/>
          <w:szCs w:val="22"/>
        </w:rPr>
        <w:t xml:space="preserve"> 37 </w:t>
      </w:r>
      <w:r w:rsidRPr="00A23EB5">
        <w:rPr>
          <w:rFonts w:ascii="Arial Narrow" w:hAnsi="Arial Narrow" w:cs="Arial"/>
          <w:sz w:val="22"/>
          <w:szCs w:val="22"/>
        </w:rPr>
        <w:t>mil. eur, klesajú oproti</w:t>
      </w:r>
      <w:r>
        <w:rPr>
          <w:rFonts w:ascii="Arial Narrow" w:hAnsi="Arial Narrow" w:cs="Arial"/>
          <w:sz w:val="22"/>
          <w:szCs w:val="22"/>
        </w:rPr>
        <w:t xml:space="preserve"> očakávanej skutočnosti </w:t>
      </w:r>
      <w:r w:rsidRPr="00A23EB5">
        <w:rPr>
          <w:rFonts w:ascii="Arial Narrow" w:hAnsi="Arial Narrow" w:cs="Arial"/>
          <w:sz w:val="22"/>
          <w:szCs w:val="22"/>
        </w:rPr>
        <w:t>roku 2010 o</w:t>
      </w:r>
      <w:r>
        <w:rPr>
          <w:rFonts w:ascii="Arial Narrow" w:hAnsi="Arial Narrow" w:cs="Arial"/>
          <w:sz w:val="22"/>
          <w:szCs w:val="22"/>
        </w:rPr>
        <w:t> 45,1</w:t>
      </w:r>
      <w:r w:rsidR="007A23E8">
        <w:rPr>
          <w:rFonts w:ascii="Arial Narrow" w:hAnsi="Arial Narrow" w:cs="Arial"/>
          <w:sz w:val="22"/>
          <w:szCs w:val="22"/>
        </w:rPr>
        <w:t xml:space="preserve"> </w:t>
      </w:r>
      <w:r w:rsidRPr="00A23EB5">
        <w:rPr>
          <w:rFonts w:ascii="Arial Narrow" w:hAnsi="Arial Narrow" w:cs="Arial"/>
          <w:sz w:val="22"/>
          <w:szCs w:val="22"/>
        </w:rPr>
        <w:t>%. Na rok</w:t>
      </w:r>
      <w:r>
        <w:rPr>
          <w:rFonts w:ascii="Arial Narrow" w:hAnsi="Arial Narrow" w:cs="Arial"/>
          <w:sz w:val="22"/>
          <w:szCs w:val="22"/>
        </w:rPr>
        <w:t>y</w:t>
      </w:r>
      <w:r w:rsidRPr="00A23EB5">
        <w:rPr>
          <w:rFonts w:ascii="Arial Narrow" w:hAnsi="Arial Narrow" w:cs="Arial"/>
          <w:sz w:val="22"/>
          <w:szCs w:val="22"/>
        </w:rPr>
        <w:t xml:space="preserve"> 2011</w:t>
      </w:r>
      <w:r>
        <w:rPr>
          <w:rFonts w:ascii="Arial Narrow" w:hAnsi="Arial Narrow" w:cs="Arial"/>
          <w:sz w:val="22"/>
          <w:szCs w:val="22"/>
        </w:rPr>
        <w:t xml:space="preserve"> až 2013</w:t>
      </w:r>
      <w:r w:rsidRPr="00A23EB5">
        <w:rPr>
          <w:rFonts w:ascii="Arial Narrow" w:hAnsi="Arial Narrow" w:cs="Arial"/>
          <w:sz w:val="22"/>
          <w:szCs w:val="22"/>
        </w:rPr>
        <w:t xml:space="preserve"> sú pre subjekt rozpočtované  kapitálové transfery v celkovej výške 30 mil. eur</w:t>
      </w:r>
      <w:r>
        <w:rPr>
          <w:rFonts w:ascii="Arial Narrow" w:hAnsi="Arial Narrow" w:cs="Arial"/>
          <w:sz w:val="22"/>
          <w:szCs w:val="22"/>
        </w:rPr>
        <w:t xml:space="preserve"> ročne</w:t>
      </w:r>
      <w:r w:rsidRPr="00A23EB5">
        <w:rPr>
          <w:rFonts w:ascii="Arial Narrow" w:hAnsi="Arial Narrow" w:cs="Arial"/>
          <w:sz w:val="22"/>
          <w:szCs w:val="22"/>
        </w:rPr>
        <w:t xml:space="preserve">. V tejto sume sú zahrnuté výdavky na GIS (zelené investičné schémy) vo výške 20 mil. eur a výdavky, určené </w:t>
      </w:r>
      <w:r w:rsidR="00250D09">
        <w:rPr>
          <w:rFonts w:ascii="Arial Narrow" w:hAnsi="Arial Narrow" w:cs="Arial"/>
          <w:sz w:val="22"/>
          <w:szCs w:val="22"/>
        </w:rPr>
        <w:t>príjemcom dotácií v oblasti životného prostredia</w:t>
      </w:r>
      <w:r w:rsidRPr="00A23EB5">
        <w:rPr>
          <w:rFonts w:ascii="Arial Narrow" w:hAnsi="Arial Narrow" w:cs="Arial"/>
          <w:sz w:val="22"/>
          <w:szCs w:val="22"/>
        </w:rPr>
        <w:t xml:space="preserve"> v sume 10 mil. eur. Návrh rozpoč</w:t>
      </w:r>
      <w:r>
        <w:rPr>
          <w:rFonts w:ascii="Arial Narrow" w:hAnsi="Arial Narrow" w:cs="Arial"/>
          <w:sz w:val="22"/>
          <w:szCs w:val="22"/>
        </w:rPr>
        <w:t>tu výdavkov určených na správu EF</w:t>
      </w:r>
      <w:r w:rsidRPr="00A23EB5">
        <w:rPr>
          <w:rFonts w:ascii="Arial Narrow" w:hAnsi="Arial Narrow" w:cs="Arial"/>
          <w:sz w:val="22"/>
          <w:szCs w:val="22"/>
        </w:rPr>
        <w:t xml:space="preserve"> sa rozpočtuje vo výške 1,19 mil. eur, čím neprekračuje zákonom povolenú hranicu 3 % z výšky </w:t>
      </w:r>
      <w:r>
        <w:rPr>
          <w:rFonts w:ascii="Arial Narrow" w:hAnsi="Arial Narrow" w:cs="Arial"/>
          <w:sz w:val="22"/>
          <w:szCs w:val="22"/>
        </w:rPr>
        <w:t>ročných príjmov EF</w:t>
      </w:r>
      <w:r w:rsidRPr="00A23EB5">
        <w:rPr>
          <w:rFonts w:ascii="Arial Narrow" w:hAnsi="Arial Narrow" w:cs="Arial"/>
          <w:sz w:val="22"/>
          <w:szCs w:val="22"/>
        </w:rPr>
        <w:t>.</w:t>
      </w:r>
    </w:p>
    <w:p w:rsidR="002E5A49" w:rsidRPr="00A23EB5" w:rsidP="002E5A49">
      <w:pPr>
        <w:bidi w:val="0"/>
        <w:jc w:val="both"/>
        <w:rPr>
          <w:rFonts w:ascii="Arial Narrow" w:hAnsi="Arial Narrow" w:cs="Arial"/>
          <w:sz w:val="22"/>
          <w:szCs w:val="22"/>
        </w:rPr>
      </w:pPr>
      <w:r w:rsidRPr="00A23EB5">
        <w:rPr>
          <w:rFonts w:ascii="Arial Narrow" w:hAnsi="Arial Narrow" w:cs="Arial"/>
        </w:rPr>
        <w:tab/>
      </w:r>
    </w:p>
    <w:p w:rsidR="002E5A49" w:rsidRPr="00C932AF" w:rsidP="002E5A49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Celkový hotovostný prebytok EF</w:t>
      </w:r>
      <w:r w:rsidRPr="00C932AF">
        <w:rPr>
          <w:rFonts w:ascii="Arial Narrow" w:hAnsi="Arial Narrow" w:cs="Arial"/>
          <w:sz w:val="22"/>
          <w:szCs w:val="22"/>
        </w:rPr>
        <w:t xml:space="preserve"> sa ro</w:t>
      </w:r>
      <w:r>
        <w:rPr>
          <w:rFonts w:ascii="Arial Narrow" w:hAnsi="Arial Narrow" w:cs="Arial"/>
          <w:sz w:val="22"/>
          <w:szCs w:val="22"/>
        </w:rPr>
        <w:t>zpočtuje v roku 2011 v sume 169</w:t>
      </w:r>
      <w:r w:rsidRPr="00C932AF">
        <w:rPr>
          <w:rFonts w:ascii="Arial Narrow" w:hAnsi="Arial Narrow" w:cs="Arial"/>
          <w:sz w:val="22"/>
          <w:szCs w:val="22"/>
        </w:rPr>
        <w:t xml:space="preserve"> mil</w:t>
      </w:r>
      <w:r>
        <w:rPr>
          <w:rFonts w:ascii="Arial Narrow" w:hAnsi="Arial Narrow" w:cs="Arial"/>
          <w:sz w:val="22"/>
          <w:szCs w:val="22"/>
        </w:rPr>
        <w:t>. eur, v roku 2012 vo výške 277</w:t>
      </w:r>
      <w:r w:rsidRPr="00C932AF">
        <w:rPr>
          <w:rFonts w:ascii="Arial Narrow" w:hAnsi="Arial Narrow" w:cs="Arial"/>
          <w:sz w:val="22"/>
          <w:szCs w:val="22"/>
        </w:rPr>
        <w:t xml:space="preserve"> mi</w:t>
      </w:r>
      <w:r>
        <w:rPr>
          <w:rFonts w:ascii="Arial Narrow" w:hAnsi="Arial Narrow" w:cs="Arial"/>
          <w:sz w:val="22"/>
          <w:szCs w:val="22"/>
        </w:rPr>
        <w:t>l. eur a v roku 2013 v sume 384</w:t>
      </w:r>
      <w:r w:rsidRPr="00C932AF">
        <w:rPr>
          <w:rFonts w:ascii="Arial Narrow" w:hAnsi="Arial Narrow" w:cs="Arial"/>
          <w:sz w:val="22"/>
          <w:szCs w:val="22"/>
        </w:rPr>
        <w:t xml:space="preserve"> mil. eur. V metodike ESA 95 </w:t>
      </w:r>
      <w:r>
        <w:rPr>
          <w:rFonts w:ascii="Arial Narrow" w:hAnsi="Arial Narrow" w:cs="Arial"/>
          <w:sz w:val="22"/>
          <w:szCs w:val="22"/>
        </w:rPr>
        <w:t>sa prebytok hospodárenia EF</w:t>
      </w:r>
      <w:r w:rsidRPr="00C932A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kvantifikuje vo výške 108</w:t>
      </w:r>
      <w:r w:rsidRPr="00C932AF">
        <w:rPr>
          <w:rFonts w:ascii="Arial Narrow" w:hAnsi="Arial Narrow" w:cs="Arial"/>
          <w:sz w:val="22"/>
          <w:szCs w:val="22"/>
        </w:rPr>
        <w:t xml:space="preserve"> mil. eur</w:t>
      </w:r>
      <w:r>
        <w:rPr>
          <w:rFonts w:ascii="Arial Narrow" w:hAnsi="Arial Narrow" w:cs="Arial"/>
          <w:sz w:val="22"/>
          <w:szCs w:val="22"/>
        </w:rPr>
        <w:t xml:space="preserve"> vo všetkých troch rokoch.</w:t>
      </w:r>
      <w:r w:rsidRPr="00C932AF">
        <w:rPr>
          <w:rFonts w:ascii="Arial Narrow" w:hAnsi="Arial Narrow" w:cs="Arial"/>
          <w:sz w:val="22"/>
          <w:szCs w:val="22"/>
        </w:rPr>
        <w:t xml:space="preserve"> </w:t>
      </w:r>
    </w:p>
    <w:p w:rsidR="002E5A49" w:rsidP="0084667A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84667A" w:rsidP="0084667A">
      <w:pPr>
        <w:bidi w:val="0"/>
        <w:rPr>
          <w:rFonts w:ascii="Arial Narrow" w:hAnsi="Arial Narrow" w:cs="Arial"/>
          <w:b/>
          <w:bCs/>
        </w:rPr>
      </w:pPr>
      <w:r w:rsidRPr="00FF4687">
        <w:rPr>
          <w:rFonts w:ascii="Arial Narrow" w:hAnsi="Arial Narrow" w:cs="Arial"/>
          <w:b/>
          <w:bCs/>
        </w:rPr>
        <w:t>5. Slovenský pozemkový fond</w:t>
      </w:r>
    </w:p>
    <w:p w:rsidR="002029ED" w:rsidRPr="0099045B" w:rsidP="002029ED">
      <w:pPr>
        <w:bidi w:val="0"/>
        <w:rPr>
          <w:rFonts w:ascii="Arial Narrow" w:hAnsi="Arial Narrow"/>
        </w:rPr>
      </w:pPr>
    </w:p>
    <w:tbl>
      <w:tblPr>
        <w:tblStyle w:val="TableNormal"/>
        <w:tblW w:w="9193" w:type="dxa"/>
        <w:jc w:val="center"/>
        <w:tblInd w:w="-245" w:type="dxa"/>
        <w:tblCellMar>
          <w:left w:w="70" w:type="dxa"/>
          <w:right w:w="70" w:type="dxa"/>
        </w:tblCellMar>
        <w:tblLook w:val="00A0"/>
      </w:tblPr>
      <w:tblGrid>
        <w:gridCol w:w="3673"/>
        <w:gridCol w:w="920"/>
        <w:gridCol w:w="920"/>
        <w:gridCol w:w="920"/>
        <w:gridCol w:w="920"/>
        <w:gridCol w:w="920"/>
        <w:gridCol w:w="920"/>
      </w:tblGrid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236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2029ED" w:rsidRPr="00285272" w:rsidP="00285272">
            <w:pPr>
              <w:bidi w:val="0"/>
              <w:ind w:right="-46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285272">
              <w:rPr>
                <w:rFonts w:ascii="Arial Narrow" w:hAnsi="Arial Narrow" w:cs="Arial"/>
                <w:b/>
                <w:sz w:val="16"/>
                <w:szCs w:val="18"/>
              </w:rPr>
              <w:t>(v tis. eur)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2029ED" w:rsidRPr="00A1448E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A1448E">
              <w:rPr>
                <w:rFonts w:ascii="Arial Narrow" w:hAnsi="Arial Narrow" w:cs="Arial"/>
                <w:b/>
                <w:bCs/>
                <w:sz w:val="16"/>
                <w:szCs w:val="18"/>
              </w:rPr>
              <w:t>2008 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2029ED" w:rsidRPr="00A1448E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A1448E">
              <w:rPr>
                <w:rFonts w:ascii="Arial Narrow" w:hAnsi="Arial Narrow" w:cs="Arial"/>
                <w:b/>
                <w:bCs/>
                <w:sz w:val="16"/>
                <w:szCs w:val="18"/>
              </w:rPr>
              <w:t>2009 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2029ED" w:rsidRPr="00A1448E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A1448E">
              <w:rPr>
                <w:rFonts w:ascii="Arial Narrow" w:hAnsi="Arial Narrow" w:cs="Arial"/>
                <w:b/>
                <w:bCs/>
                <w:sz w:val="16"/>
                <w:szCs w:val="18"/>
              </w:rPr>
              <w:t>2010 OS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2029ED" w:rsidRPr="00A1448E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A1448E">
              <w:rPr>
                <w:rFonts w:ascii="Arial Narrow" w:hAnsi="Arial Narrow" w:cs="Arial"/>
                <w:b/>
                <w:bCs/>
                <w:sz w:val="16"/>
                <w:szCs w:val="18"/>
              </w:rPr>
              <w:t>2011 N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2029ED" w:rsidRPr="00A1448E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A1448E">
              <w:rPr>
                <w:rFonts w:ascii="Arial Narrow" w:hAnsi="Arial Narrow" w:cs="Arial"/>
                <w:b/>
                <w:bCs/>
                <w:sz w:val="16"/>
                <w:szCs w:val="18"/>
              </w:rPr>
              <w:t>2012 N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2029ED" w:rsidRPr="00A1448E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A1448E">
              <w:rPr>
                <w:rFonts w:ascii="Arial Narrow" w:hAnsi="Arial Narrow" w:cs="Arial"/>
                <w:b/>
                <w:bCs/>
                <w:sz w:val="16"/>
                <w:szCs w:val="18"/>
              </w:rPr>
              <w:t>2013 N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Príjmy SPF spolu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27 2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96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25 887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20 058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21 803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18 390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18 596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243"/>
          <w:jc w:val="center"/>
        </w:trPr>
        <w:tc>
          <w:tcPr>
            <w:tcW w:w="36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z toho: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▪   nedaňové príjmy,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16 6</w:t>
            </w:r>
            <w:r>
              <w:rPr>
                <w:rFonts w:ascii="Arial Narrow" w:hAnsi="Arial Narrow" w:cs="Arial"/>
                <w:sz w:val="16"/>
                <w:szCs w:val="18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20 669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19 658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21 553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18 190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18 496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príjmy z podnikania a z vlastníctva majetku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11 564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11 028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9 839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12 000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administ. poplatky a iné poplatky a platby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</w:t>
            </w:r>
            <w:r>
              <w:rPr>
                <w:rFonts w:ascii="Arial Narrow" w:hAnsi="Arial Narrow" w:cs="Arial"/>
                <w:sz w:val="16"/>
                <w:szCs w:val="18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306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86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kapitálové príjmy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2 5</w:t>
            </w:r>
            <w:r>
              <w:rPr>
                <w:rFonts w:ascii="Arial Narrow" w:hAnsi="Arial Narrow" w:cs="Arial"/>
                <w:sz w:val="16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7 282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8 500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8 600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5 600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úroky z tuzem.úverov,pôž.,NFV a vkladov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2 115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1 013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810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iné nedaňové príjmy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1 341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▪   príjmy z transakcií s fin. akt. a pas., z toho: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10 65</w:t>
            </w:r>
            <w:r>
              <w:rPr>
                <w:rFonts w:ascii="Arial Narrow" w:hAnsi="Arial Narrow" w:cs="Arial"/>
                <w:sz w:val="16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5 218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100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príjmy z privatizácie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78</w:t>
            </w:r>
            <w:r>
              <w:rPr>
                <w:rFonts w:ascii="Arial Narrow" w:hAnsi="Arial Narrow" w:cs="Arial"/>
                <w:sz w:val="16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100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iné príjmové fin. operácie - nerozpočtované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3 320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1 939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zost. prostr. z predch. roka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6 550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2 582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Výdavky SPF spolu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16 1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79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20 492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20 058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15 640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11 679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11 391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212"/>
          <w:jc w:val="center"/>
        </w:trPr>
        <w:tc>
          <w:tcPr>
            <w:tcW w:w="36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z toho: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▪   bežné výdavky,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15 6</w:t>
            </w:r>
            <w:r>
              <w:rPr>
                <w:rFonts w:ascii="Arial Narrow" w:hAnsi="Arial Narrow" w:cs="Arial"/>
                <w:sz w:val="16"/>
                <w:szCs w:val="18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19 401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19 095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13 957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10 690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10 301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 mzdy a odvody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4 7</w:t>
            </w:r>
            <w:r>
              <w:rPr>
                <w:rFonts w:ascii="Arial Narrow" w:hAnsi="Arial Narrow" w:cs="Arial"/>
                <w:sz w:val="16"/>
                <w:szCs w:val="18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5 243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5 891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5 243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5 243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5 243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38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 tovary a služby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3 1</w:t>
            </w:r>
            <w:r>
              <w:rPr>
                <w:rFonts w:ascii="Arial Narrow" w:hAnsi="Arial Narrow" w:cs="Arial"/>
                <w:sz w:val="16"/>
                <w:szCs w:val="18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3 498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7 087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="00DA56B4">
              <w:rPr>
                <w:rFonts w:ascii="Arial Narrow" w:hAnsi="Arial Narrow" w:cs="Arial"/>
                <w:sz w:val="16"/>
                <w:szCs w:val="18"/>
              </w:rPr>
              <w:t>3 805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3 856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3 798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     bežné transfery (reštitúcie a fin. náhrady)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7 735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10 660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6 117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="00DA56B4">
              <w:rPr>
                <w:rFonts w:ascii="Arial Narrow" w:hAnsi="Arial Narrow" w:cs="Arial"/>
                <w:sz w:val="16"/>
                <w:szCs w:val="18"/>
              </w:rPr>
              <w:t>4 909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1 591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1 260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29ED" w:rsidRPr="00CE61FE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="00540F89">
              <w:rPr>
                <w:rFonts w:ascii="Arial Narrow" w:hAnsi="Arial Narrow" w:cs="Arial"/>
                <w:sz w:val="16"/>
                <w:szCs w:val="18"/>
              </w:rPr>
              <w:t xml:space="preserve">         </w:t>
            </w:r>
            <w:r w:rsidR="008F125B">
              <w:rPr>
                <w:rFonts w:ascii="Arial Narrow" w:hAnsi="Arial Narrow" w:cs="Arial"/>
                <w:sz w:val="16"/>
                <w:szCs w:val="18"/>
              </w:rPr>
              <w:t xml:space="preserve">      </w:t>
            </w:r>
            <w:r w:rsidRPr="00CE61FE">
              <w:rPr>
                <w:rFonts w:ascii="Arial Narrow" w:hAnsi="Arial Narrow" w:cs="Arial"/>
                <w:sz w:val="16"/>
                <w:szCs w:val="18"/>
              </w:rPr>
              <w:t>z toho</w:t>
            </w:r>
            <w:r w:rsidR="00DA56B4">
              <w:rPr>
                <w:rFonts w:ascii="Arial Narrow" w:hAnsi="Arial Narrow" w:cs="Arial"/>
                <w:sz w:val="16"/>
                <w:szCs w:val="18"/>
              </w:rPr>
              <w:t>: transfery v rámci VS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4 979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3 319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4 979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="00DA56B4">
              <w:rPr>
                <w:rFonts w:ascii="Arial Narrow" w:hAnsi="Arial Narrow" w:cs="Arial"/>
                <w:sz w:val="16"/>
                <w:szCs w:val="18"/>
              </w:rPr>
              <w:t>3 300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▪   kapitálové výdavky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53</w:t>
            </w:r>
            <w:r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1 091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963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1 683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1 090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Celková bilancia SPF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11 117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5 395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6 163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6 711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7 205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vylúčenie finančných operácií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-1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4 071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</w:t>
            </w:r>
            <w:r w:rsidR="00ED5E68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10 55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-400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-250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-100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226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  z 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 xml:space="preserve">    ▪   vylúčenie príjmových FO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-10 65</w:t>
            </w:r>
            <w:r>
              <w:rPr>
                <w:rFonts w:ascii="Arial Narrow" w:hAnsi="Arial Narrow" w:cs="Arial"/>
                <w:sz w:val="16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-5 218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-400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-250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-200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sz w:val="16"/>
                <w:szCs w:val="18"/>
              </w:rPr>
              <w:t>-100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2029ED" w:rsidRPr="006E3A43" w:rsidP="00285272">
            <w:pPr>
              <w:bidi w:val="0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6E3A43" w:rsidR="00820467">
              <w:rPr>
                <w:rFonts w:ascii="Arial Narrow" w:hAnsi="Arial Narrow" w:cs="Arial"/>
                <w:b/>
                <w:i/>
                <w:sz w:val="16"/>
                <w:szCs w:val="18"/>
              </w:rPr>
              <w:t>o</w:t>
            </w:r>
            <w:r w:rsidRPr="006E3A43">
              <w:rPr>
                <w:rFonts w:ascii="Arial Narrow" w:hAnsi="Arial Narrow" w:cs="Arial"/>
                <w:b/>
                <w:i/>
                <w:sz w:val="16"/>
                <w:szCs w:val="18"/>
              </w:rPr>
              <w:t>statné úpravy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6E3A43" w:rsidP="00D30AAC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i/>
                <w:sz w:val="16"/>
                <w:szCs w:val="18"/>
              </w:rPr>
              <w:t>-3 418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6E3A43" w:rsidP="00D30AAC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6E3A43" w:rsidR="00ED5E68">
              <w:rPr>
                <w:rFonts w:ascii="Arial Narrow" w:hAnsi="Arial Narrow" w:cs="Arial"/>
                <w:b/>
                <w:i/>
                <w:sz w:val="16"/>
                <w:szCs w:val="18"/>
              </w:rPr>
              <w:t>-5 33</w:t>
            </w:r>
            <w:r w:rsidRPr="006E3A43">
              <w:rPr>
                <w:rFonts w:ascii="Arial Narrow" w:hAnsi="Arial Narrow" w:cs="Arial"/>
                <w:b/>
                <w:i/>
                <w:sz w:val="16"/>
                <w:szCs w:val="18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6E3A43" w:rsidP="00D30AAC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i/>
                <w:sz w:val="16"/>
                <w:szCs w:val="18"/>
              </w:rPr>
              <w:t>0 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6E3A43" w:rsidP="00D30AAC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i/>
                <w:sz w:val="16"/>
                <w:szCs w:val="18"/>
              </w:rPr>
              <w:t>0 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6E3A43" w:rsidP="00D30AAC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i/>
                <w:sz w:val="16"/>
                <w:szCs w:val="18"/>
              </w:rPr>
              <w:t>0 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029ED" w:rsidRPr="006E3A43" w:rsidP="00D30AAC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i/>
                <w:sz w:val="16"/>
                <w:szCs w:val="18"/>
              </w:rPr>
              <w:t>0 </w:t>
            </w:r>
          </w:p>
        </w:tc>
      </w:tr>
      <w:tr>
        <w:tblPrEx>
          <w:tblW w:w="9193" w:type="dxa"/>
          <w:jc w:val="center"/>
          <w:tblInd w:w="-245" w:type="dxa"/>
          <w:tblCellMar>
            <w:left w:w="70" w:type="dxa"/>
            <w:right w:w="70" w:type="dxa"/>
          </w:tblCellMar>
          <w:tblLook w:val="00A0"/>
        </w:tblPrEx>
        <w:trPr>
          <w:trHeight w:val="300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Prebytok (+)/schodok (-)  SPF  (ESA 95)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-2 954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="00ED5E68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-5 160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-400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5 913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6 511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2029ED" w:rsidRPr="00CE61FE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CE61FE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7 105</w:t>
            </w:r>
          </w:p>
        </w:tc>
      </w:tr>
    </w:tbl>
    <w:p w:rsidR="002029ED" w:rsidP="002029ED">
      <w:pPr>
        <w:bidi w:val="0"/>
        <w:rPr>
          <w:rFonts w:ascii="Times New Roman" w:hAnsi="Times New Roman"/>
        </w:rPr>
      </w:pPr>
    </w:p>
    <w:p w:rsidR="002029ED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>
        <w:rPr>
          <w:rFonts w:ascii="Arial Narrow" w:hAnsi="Arial Narrow"/>
          <w:sz w:val="22"/>
          <w:szCs w:val="22"/>
        </w:rPr>
        <w:t xml:space="preserve">Celkové príjmy Slovenského pozemkového fondu (ďalej len „ SPF“)  v roku 2011 dosahujú úroveň 21 803 tis. eur. Ich výšku v jednotlivých rozpočtových rokoch ovplyvňuje vývoj príjmov z podnikania a vlastníctva majetku, ako aj vývoj kapitálových príjmov. Ide o príjmy z nájomného za prenajaté pozemky v správe SPF a príjmy z predaja majetku. Dominantné postavenie v príjmovej časti navrhovaného rozpočtu SPF majú rozpočtované príjmy z podnikania a vlastníctva majetku podľa zákona č. 229/1991 Zb. o úprave vlastníckych vzťahov k pôde a inému poľnohospodárskemu majetku v znení neskorších predpisov a zákona č. 330/1991 Zb. o pozemkových úpravách, usporiadaní pozemkového vlastníctva, pozemkových úradoch, pozemkovom fonde a pozemkových spoločenstvách v znení neskorších predpisov v rozpočtovanom objeme 12 000 tis. eur. V rámci týchto rozpočtovaných príjmov </w:t>
      </w:r>
      <w:r w:rsidR="00EF0819">
        <w:rPr>
          <w:rFonts w:ascii="Arial Narrow" w:hAnsi="Arial Narrow"/>
          <w:sz w:val="22"/>
          <w:szCs w:val="22"/>
        </w:rPr>
        <w:t xml:space="preserve">rozhodujúci </w:t>
      </w:r>
      <w:r w:rsidRPr="00FA766B">
        <w:rPr>
          <w:rFonts w:ascii="Arial Narrow" w:hAnsi="Arial Narrow"/>
          <w:sz w:val="22"/>
          <w:szCs w:val="22"/>
        </w:rPr>
        <w:t>podie</w:t>
      </w:r>
      <w:r w:rsidR="00EF0819">
        <w:rPr>
          <w:rFonts w:ascii="Arial Narrow" w:hAnsi="Arial Narrow"/>
          <w:sz w:val="22"/>
          <w:szCs w:val="22"/>
        </w:rPr>
        <w:t>l majú</w:t>
      </w:r>
      <w:r w:rsidRPr="00FA766B">
        <w:rPr>
          <w:rFonts w:ascii="Arial Narrow" w:hAnsi="Arial Narrow"/>
          <w:sz w:val="22"/>
          <w:szCs w:val="22"/>
        </w:rPr>
        <w:t xml:space="preserve"> predovšetkým príjmy za nájomné zo spravovaných pozemkov.</w:t>
      </w:r>
      <w:r w:rsidRPr="00FA766B">
        <w:rPr>
          <w:rFonts w:ascii="Times New Roman" w:hAnsi="Times New Roman"/>
          <w:sz w:val="22"/>
          <w:szCs w:val="22"/>
        </w:rPr>
        <w:t xml:space="preserve"> </w:t>
      </w:r>
      <w:r w:rsidRPr="00FA766B">
        <w:rPr>
          <w:rFonts w:ascii="Arial Narrow" w:hAnsi="Arial Narrow"/>
          <w:sz w:val="22"/>
          <w:szCs w:val="22"/>
        </w:rPr>
        <w:t xml:space="preserve">Druhú rozhodujúcu položku v príjmovej časti rozpočtu predstavujú predpokladané kapitálové príjmy z predaja fondom spravovaných pozemkov a nehmotných aktív v objeme 8 600 tis. eur. </w:t>
      </w:r>
    </w:p>
    <w:p w:rsidR="00FA766B" w:rsidRPr="00FA766B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2029ED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>
        <w:rPr>
          <w:rFonts w:ascii="Arial Narrow" w:hAnsi="Arial Narrow"/>
          <w:sz w:val="22"/>
          <w:szCs w:val="22"/>
        </w:rPr>
        <w:t>Celkové výdavky SPF v roku 2011 sú rozpočtované na úrovni 15 640 tis. eur a dominujú v nich hlavne výdavkové tituly, ktorých financovanie pre SPF vyplýva z príslušných právnych predpisov, upravujúcich jeho postavenie a činnosti. Ide hlavne o bežné výdavky s celkovým finančným objemom 13 957 tis. eur, v rámci ktorých je zabezpečené financovanie činnosti fondu, ako aj výdavky na plnenie reštitučných nárokov oprávnených osôb a na uspori</w:t>
      </w:r>
      <w:r w:rsidR="005057BB">
        <w:rPr>
          <w:rFonts w:ascii="Arial Narrow" w:hAnsi="Arial Narrow"/>
          <w:sz w:val="22"/>
          <w:szCs w:val="22"/>
        </w:rPr>
        <w:t xml:space="preserve">adanie vlastníctva k pozemkom. </w:t>
      </w:r>
      <w:r w:rsidRPr="00FA766B">
        <w:rPr>
          <w:rFonts w:ascii="Arial Narrow" w:hAnsi="Arial Narrow"/>
          <w:sz w:val="22"/>
          <w:szCs w:val="22"/>
        </w:rPr>
        <w:t xml:space="preserve">V rámci </w:t>
      </w:r>
      <w:r w:rsidR="005057BB">
        <w:rPr>
          <w:rFonts w:ascii="Arial Narrow" w:hAnsi="Arial Narrow"/>
          <w:sz w:val="22"/>
          <w:szCs w:val="22"/>
        </w:rPr>
        <w:t xml:space="preserve">bežných </w:t>
      </w:r>
      <w:r w:rsidRPr="00FA766B">
        <w:rPr>
          <w:rFonts w:ascii="Arial Narrow" w:hAnsi="Arial Narrow"/>
          <w:sz w:val="22"/>
          <w:szCs w:val="22"/>
        </w:rPr>
        <w:t xml:space="preserve">výdavkov </w:t>
      </w:r>
      <w:r w:rsidR="005057BB">
        <w:rPr>
          <w:rFonts w:ascii="Arial Narrow" w:hAnsi="Arial Narrow"/>
          <w:sz w:val="22"/>
          <w:szCs w:val="22"/>
        </w:rPr>
        <w:t xml:space="preserve">je </w:t>
      </w:r>
      <w:r w:rsidRPr="00FA766B">
        <w:rPr>
          <w:rFonts w:ascii="Arial Narrow" w:hAnsi="Arial Narrow"/>
          <w:sz w:val="22"/>
          <w:szCs w:val="22"/>
        </w:rPr>
        <w:t>v roku 2011</w:t>
      </w:r>
      <w:r w:rsidR="005057BB">
        <w:rPr>
          <w:rFonts w:ascii="Arial Narrow" w:hAnsi="Arial Narrow"/>
          <w:sz w:val="22"/>
          <w:szCs w:val="22"/>
        </w:rPr>
        <w:t xml:space="preserve"> z</w:t>
      </w:r>
      <w:r w:rsidR="00102ECD">
        <w:rPr>
          <w:rFonts w:ascii="Arial Narrow" w:hAnsi="Arial Narrow"/>
          <w:sz w:val="22"/>
          <w:szCs w:val="22"/>
        </w:rPr>
        <w:t>apracovaný transfer Ministerstvu pôdohospodárstva</w:t>
      </w:r>
      <w:r w:rsidR="008F125B">
        <w:rPr>
          <w:rFonts w:ascii="Arial Narrow" w:hAnsi="Arial Narrow"/>
          <w:sz w:val="22"/>
          <w:szCs w:val="22"/>
        </w:rPr>
        <w:t xml:space="preserve"> a rozvoja vidieka</w:t>
      </w:r>
      <w:r w:rsidR="00773BA2">
        <w:rPr>
          <w:rFonts w:ascii="Arial Narrow" w:hAnsi="Arial Narrow"/>
          <w:sz w:val="22"/>
          <w:szCs w:val="22"/>
        </w:rPr>
        <w:t xml:space="preserve"> SR</w:t>
      </w:r>
      <w:r w:rsidRPr="00FA766B">
        <w:rPr>
          <w:rFonts w:ascii="Arial Narrow" w:hAnsi="Arial Narrow"/>
          <w:sz w:val="22"/>
          <w:szCs w:val="22"/>
        </w:rPr>
        <w:t xml:space="preserve"> na  register obnovenej evidencie pozemkov v sume  3 </w:t>
      </w:r>
      <w:r w:rsidR="00773BA2">
        <w:rPr>
          <w:rFonts w:ascii="Arial Narrow" w:hAnsi="Arial Narrow"/>
          <w:sz w:val="22"/>
          <w:szCs w:val="22"/>
        </w:rPr>
        <w:t>3</w:t>
      </w:r>
      <w:r w:rsidRPr="00FA766B">
        <w:rPr>
          <w:rFonts w:ascii="Arial Narrow" w:hAnsi="Arial Narrow"/>
          <w:sz w:val="22"/>
          <w:szCs w:val="22"/>
        </w:rPr>
        <w:t xml:space="preserve">00 tis. eur. </w:t>
      </w:r>
    </w:p>
    <w:p w:rsidR="00FA766B" w:rsidRPr="00FA766B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2029ED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>
        <w:rPr>
          <w:rFonts w:ascii="Arial Narrow" w:hAnsi="Arial Narrow"/>
          <w:sz w:val="22"/>
          <w:szCs w:val="22"/>
        </w:rPr>
        <w:t>Celkový hotovostn</w:t>
      </w:r>
      <w:r w:rsidR="007A23E8">
        <w:rPr>
          <w:rFonts w:ascii="Arial Narrow" w:hAnsi="Arial Narrow"/>
          <w:sz w:val="22"/>
          <w:szCs w:val="22"/>
        </w:rPr>
        <w:t>ý prebytok hospodárenia SPF sa na</w:t>
      </w:r>
      <w:r w:rsidRPr="00FA766B">
        <w:rPr>
          <w:rFonts w:ascii="Arial Narrow" w:hAnsi="Arial Narrow"/>
          <w:sz w:val="22"/>
          <w:szCs w:val="22"/>
        </w:rPr>
        <w:t xml:space="preserve"> rok 2011 predpokladá vo výške 6,2 mil. eur, </w:t>
      </w:r>
      <w:r w:rsidR="007A23E8">
        <w:rPr>
          <w:rFonts w:ascii="Arial Narrow" w:hAnsi="Arial Narrow"/>
          <w:sz w:val="22"/>
          <w:szCs w:val="22"/>
        </w:rPr>
        <w:t>na</w:t>
      </w:r>
      <w:r w:rsidRPr="00FA766B">
        <w:rPr>
          <w:rFonts w:ascii="Arial Narrow" w:hAnsi="Arial Narrow"/>
          <w:sz w:val="22"/>
          <w:szCs w:val="22"/>
        </w:rPr>
        <w:t xml:space="preserve"> rok 2012 vo výške 6,7 mil. eur a </w:t>
      </w:r>
      <w:r w:rsidR="007A23E8">
        <w:rPr>
          <w:rFonts w:ascii="Arial Narrow" w:hAnsi="Arial Narrow"/>
          <w:sz w:val="22"/>
          <w:szCs w:val="22"/>
        </w:rPr>
        <w:t>na</w:t>
      </w:r>
      <w:r w:rsidRPr="00FA766B">
        <w:rPr>
          <w:rFonts w:ascii="Arial Narrow" w:hAnsi="Arial Narrow"/>
          <w:sz w:val="22"/>
          <w:szCs w:val="22"/>
        </w:rPr>
        <w:t xml:space="preserve"> rok 2013 vo výške 7,2 mil. eur, pričom v metodike ESA 95 sa predpokladá  prebytok v roku 2011 na úrovni 5,9 mil. eur, v roku 2012 vo výške 6,5 mil. eur a v roku 2013  na úrovni 7,1 mil. eur. </w:t>
      </w: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2029E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5B489C" w:rsidP="0084667A">
      <w:pPr>
        <w:pStyle w:val="Heading1"/>
        <w:bidi w:val="0"/>
        <w:spacing w:before="0" w:after="0"/>
        <w:rPr>
          <w:rFonts w:ascii="Arial Narrow" w:hAnsi="Arial Narrow" w:cs="Times New Roman"/>
          <w:b w:val="0"/>
          <w:bCs w:val="0"/>
          <w:kern w:val="0"/>
          <w:sz w:val="22"/>
          <w:szCs w:val="22"/>
        </w:rPr>
      </w:pPr>
    </w:p>
    <w:p w:rsidR="005D333F" w:rsidRPr="005D333F" w:rsidP="005D333F">
      <w:pPr>
        <w:bidi w:val="0"/>
        <w:rPr>
          <w:rFonts w:ascii="Times New Roman" w:hAnsi="Times New Roman"/>
        </w:rPr>
      </w:pPr>
    </w:p>
    <w:p w:rsidR="00BE4C52" w:rsidRPr="00BE4C52" w:rsidP="00BE4C52">
      <w:pPr>
        <w:bidi w:val="0"/>
        <w:rPr>
          <w:rFonts w:ascii="Times New Roman" w:hAnsi="Times New Roman"/>
        </w:rPr>
      </w:pPr>
    </w:p>
    <w:p w:rsidR="0084667A" w:rsidRPr="00FF4687" w:rsidP="0084667A">
      <w:pPr>
        <w:pStyle w:val="Heading1"/>
        <w:bidi w:val="0"/>
        <w:spacing w:before="0" w:after="0"/>
        <w:rPr>
          <w:rFonts w:ascii="Arial Narrow" w:hAnsi="Arial Narrow"/>
          <w:sz w:val="24"/>
          <w:szCs w:val="24"/>
        </w:rPr>
      </w:pPr>
      <w:r w:rsidRPr="00FF4687">
        <w:rPr>
          <w:rFonts w:ascii="Arial Narrow" w:hAnsi="Arial Narrow"/>
          <w:sz w:val="24"/>
          <w:szCs w:val="24"/>
        </w:rPr>
        <w:t>6. Fond národného majetku Slovenskej republiky</w:t>
      </w:r>
    </w:p>
    <w:p w:rsidR="00FA766B" w:rsidRPr="00AC0017" w:rsidP="0032660B">
      <w:pPr>
        <w:tabs>
          <w:tab w:val="left" w:pos="1002"/>
        </w:tabs>
        <w:bidi w:val="0"/>
        <w:rPr>
          <w:rFonts w:ascii="Arial Narrow" w:hAnsi="Arial Narrow"/>
          <w:b/>
        </w:rPr>
      </w:pPr>
      <w:r w:rsidR="0032660B">
        <w:rPr>
          <w:rFonts w:ascii="Arial Narrow" w:hAnsi="Arial Narrow"/>
          <w:b/>
        </w:rPr>
        <w:tab/>
      </w:r>
    </w:p>
    <w:tbl>
      <w:tblPr>
        <w:tblStyle w:val="TableNormal"/>
        <w:tblW w:w="9255" w:type="dxa"/>
        <w:jc w:val="center"/>
        <w:tblInd w:w="479" w:type="dxa"/>
        <w:tblCellMar>
          <w:left w:w="70" w:type="dxa"/>
          <w:right w:w="70" w:type="dxa"/>
        </w:tblCellMar>
        <w:tblLook w:val="00E0"/>
      </w:tblPr>
      <w:tblGrid>
        <w:gridCol w:w="3735"/>
        <w:gridCol w:w="920"/>
        <w:gridCol w:w="920"/>
        <w:gridCol w:w="920"/>
        <w:gridCol w:w="920"/>
        <w:gridCol w:w="920"/>
        <w:gridCol w:w="920"/>
      </w:tblGrid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37"/>
          <w:jc w:val="center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FA766B" w:rsidRPr="00285272" w:rsidP="00285272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285272">
              <w:rPr>
                <w:rFonts w:ascii="Arial Narrow" w:hAnsi="Arial Narrow" w:cs="Arial"/>
                <w:b/>
                <w:sz w:val="16"/>
                <w:szCs w:val="18"/>
              </w:rPr>
              <w:t>(v tis. eur)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DC78F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DC78F9">
              <w:rPr>
                <w:rFonts w:ascii="Arial Narrow" w:hAnsi="Arial Narrow" w:cs="Arial"/>
                <w:b/>
                <w:bCs/>
                <w:sz w:val="16"/>
                <w:szCs w:val="18"/>
              </w:rPr>
              <w:t>2008 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DC78F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DC78F9">
              <w:rPr>
                <w:rFonts w:ascii="Arial Narrow" w:hAnsi="Arial Narrow" w:cs="Arial"/>
                <w:b/>
                <w:bCs/>
                <w:sz w:val="16"/>
                <w:szCs w:val="18"/>
              </w:rPr>
              <w:t>2009 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DC78F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DC78F9">
              <w:rPr>
                <w:rFonts w:ascii="Arial Narrow" w:hAnsi="Arial Narrow" w:cs="Arial"/>
                <w:b/>
                <w:bCs/>
                <w:sz w:val="16"/>
                <w:szCs w:val="18"/>
              </w:rPr>
              <w:t>2010 OS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DC78F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DC78F9">
              <w:rPr>
                <w:rFonts w:ascii="Arial Narrow" w:hAnsi="Arial Narrow" w:cs="Arial"/>
                <w:b/>
                <w:bCs/>
                <w:sz w:val="16"/>
                <w:szCs w:val="18"/>
              </w:rPr>
              <w:t>2011 N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DC78F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DC78F9">
              <w:rPr>
                <w:rFonts w:ascii="Arial Narrow" w:hAnsi="Arial Narrow" w:cs="Arial"/>
                <w:b/>
                <w:bCs/>
                <w:sz w:val="16"/>
                <w:szCs w:val="18"/>
              </w:rPr>
              <w:t>2012 N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DC78F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DC78F9">
              <w:rPr>
                <w:rFonts w:ascii="Arial Narrow" w:hAnsi="Arial Narrow" w:cs="Arial"/>
                <w:b/>
                <w:bCs/>
                <w:sz w:val="16"/>
                <w:szCs w:val="18"/>
              </w:rPr>
              <w:t>2013 N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Príjmy FNM SR spolu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864 342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889 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742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884 625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344 306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304 615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291 299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101"/>
          <w:jc w:val="center"/>
        </w:trPr>
        <w:tc>
          <w:tcPr>
            <w:tcW w:w="3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z toho: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ost.</w:t>
            </w:r>
            <w:r w:rsidR="00590EEF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7351D7">
              <w:rPr>
                <w:rFonts w:ascii="Arial Narrow" w:hAnsi="Arial Narrow" w:cs="Arial"/>
                <w:sz w:val="16"/>
                <w:szCs w:val="18"/>
              </w:rPr>
              <w:t>nedaň.</w:t>
            </w:r>
            <w:r w:rsidR="00590EEF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7351D7">
              <w:rPr>
                <w:rFonts w:ascii="Arial Narrow" w:hAnsi="Arial Narrow" w:cs="Arial"/>
                <w:sz w:val="16"/>
                <w:szCs w:val="18"/>
              </w:rPr>
              <w:t>príjmy (úroky a iné príjmy)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156 689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137 </w:t>
            </w:r>
            <w:r w:rsidR="00FB5B77">
              <w:rPr>
                <w:rFonts w:ascii="Arial Narrow" w:hAnsi="Arial Narrow" w:cs="Arial"/>
                <w:sz w:val="16"/>
                <w:szCs w:val="18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378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príjmy z dividend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413 002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466 3</w:t>
            </w:r>
            <w:r w:rsidR="00FB5B77">
              <w:rPr>
                <w:rFonts w:ascii="Arial Narrow" w:hAnsi="Arial Narrow" w:cs="Arial"/>
                <w:sz w:val="16"/>
                <w:szCs w:val="18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414 502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298 204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283 036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278 684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príjmy z transakcií s fin. akt. a pas., z toho: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</w:t>
            </w:r>
            <w:r>
              <w:rPr>
                <w:rFonts w:ascii="Arial Narrow" w:hAnsi="Arial Narrow" w:cs="Arial"/>
                <w:sz w:val="16"/>
                <w:szCs w:val="18"/>
              </w:rPr>
              <w:t>94 651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285 794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469 106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45 677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21 182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12 237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ind w:firstLine="320" w:firstLineChars="20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  príjmy z privatizácie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488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17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ind w:firstLine="320" w:firstLineChars="20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  ostatné finančné operácie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126 594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60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ind w:firstLine="320" w:firstLineChars="20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  zostatok pros. z pred. rokov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294 159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285 77</w:t>
            </w:r>
            <w:r>
              <w:rPr>
                <w:rFonts w:ascii="Arial Narrow" w:hAnsi="Arial Narrow" w:cs="Arial"/>
                <w:sz w:val="16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342 495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45 570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21 090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12 160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Výdavky FNM SR spolu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578 711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549 242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839 055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323 216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292 455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287 799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173"/>
          <w:jc w:val="center"/>
        </w:trPr>
        <w:tc>
          <w:tcPr>
            <w:tcW w:w="3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z toho: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transfer do ŠFA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555 4</w:t>
            </w:r>
            <w:r w:rsidR="00AD783D">
              <w:rPr>
                <w:rFonts w:ascii="Arial Narrow" w:hAnsi="Arial Narrow" w:cs="Arial"/>
                <w:sz w:val="16"/>
                <w:szCs w:val="18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53</w:t>
            </w:r>
            <w:r w:rsidR="00AD783D">
              <w:rPr>
                <w:rFonts w:ascii="Arial Narrow" w:hAnsi="Arial Narrow" w:cs="Arial"/>
                <w:sz w:val="16"/>
                <w:szCs w:val="18"/>
              </w:rPr>
              <w:t>1 879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608 630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312 069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283 036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278 684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výdavky spojené s činnosťou FNM SR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4 226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3 81</w:t>
            </w:r>
            <w:r w:rsidR="00AD783D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5 044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2 877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2 739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úhrada nákladov spojených s privatizáciou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519</w:t>
            </w:r>
            <w:r w:rsidR="00AD783D">
              <w:rPr>
                <w:rFonts w:ascii="Arial Narrow" w:hAnsi="Arial Narrow" w:cs="Arial"/>
                <w:sz w:val="16"/>
                <w:szCs w:val="18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="00AD783D">
              <w:rPr>
                <w:rFonts w:ascii="Arial Narrow" w:hAnsi="Arial Narrow" w:cs="Arial"/>
                <w:sz w:val="16"/>
                <w:szCs w:val="18"/>
              </w:rPr>
              <w:t>3 406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2 995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1 362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1 288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1 176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výdavky spojené s reštitučnými nárokmi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="00AD783D">
              <w:rPr>
                <w:rFonts w:ascii="Arial Narrow" w:hAnsi="Arial Narrow" w:cs="Arial"/>
                <w:sz w:val="16"/>
                <w:szCs w:val="18"/>
              </w:rPr>
              <w:t>7 158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766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765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úhrada nákladov  v dôsl. odstúp.</w:t>
            </w:r>
            <w:r w:rsidR="00910370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od zmluvy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1 092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7</w:t>
            </w:r>
            <w:r w:rsidR="00AD783D">
              <w:rPr>
                <w:rFonts w:ascii="Arial Narrow" w:hAnsi="Arial Narrow" w:cs="Arial"/>
                <w:sz w:val="16"/>
                <w:szCs w:val="18"/>
              </w:rPr>
              <w:t>6</w:t>
            </w:r>
            <w:r w:rsidRPr="007351D7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4 180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240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na ďalšie účely, ak tak stanoví osobitný predpis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1 6</w:t>
            </w:r>
            <w:r w:rsidR="00AD783D">
              <w:rPr>
                <w:rFonts w:ascii="Arial Narrow" w:hAnsi="Arial Narrow" w:cs="Arial"/>
                <w:sz w:val="16"/>
                <w:szCs w:val="18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8 532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2 000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výdavky FNM SR (§ 15)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1 500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výdavky FNM SR (§ 30)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191 463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ostatné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22</w:t>
            </w:r>
            <w:r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="00AD783D">
              <w:rPr>
                <w:rFonts w:ascii="Arial Narrow" w:hAnsi="Arial Narrow" w:cs="Arial"/>
                <w:sz w:val="16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8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splátka dlhopisov FNM SR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356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     - z toho:  úrok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29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                     istina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166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                     daň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6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                     poplatok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i/>
                <w:iCs/>
                <w:sz w:val="16"/>
                <w:szCs w:val="18"/>
              </w:rPr>
              <w:t>155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účasť na majetku a iné FO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129</w:t>
            </w: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278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330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ostatné výdavkové FO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11 758</w:t>
            </w: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Celková bilancia FNM SR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285 631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340 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500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45 570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21 090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12 160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3 500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vylúčenie finančných operácií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82 711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285 403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-453 935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-45 178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-20 685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-11 740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166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  z toho: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B6795F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vylúčenie príjmových FO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-2</w:t>
            </w:r>
            <w:r>
              <w:rPr>
                <w:rFonts w:ascii="Arial Narrow" w:hAnsi="Arial Narrow" w:cs="Arial"/>
                <w:sz w:val="16"/>
                <w:szCs w:val="18"/>
              </w:rPr>
              <w:t>94 651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-</w:t>
            </w:r>
            <w:r>
              <w:rPr>
                <w:rFonts w:ascii="Arial Narrow" w:hAnsi="Arial Narrow" w:cs="Arial"/>
                <w:sz w:val="16"/>
                <w:szCs w:val="18"/>
              </w:rPr>
              <w:t>285 794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-469 106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-45 677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-21 182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-12 237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B6795F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vylúčenie výdavkových FO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11 940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391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15 171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>497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 zahrnutie položiek časového rozlíšenia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89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-1 922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193 123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1 600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1 500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1 500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časové rozlíšenie výdavkov (§ 15)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1 660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1 600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1 500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1 500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sz w:val="16"/>
                <w:szCs w:val="18"/>
              </w:rPr>
              <w:t xml:space="preserve">    ▪   časové rozlíšenie výdavkov (§ 30)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191 463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6E3A43" w:rsidP="00285272">
            <w:pPr>
              <w:bidi w:val="0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i/>
                <w:sz w:val="16"/>
                <w:szCs w:val="18"/>
              </w:rPr>
              <w:t xml:space="preserve">   </w:t>
            </w:r>
            <w:r w:rsidRPr="006E3A43" w:rsidR="006540E6">
              <w:rPr>
                <w:rFonts w:ascii="Arial Narrow" w:hAnsi="Arial Narrow" w:cs="Arial"/>
                <w:b/>
                <w:i/>
                <w:sz w:val="16"/>
                <w:szCs w:val="18"/>
              </w:rPr>
              <w:t>o</w:t>
            </w:r>
            <w:r w:rsidRPr="006E3A43">
              <w:rPr>
                <w:rFonts w:ascii="Arial Narrow" w:hAnsi="Arial Narrow" w:cs="Arial"/>
                <w:b/>
                <w:i/>
                <w:sz w:val="16"/>
                <w:szCs w:val="18"/>
              </w:rPr>
              <w:t>statné úpravy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6E3A43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-303 757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6E3A43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-133 267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6E3A43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6E3A43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6E3A43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6E3A43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6E3A43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</w:tr>
      <w:tr>
        <w:tblPrEx>
          <w:tblW w:w="9255" w:type="dxa"/>
          <w:jc w:val="center"/>
          <w:tblInd w:w="479" w:type="dxa"/>
          <w:tblCellMar>
            <w:left w:w="70" w:type="dxa"/>
            <w:right w:w="70" w:type="dxa"/>
          </w:tblCellMar>
          <w:tblLook w:val="00E0"/>
        </w:tblPrEx>
        <w:trPr>
          <w:trHeight w:val="300"/>
          <w:jc w:val="center"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Prebytok (+)/schodok (-) FNM SR   (ESA 95)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-299 940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-80 092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-215 242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-22 488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-7 025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351D7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351D7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-6 740</w:t>
            </w:r>
          </w:p>
        </w:tc>
      </w:tr>
    </w:tbl>
    <w:p w:rsidR="00FA766B" w:rsidP="00FA766B">
      <w:pPr>
        <w:bidi w:val="0"/>
        <w:rPr>
          <w:rFonts w:ascii="Times New Roman" w:hAnsi="Times New Roman"/>
        </w:rPr>
      </w:pPr>
    </w:p>
    <w:p w:rsidR="00BD10F4" w:rsidP="00BD10F4">
      <w:pPr>
        <w:bidi w:val="0"/>
        <w:ind w:firstLine="709"/>
        <w:jc w:val="both"/>
        <w:rPr>
          <w:rFonts w:ascii="Arial Narrow" w:hAnsi="Arial Narrow"/>
          <w:sz w:val="22"/>
          <w:szCs w:val="22"/>
        </w:rPr>
      </w:pPr>
      <w:r w:rsidRPr="00FA766B" w:rsidR="00FA766B">
        <w:rPr>
          <w:rFonts w:ascii="Arial Narrow" w:hAnsi="Arial Narrow"/>
          <w:sz w:val="22"/>
          <w:szCs w:val="22"/>
        </w:rPr>
        <w:t>Príjmy Fondu národného majetku Slovenskej republiky (ďalej len „FNM SR“) na rok 2011 sú rozpočtované v sume 344 306 tis. eur. Najvýznamnejšou príjmovou položkou sú príjmy z</w:t>
      </w:r>
      <w:r w:rsidR="00823F1D">
        <w:rPr>
          <w:rFonts w:ascii="Arial Narrow" w:hAnsi="Arial Narrow"/>
          <w:sz w:val="22"/>
          <w:szCs w:val="22"/>
        </w:rPr>
        <w:t> </w:t>
      </w:r>
      <w:r w:rsidRPr="00FA766B" w:rsidR="00FA766B">
        <w:rPr>
          <w:rFonts w:ascii="Arial Narrow" w:hAnsi="Arial Narrow"/>
          <w:sz w:val="22"/>
          <w:szCs w:val="22"/>
        </w:rPr>
        <w:t>dividend</w:t>
      </w:r>
      <w:r w:rsidR="00823F1D">
        <w:rPr>
          <w:rFonts w:ascii="Arial Narrow" w:hAnsi="Arial Narrow"/>
          <w:sz w:val="22"/>
          <w:szCs w:val="22"/>
        </w:rPr>
        <w:t xml:space="preserve"> od spoločností s majetkovou účasťou FNM SR</w:t>
      </w:r>
      <w:r w:rsidRPr="00FA766B" w:rsidR="00FA766B">
        <w:rPr>
          <w:rFonts w:ascii="Arial Narrow" w:hAnsi="Arial Narrow"/>
          <w:sz w:val="22"/>
          <w:szCs w:val="22"/>
        </w:rPr>
        <w:t xml:space="preserve">, ktorých výška závisí od vývoja hospodárskeho výsledku </w:t>
      </w:r>
      <w:r w:rsidR="009B792E">
        <w:rPr>
          <w:rFonts w:ascii="Arial Narrow" w:hAnsi="Arial Narrow"/>
          <w:sz w:val="22"/>
          <w:szCs w:val="22"/>
        </w:rPr>
        <w:t xml:space="preserve">a od </w:t>
      </w:r>
      <w:r w:rsidRPr="00FA766B" w:rsidR="00FA766B">
        <w:rPr>
          <w:rFonts w:ascii="Arial Narrow" w:hAnsi="Arial Narrow"/>
          <w:sz w:val="22"/>
          <w:szCs w:val="22"/>
        </w:rPr>
        <w:t xml:space="preserve">spôsobu rozdelenia zisku v týchto spoločnostiach. V roku 2011 sa objem dividend predpokladá vo výške  298 204 tis. </w:t>
      </w:r>
      <w:r w:rsidR="00823F1D">
        <w:rPr>
          <w:rFonts w:ascii="Arial Narrow" w:hAnsi="Arial Narrow"/>
          <w:sz w:val="22"/>
          <w:szCs w:val="22"/>
        </w:rPr>
        <w:t>e</w:t>
      </w:r>
      <w:r w:rsidRPr="00FA766B" w:rsidR="00FA766B">
        <w:rPr>
          <w:rFonts w:ascii="Arial Narrow" w:hAnsi="Arial Narrow"/>
          <w:sz w:val="22"/>
          <w:szCs w:val="22"/>
        </w:rPr>
        <w:t>ur</w:t>
      </w:r>
      <w:r w:rsidR="00823F1D">
        <w:rPr>
          <w:rFonts w:ascii="Arial Narrow" w:hAnsi="Arial Narrow"/>
          <w:sz w:val="22"/>
          <w:szCs w:val="22"/>
        </w:rPr>
        <w:t xml:space="preserve">, čo je oproti </w:t>
      </w:r>
      <w:r w:rsidR="009B792E">
        <w:rPr>
          <w:rFonts w:ascii="Arial Narrow" w:hAnsi="Arial Narrow"/>
          <w:sz w:val="22"/>
          <w:szCs w:val="22"/>
        </w:rPr>
        <w:t xml:space="preserve">očakávanej skutočnosti </w:t>
      </w:r>
      <w:r>
        <w:rPr>
          <w:rFonts w:ascii="Arial Narrow" w:hAnsi="Arial Narrow"/>
          <w:sz w:val="22"/>
          <w:szCs w:val="22"/>
        </w:rPr>
        <w:t>roku 201</w:t>
      </w:r>
      <w:r w:rsidR="00823F1D">
        <w:rPr>
          <w:rFonts w:ascii="Arial Narrow" w:hAnsi="Arial Narrow"/>
          <w:sz w:val="22"/>
          <w:szCs w:val="22"/>
        </w:rPr>
        <w:t>0 menej o 116 298 tis. eur</w:t>
      </w:r>
      <w:r>
        <w:rPr>
          <w:rFonts w:ascii="Arial Narrow" w:hAnsi="Arial Narrow"/>
          <w:sz w:val="22"/>
          <w:szCs w:val="22"/>
        </w:rPr>
        <w:t>, a to z dôvodu príjmo</w:t>
      </w:r>
      <w:r w:rsidR="00735062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 </w:t>
      </w:r>
      <w:r w:rsidR="00EE521A">
        <w:rPr>
          <w:rFonts w:ascii="Arial Narrow" w:hAnsi="Arial Narrow"/>
          <w:sz w:val="22"/>
          <w:szCs w:val="22"/>
        </w:rPr>
        <w:t>mimoriadnych d</w:t>
      </w:r>
      <w:r>
        <w:rPr>
          <w:rFonts w:ascii="Arial Narrow" w:hAnsi="Arial Narrow"/>
          <w:sz w:val="22"/>
          <w:szCs w:val="22"/>
        </w:rPr>
        <w:t xml:space="preserve">ividend </w:t>
      </w:r>
      <w:r w:rsidR="00EE521A">
        <w:rPr>
          <w:rFonts w:ascii="Arial Narrow" w:hAnsi="Arial Narrow"/>
          <w:sz w:val="22"/>
          <w:szCs w:val="22"/>
        </w:rPr>
        <w:t xml:space="preserve">v roku 2010 </w:t>
      </w:r>
      <w:r w:rsidR="00823F1D">
        <w:rPr>
          <w:rFonts w:ascii="Arial Narrow" w:hAnsi="Arial Narrow"/>
          <w:sz w:val="22"/>
          <w:szCs w:val="22"/>
        </w:rPr>
        <w:t>od</w:t>
      </w:r>
      <w:r w:rsidR="00735062">
        <w:rPr>
          <w:rFonts w:ascii="Arial Narrow" w:hAnsi="Arial Narrow"/>
          <w:sz w:val="22"/>
          <w:szCs w:val="22"/>
        </w:rPr>
        <w:t xml:space="preserve"> SPP, a. s. Rovnako </w:t>
      </w:r>
      <w:r w:rsidR="00EE521A">
        <w:rPr>
          <w:rFonts w:ascii="Arial Narrow" w:hAnsi="Arial Narrow"/>
          <w:sz w:val="22"/>
          <w:szCs w:val="22"/>
        </w:rPr>
        <w:t xml:space="preserve">výplata mimoriadnych dividend ovplyvnila </w:t>
      </w:r>
      <w:r w:rsidR="00823F1D">
        <w:rPr>
          <w:rFonts w:ascii="Arial Narrow" w:hAnsi="Arial Narrow"/>
          <w:sz w:val="22"/>
          <w:szCs w:val="22"/>
        </w:rPr>
        <w:t xml:space="preserve">aj </w:t>
      </w:r>
      <w:r w:rsidR="00EE521A">
        <w:rPr>
          <w:rFonts w:ascii="Arial Narrow" w:hAnsi="Arial Narrow"/>
          <w:sz w:val="22"/>
          <w:szCs w:val="22"/>
        </w:rPr>
        <w:t>skutočnosť v rok</w:t>
      </w:r>
      <w:r w:rsidR="00227DED">
        <w:rPr>
          <w:rFonts w:ascii="Arial Narrow" w:hAnsi="Arial Narrow"/>
          <w:sz w:val="22"/>
          <w:szCs w:val="22"/>
        </w:rPr>
        <w:t>u</w:t>
      </w:r>
      <w:r w:rsidR="00EE521A">
        <w:rPr>
          <w:rFonts w:ascii="Arial Narrow" w:hAnsi="Arial Narrow"/>
          <w:sz w:val="22"/>
          <w:szCs w:val="22"/>
        </w:rPr>
        <w:t xml:space="preserve"> 2</w:t>
      </w:r>
      <w:r w:rsidR="00735062">
        <w:rPr>
          <w:rFonts w:ascii="Arial Narrow" w:hAnsi="Arial Narrow"/>
          <w:sz w:val="22"/>
          <w:szCs w:val="22"/>
        </w:rPr>
        <w:t>008</w:t>
      </w:r>
      <w:r w:rsidR="00227DED">
        <w:rPr>
          <w:rFonts w:ascii="Arial Narrow" w:hAnsi="Arial Narrow"/>
          <w:sz w:val="22"/>
          <w:szCs w:val="22"/>
        </w:rPr>
        <w:t xml:space="preserve"> v</w:t>
      </w:r>
      <w:r w:rsidR="00E74920">
        <w:rPr>
          <w:rFonts w:ascii="Arial Narrow" w:hAnsi="Arial Narrow"/>
          <w:sz w:val="22"/>
          <w:szCs w:val="22"/>
        </w:rPr>
        <w:t> </w:t>
      </w:r>
      <w:r w:rsidR="00227DED">
        <w:rPr>
          <w:rFonts w:ascii="Arial Narrow" w:hAnsi="Arial Narrow"/>
          <w:sz w:val="22"/>
          <w:szCs w:val="22"/>
        </w:rPr>
        <w:t>sume</w:t>
      </w:r>
      <w:r w:rsidR="00E74920">
        <w:rPr>
          <w:rFonts w:ascii="Arial Narrow" w:hAnsi="Arial Narrow"/>
          <w:sz w:val="22"/>
          <w:szCs w:val="22"/>
        </w:rPr>
        <w:t xml:space="preserve"> 142 4</w:t>
      </w:r>
      <w:r w:rsidR="00AF0359">
        <w:rPr>
          <w:rFonts w:ascii="Arial Narrow" w:hAnsi="Arial Narrow"/>
          <w:sz w:val="22"/>
          <w:szCs w:val="22"/>
        </w:rPr>
        <w:t>67</w:t>
      </w:r>
      <w:r w:rsidR="00E74920">
        <w:rPr>
          <w:rFonts w:ascii="Arial Narrow" w:hAnsi="Arial Narrow"/>
          <w:sz w:val="22"/>
          <w:szCs w:val="22"/>
        </w:rPr>
        <w:t xml:space="preserve"> tis. eur</w:t>
      </w:r>
      <w:r w:rsidR="00227DED">
        <w:rPr>
          <w:rFonts w:ascii="Arial Narrow" w:hAnsi="Arial Narrow"/>
          <w:sz w:val="22"/>
          <w:szCs w:val="22"/>
        </w:rPr>
        <w:t xml:space="preserve"> </w:t>
      </w:r>
      <w:r w:rsidR="00735062">
        <w:rPr>
          <w:rFonts w:ascii="Arial Narrow" w:hAnsi="Arial Narrow"/>
          <w:sz w:val="22"/>
          <w:szCs w:val="22"/>
        </w:rPr>
        <w:t>a</w:t>
      </w:r>
      <w:r w:rsidR="00227DED">
        <w:rPr>
          <w:rFonts w:ascii="Arial Narrow" w:hAnsi="Arial Narrow"/>
          <w:sz w:val="22"/>
          <w:szCs w:val="22"/>
        </w:rPr>
        <w:t xml:space="preserve"> v roku </w:t>
      </w:r>
      <w:r w:rsidR="00735062">
        <w:rPr>
          <w:rFonts w:ascii="Arial Narrow" w:hAnsi="Arial Narrow"/>
          <w:sz w:val="22"/>
          <w:szCs w:val="22"/>
        </w:rPr>
        <w:t>2009</w:t>
      </w:r>
      <w:r w:rsidR="00227DED">
        <w:rPr>
          <w:rFonts w:ascii="Arial Narrow" w:hAnsi="Arial Narrow"/>
          <w:sz w:val="22"/>
          <w:szCs w:val="22"/>
        </w:rPr>
        <w:t xml:space="preserve"> v</w:t>
      </w:r>
      <w:r w:rsidR="00F76EEA">
        <w:rPr>
          <w:rFonts w:ascii="Arial Narrow" w:hAnsi="Arial Narrow"/>
          <w:sz w:val="22"/>
          <w:szCs w:val="22"/>
        </w:rPr>
        <w:t> </w:t>
      </w:r>
      <w:r w:rsidR="00227DED">
        <w:rPr>
          <w:rFonts w:ascii="Arial Narrow" w:hAnsi="Arial Narrow"/>
          <w:sz w:val="22"/>
          <w:szCs w:val="22"/>
        </w:rPr>
        <w:t>sume</w:t>
      </w:r>
      <w:r w:rsidR="00F76EEA">
        <w:rPr>
          <w:rFonts w:ascii="Arial Narrow" w:hAnsi="Arial Narrow"/>
          <w:sz w:val="22"/>
          <w:szCs w:val="22"/>
        </w:rPr>
        <w:t xml:space="preserve"> </w:t>
      </w:r>
      <w:r w:rsidR="00227DED">
        <w:rPr>
          <w:rFonts w:ascii="Arial Narrow" w:hAnsi="Arial Narrow"/>
          <w:sz w:val="22"/>
          <w:szCs w:val="22"/>
        </w:rPr>
        <w:t>133 267 tis. eur</w:t>
      </w:r>
      <w:r w:rsidR="00EE521A">
        <w:rPr>
          <w:rFonts w:ascii="Arial Narrow" w:hAnsi="Arial Narrow"/>
          <w:sz w:val="22"/>
          <w:szCs w:val="22"/>
        </w:rPr>
        <w:t>.</w:t>
      </w:r>
      <w:r w:rsidR="00227DED">
        <w:rPr>
          <w:rFonts w:ascii="Arial Narrow" w:hAnsi="Arial Narrow"/>
          <w:sz w:val="22"/>
          <w:szCs w:val="22"/>
        </w:rPr>
        <w:t xml:space="preserve"> </w:t>
      </w:r>
      <w:r w:rsidR="00735062">
        <w:rPr>
          <w:rFonts w:ascii="Arial Narrow" w:hAnsi="Arial Narrow"/>
          <w:sz w:val="22"/>
          <w:szCs w:val="22"/>
        </w:rPr>
        <w:t>V návrhu rozpočtu na roky  2011 až 2013 sú rozpočtované iba riadne dividendy.</w:t>
      </w:r>
      <w:r w:rsidR="004A0946">
        <w:rPr>
          <w:rFonts w:ascii="Arial Narrow" w:hAnsi="Arial Narrow"/>
          <w:sz w:val="22"/>
          <w:szCs w:val="22"/>
        </w:rPr>
        <w:t xml:space="preserve"> </w:t>
      </w:r>
      <w:r w:rsidRPr="00FA766B" w:rsidR="00735062">
        <w:rPr>
          <w:rFonts w:ascii="Arial Narrow" w:hAnsi="Arial Narrow"/>
          <w:sz w:val="22"/>
          <w:szCs w:val="22"/>
        </w:rPr>
        <w:t>Predpokladá sa, že všetky príjmy z dividend budú v rokoch 2011 až 2013 transferované prostredníctvom štátnych finančných aktív do príjmov štátneho rozpočtu.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FA766B" w:rsidRPr="00FA766B" w:rsidP="00FA766B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247563" w:rsidP="00823F1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 w:rsidR="00FA766B">
        <w:rPr>
          <w:rFonts w:ascii="Arial Narrow" w:hAnsi="Arial Narrow"/>
          <w:sz w:val="22"/>
          <w:szCs w:val="22"/>
        </w:rPr>
        <w:t xml:space="preserve">Výdavky FNM SR sú na rok 2011 rozpočtované vo výške 323 216  tis. eur. V tomto objeme je zahrnutý aj zvýšený transfer do štátnych finančných aktív nad rámec prijatého objemu dividend, ktorý tvorí odčerpanie zdrojov zo zostatku prostriedkov FNM SR z predchádzajúcich rokov  vo výške 13 865 tis. eur. </w:t>
      </w:r>
      <w:r w:rsidR="00823F1D">
        <w:rPr>
          <w:rFonts w:ascii="Arial Narrow" w:hAnsi="Arial Narrow"/>
          <w:sz w:val="22"/>
          <w:szCs w:val="22"/>
        </w:rPr>
        <w:t xml:space="preserve">V porovnaní s očakávanou skutočnosťou roka 2010 dochádza v roku 2011 k poklesu celkového objemu výdavkov, a to hlavne z dôvodu nižšieho transferu dividend do štátnych finančných aktív, ako aj </w:t>
      </w:r>
      <w:r w:rsidR="005D333F">
        <w:rPr>
          <w:rFonts w:ascii="Arial Narrow" w:hAnsi="Arial Narrow"/>
          <w:sz w:val="22"/>
          <w:szCs w:val="22"/>
        </w:rPr>
        <w:t xml:space="preserve">z </w:t>
      </w:r>
      <w:r w:rsidR="00823F1D">
        <w:rPr>
          <w:rFonts w:ascii="Arial Narrow" w:hAnsi="Arial Narrow"/>
          <w:sz w:val="22"/>
          <w:szCs w:val="22"/>
        </w:rPr>
        <w:t xml:space="preserve">dôvodu nižšieho transferu prebytku prostriedkov FNM SR naakumulovaných v predchádzajúcich rokoch. Celkovo dochádza k medziročnému poklesu o 296 561 </w:t>
      </w:r>
      <w:r w:rsidRPr="00FA766B" w:rsidR="00823F1D">
        <w:rPr>
          <w:rFonts w:ascii="Arial Narrow" w:hAnsi="Arial Narrow"/>
          <w:sz w:val="22"/>
          <w:szCs w:val="22"/>
        </w:rPr>
        <w:t xml:space="preserve">tis. </w:t>
      </w:r>
      <w:r w:rsidR="00823F1D">
        <w:rPr>
          <w:rFonts w:ascii="Arial Narrow" w:hAnsi="Arial Narrow"/>
          <w:sz w:val="22"/>
          <w:szCs w:val="22"/>
        </w:rPr>
        <w:t>e</w:t>
      </w:r>
      <w:r w:rsidRPr="00FA766B" w:rsidR="00823F1D">
        <w:rPr>
          <w:rFonts w:ascii="Arial Narrow" w:hAnsi="Arial Narrow"/>
          <w:sz w:val="22"/>
          <w:szCs w:val="22"/>
        </w:rPr>
        <w:t>ur</w:t>
      </w:r>
      <w:r w:rsidR="00823F1D">
        <w:rPr>
          <w:rFonts w:ascii="Arial Narrow" w:hAnsi="Arial Narrow"/>
          <w:sz w:val="22"/>
          <w:szCs w:val="22"/>
        </w:rPr>
        <w:t xml:space="preserve">. </w:t>
      </w:r>
      <w:r w:rsidRPr="00FA766B" w:rsidR="00FA766B">
        <w:rPr>
          <w:rFonts w:ascii="Arial Narrow" w:hAnsi="Arial Narrow"/>
          <w:sz w:val="22"/>
          <w:szCs w:val="22"/>
        </w:rPr>
        <w:t>Ostatné výdavky FNM SR tvoria výdavky spojené s jeho činnosťou a výdavky, ktoré FNM SR vyplývajú zo zákona č. 92/1991 Zb. (napr. úhrada nákladov v dôsledku odstúpenia od zmluvy, zvýšenie základného imania a pod.).</w:t>
      </w:r>
    </w:p>
    <w:p w:rsidR="00823F1D" w:rsidRPr="00FA766B" w:rsidP="00823F1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A766B" w:rsidRPr="00FA766B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>
        <w:rPr>
          <w:rFonts w:ascii="Arial Narrow" w:hAnsi="Arial Narrow"/>
          <w:sz w:val="22"/>
          <w:szCs w:val="22"/>
        </w:rPr>
        <w:t>Cieľom navrhovaného rozpočtového hospodárenia FNM SR v rokoch 2011 až 2013 je zabezpečiť dostatok zdrojov na realizáciu úhrad splátok verejného dlhu v pôsobnosti FNM SR. Úhrady verejného dlhu budú pozostávať zo splátok dlhopisov FNM SR, z úhrad výdavkov spojených s reštitučnými nárokmi a z úhrad vyplývajúcich zo zákonného ručenia FNM SR podľa § 15 zákona č. 92/1991 Zb.</w:t>
      </w:r>
    </w:p>
    <w:p w:rsidR="00FA766B" w:rsidRPr="00FA766B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A766B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>
        <w:rPr>
          <w:rFonts w:ascii="Arial Narrow" w:hAnsi="Arial Narrow"/>
          <w:sz w:val="22"/>
          <w:szCs w:val="22"/>
        </w:rPr>
        <w:t xml:space="preserve">Celkový hotovostný prebytok hospodárenia FNM SR sa </w:t>
      </w:r>
      <w:r w:rsidR="007A23E8">
        <w:rPr>
          <w:rFonts w:ascii="Arial Narrow" w:hAnsi="Arial Narrow"/>
          <w:sz w:val="22"/>
          <w:szCs w:val="22"/>
        </w:rPr>
        <w:t>na</w:t>
      </w:r>
      <w:r w:rsidRPr="00FA766B">
        <w:rPr>
          <w:rFonts w:ascii="Arial Narrow" w:hAnsi="Arial Narrow"/>
          <w:sz w:val="22"/>
          <w:szCs w:val="22"/>
        </w:rPr>
        <w:t xml:space="preserve"> rok 2011 predp</w:t>
      </w:r>
      <w:r w:rsidR="007A23E8">
        <w:rPr>
          <w:rFonts w:ascii="Arial Narrow" w:hAnsi="Arial Narrow"/>
          <w:sz w:val="22"/>
          <w:szCs w:val="22"/>
        </w:rPr>
        <w:t>okladá vo výške 21,1 mil. eur, na</w:t>
      </w:r>
      <w:r w:rsidRPr="00FA766B">
        <w:rPr>
          <w:rFonts w:ascii="Arial Narrow" w:hAnsi="Arial Narrow"/>
          <w:sz w:val="22"/>
          <w:szCs w:val="22"/>
        </w:rPr>
        <w:t xml:space="preserve"> rok 2012 vo výške 12,2 mil. eur a </w:t>
      </w:r>
      <w:r w:rsidR="007A23E8">
        <w:rPr>
          <w:rFonts w:ascii="Arial Narrow" w:hAnsi="Arial Narrow"/>
          <w:sz w:val="22"/>
          <w:szCs w:val="22"/>
        </w:rPr>
        <w:t>na</w:t>
      </w:r>
      <w:r w:rsidRPr="00FA766B">
        <w:rPr>
          <w:rFonts w:ascii="Arial Narrow" w:hAnsi="Arial Narrow"/>
          <w:sz w:val="22"/>
          <w:szCs w:val="22"/>
        </w:rPr>
        <w:t xml:space="preserve"> rok 2013 vo výške 3,5 mil. eur, pričom v metodike ESA 95 sa predpokladá  schodok v roku 2011 na úrovni 22,5 mil. eur, v roku 2012 vo výške 7,0 mil. eur a v roku 2013 na úrovni 6,7 mil. eur. </w:t>
      </w:r>
    </w:p>
    <w:p w:rsidR="00BE4C5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5D333F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615D2" w:rsidP="007615D2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84667A" w:rsidP="0084667A">
      <w:pPr>
        <w:bidi w:val="0"/>
        <w:rPr>
          <w:rFonts w:ascii="Arial Narrow" w:hAnsi="Arial Narrow"/>
          <w:b/>
        </w:rPr>
      </w:pPr>
      <w:r w:rsidRPr="00723F95">
        <w:rPr>
          <w:rFonts w:ascii="Arial Narrow" w:hAnsi="Arial Narrow"/>
          <w:b/>
        </w:rPr>
        <w:t>7. Slovenská konsolidačná, a. s.</w:t>
      </w:r>
    </w:p>
    <w:p w:rsidR="00FA766B" w:rsidRPr="00383AEB" w:rsidP="00FA766B">
      <w:pPr>
        <w:bidi w:val="0"/>
        <w:rPr>
          <w:rFonts w:ascii="Arial Narrow" w:hAnsi="Arial Narrow"/>
          <w:b/>
        </w:rPr>
      </w:pPr>
    </w:p>
    <w:tbl>
      <w:tblPr>
        <w:tblStyle w:val="TableNormal"/>
        <w:tblW w:w="9280" w:type="dxa"/>
        <w:tblCellMar>
          <w:left w:w="70" w:type="dxa"/>
          <w:right w:w="70" w:type="dxa"/>
        </w:tblCellMar>
        <w:tblLook w:val="00A0"/>
      </w:tblPr>
      <w:tblGrid>
        <w:gridCol w:w="3760"/>
        <w:gridCol w:w="920"/>
        <w:gridCol w:w="920"/>
        <w:gridCol w:w="920"/>
        <w:gridCol w:w="920"/>
        <w:gridCol w:w="920"/>
        <w:gridCol w:w="920"/>
      </w:tblGrid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46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extDirection w:val="lrTb"/>
            <w:vAlign w:val="center"/>
          </w:tcPr>
          <w:p w:rsidR="00FA766B" w:rsidRPr="00B63959" w:rsidP="00285272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B63959">
              <w:rPr>
                <w:rFonts w:ascii="Arial Narrow" w:hAnsi="Arial Narrow" w:cs="Arial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B6395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B63959">
              <w:rPr>
                <w:rFonts w:ascii="Arial Narrow" w:hAnsi="Arial Narrow" w:cs="Arial"/>
                <w:b/>
                <w:bCs/>
                <w:sz w:val="16"/>
                <w:szCs w:val="18"/>
              </w:rPr>
              <w:t>2008 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B6395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B63959">
              <w:rPr>
                <w:rFonts w:ascii="Arial Narrow" w:hAnsi="Arial Narrow" w:cs="Arial"/>
                <w:b/>
                <w:bCs/>
                <w:sz w:val="16"/>
                <w:szCs w:val="18"/>
              </w:rPr>
              <w:t>2009 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B6395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B63959">
              <w:rPr>
                <w:rFonts w:ascii="Arial Narrow" w:hAnsi="Arial Narrow" w:cs="Arial"/>
                <w:b/>
                <w:bCs/>
                <w:sz w:val="16"/>
                <w:szCs w:val="18"/>
              </w:rPr>
              <w:t>2010 OS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B6395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B63959">
              <w:rPr>
                <w:rFonts w:ascii="Arial Narrow" w:hAnsi="Arial Narrow" w:cs="Arial"/>
                <w:b/>
                <w:bCs/>
                <w:sz w:val="16"/>
                <w:szCs w:val="18"/>
              </w:rPr>
              <w:t>2011 N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B6395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B63959">
              <w:rPr>
                <w:rFonts w:ascii="Arial Narrow" w:hAnsi="Arial Narrow" w:cs="Arial"/>
                <w:b/>
                <w:bCs/>
                <w:sz w:val="16"/>
                <w:szCs w:val="18"/>
              </w:rPr>
              <w:t>2012 N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textDirection w:val="lrTb"/>
            <w:vAlign w:val="center"/>
          </w:tcPr>
          <w:p w:rsidR="00FA766B" w:rsidRPr="00B63959" w:rsidP="0028527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B63959">
              <w:rPr>
                <w:rFonts w:ascii="Arial Narrow" w:hAnsi="Arial Narrow" w:cs="Arial"/>
                <w:b/>
                <w:bCs/>
                <w:sz w:val="16"/>
                <w:szCs w:val="18"/>
              </w:rPr>
              <w:t>2013 N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Príjmy SK, a. s. spolu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10</w:t>
            </w:r>
            <w:r w:rsidR="00094C51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9 238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91 304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99 428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87 090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94 775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102 796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137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▪   nedaňové príjmy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14 </w:t>
            </w:r>
            <w:r>
              <w:rPr>
                <w:rFonts w:ascii="Arial Narrow" w:hAnsi="Arial Narrow" w:cs="Arial"/>
                <w:sz w:val="16"/>
                <w:szCs w:val="18"/>
              </w:rPr>
              <w:t>811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14 203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7 450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7 134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12 946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13 396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príjmy z podnikania a z vlast. majetku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55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admin. poplatky a iné popl. a platby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úroky z tuzemských úverov, pôžičiek, NFV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14 2</w:t>
            </w:r>
            <w:r>
              <w:rPr>
                <w:rFonts w:ascii="Arial Narrow" w:hAnsi="Arial Narrow" w:cs="Arial"/>
                <w:sz w:val="16"/>
                <w:szCs w:val="18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13 392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6 950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6 989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12 801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13 251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ostatné príjmy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</w:t>
            </w:r>
            <w:r>
              <w:rPr>
                <w:rFonts w:ascii="Arial Narrow" w:hAnsi="Arial Narrow" w:cs="Arial"/>
                <w:sz w:val="16"/>
                <w:szCs w:val="18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90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▪   príjmy z transakcií s fin. akt. a pas., z toho: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9</w:t>
            </w:r>
            <w:r>
              <w:rPr>
                <w:rFonts w:ascii="Arial Narrow" w:hAnsi="Arial Narrow" w:cs="Arial"/>
                <w:sz w:val="16"/>
                <w:szCs w:val="18"/>
              </w:rPr>
              <w:t>4 427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</w:t>
            </w:r>
            <w:r>
              <w:rPr>
                <w:rFonts w:ascii="Arial Narrow" w:hAnsi="Arial Narrow" w:cs="Arial"/>
                <w:sz w:val="16"/>
                <w:szCs w:val="18"/>
              </w:rPr>
              <w:t>7 101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91 978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79 956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81 829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89 400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príjmy zo splácania istín pohľadávok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8 514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4 697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6 000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2 462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4 650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4 650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766B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príjmy z predaja majetkových účastín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A766B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7805D0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zost. prostr. z predch. roka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7805D0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83 081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7805D0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70 027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7805D0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85 978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7805D0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77 494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7805D0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77 179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7805D0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84 750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</w:t>
            </w:r>
            <w:r>
              <w:rPr>
                <w:rFonts w:ascii="Arial Narrow" w:hAnsi="Arial Narrow" w:cs="Arial"/>
                <w:sz w:val="16"/>
                <w:szCs w:val="18"/>
              </w:rPr>
              <w:t>odplata za postúpenú pohľadávku</w:t>
            </w: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2 832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2 377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Výdavky SK, a. s. spolu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39 3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</w:t>
            </w: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5 664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21 013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9 911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10 024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18 215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5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▪   bežné výdavky na správne činnosti úradu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7 3</w:t>
            </w:r>
            <w:r>
              <w:rPr>
                <w:rFonts w:ascii="Arial Narrow" w:hAnsi="Arial Narrow" w:cs="Arial"/>
                <w:sz w:val="16"/>
                <w:szCs w:val="18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5 548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20 627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9 525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9 638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17 829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mzdy, platy, služ. príjmy a ost. os. vyrovnania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3 9</w:t>
            </w:r>
            <w:r>
              <w:rPr>
                <w:rFonts w:ascii="Arial Narrow" w:hAnsi="Arial Narrow" w:cs="Arial"/>
                <w:sz w:val="16"/>
                <w:szCs w:val="18"/>
              </w:rPr>
              <w:t>7</w:t>
            </w:r>
            <w:r w:rsidRPr="00723F05">
              <w:rPr>
                <w:rFonts w:ascii="Arial Narrow" w:hAnsi="Arial Narrow" w:cs="Arial"/>
                <w:sz w:val="16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3 407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4 147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4 271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4 399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4 531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poistné a prísp. do poisťovní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1 1</w:t>
            </w:r>
            <w:r>
              <w:rPr>
                <w:rFonts w:ascii="Arial Narrow" w:hAnsi="Arial Narrow" w:cs="Arial"/>
                <w:sz w:val="16"/>
                <w:szCs w:val="18"/>
              </w:rPr>
              <w:t>5</w:t>
            </w:r>
            <w:r w:rsidRPr="00723F05">
              <w:rPr>
                <w:rFonts w:ascii="Arial Narrow" w:hAnsi="Arial Narrow" w:cs="Arial"/>
                <w:sz w:val="16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998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1 233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1 270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1 309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tovary a služby (vrátane dividend)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2 02</w:t>
            </w:r>
            <w:r>
              <w:rPr>
                <w:rFonts w:ascii="Arial Narrow" w:hAnsi="Arial Narrow" w:cs="Arial"/>
                <w:sz w:val="16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1 128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14 985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3 910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3 841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11 802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bežné transfery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2</w:t>
            </w:r>
            <w:r>
              <w:rPr>
                <w:rFonts w:ascii="Arial Narrow" w:hAnsi="Arial Narrow" w:cs="Arial"/>
                <w:sz w:val="16"/>
                <w:szCs w:val="18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265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187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▪   kapitálové výdavky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</w:t>
            </w:r>
            <w:r>
              <w:rPr>
                <w:rFonts w:ascii="Arial Narrow" w:hAnsi="Arial Narrow" w:cs="Arial"/>
                <w:sz w:val="16"/>
                <w:szCs w:val="18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386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obstarávanie kapitálových aktív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4</w:t>
            </w:r>
            <w:r>
              <w:rPr>
                <w:rFonts w:ascii="Arial Narrow" w:hAnsi="Arial Narrow" w:cs="Arial"/>
                <w:sz w:val="16"/>
                <w:szCs w:val="18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386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▪   výdavky z trans. s fin. aktívami a pasívami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31 534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          ostatné výdavkové FO - dividendy (FO)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31 534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Celkový prebytok/schodok SK, a. 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6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9 913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5 640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78 415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77 179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84 751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84 581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vylúčenie finančných operácií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-6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2 893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-7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7 101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-91 978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-79 956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-81 829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-89 400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6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 z toho: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 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BF2FFB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▪   vylúčenie príjmových FO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-9</w:t>
            </w:r>
            <w:r>
              <w:rPr>
                <w:rFonts w:ascii="Arial Narrow" w:hAnsi="Arial Narrow" w:cs="Arial"/>
                <w:sz w:val="16"/>
                <w:szCs w:val="18"/>
              </w:rPr>
              <w:t>4 427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-7</w:t>
            </w:r>
            <w:r>
              <w:rPr>
                <w:rFonts w:ascii="Arial Narrow" w:hAnsi="Arial Narrow" w:cs="Arial"/>
                <w:sz w:val="16"/>
                <w:szCs w:val="18"/>
              </w:rPr>
              <w:t>7 101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-91 978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-79 956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-81 829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-89 400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BF2FFB">
            <w:pPr>
              <w:bidi w:val="0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 xml:space="preserve">    ▪   vylúčenie výdavkových FO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31 534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sz w:val="16"/>
                <w:szCs w:val="18"/>
              </w:rPr>
              <w:t>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022F7C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 ostatné úpravy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3 785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6"/>
                <w:szCs w:val="18"/>
              </w:rPr>
              <w:t>2 243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F0120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</w:tr>
      <w:tr>
        <w:tblPrEx>
          <w:tblW w:w="9280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Prebytok (+)/schodok (-) SK, a. s.   (ESA 95)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10 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805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0 782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-13 563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-2 777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2 922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F0120" w:rsidRPr="00723F05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723F05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>-4 819</w:t>
            </w:r>
          </w:p>
        </w:tc>
      </w:tr>
    </w:tbl>
    <w:p w:rsidR="00FA766B" w:rsidP="00FA766B">
      <w:pPr>
        <w:bidi w:val="0"/>
        <w:ind w:firstLine="708"/>
        <w:jc w:val="both"/>
        <w:rPr>
          <w:rFonts w:ascii="Arial Narrow" w:hAnsi="Arial Narrow"/>
        </w:rPr>
      </w:pPr>
    </w:p>
    <w:p w:rsidR="00FA766B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>
        <w:rPr>
          <w:rFonts w:ascii="Arial Narrow" w:hAnsi="Arial Narrow"/>
          <w:sz w:val="22"/>
          <w:szCs w:val="22"/>
        </w:rPr>
        <w:t>Celkové príjmy  Slovenskej  konsolidačnej, a. s. (ďalej len „SK, a. s.“) v roku 2011 sú rozpočtované v objeme 87 090 tis. eur, z toho  nedaňové príjmy vo výške 7 134 tis. eur. Oproti roku 2010 ide o pokles celkových príjmov o 12,4 %, z titulu poklesu príjmov z transakcií s finančnými aktívami a pasívami, spôsobeného prevodom nižšieho zostatku prostriedkov z minulých rokov a poklesom príjmov zo splácania istín pohľadávok.  Najvýznamnejším  zdrojom príjmov sú úroky z tuzemských úverov</w:t>
      </w:r>
      <w:r w:rsidR="007A23E8">
        <w:rPr>
          <w:rFonts w:ascii="Arial Narrow" w:hAnsi="Arial Narrow"/>
          <w:sz w:val="22"/>
          <w:szCs w:val="22"/>
        </w:rPr>
        <w:t>,</w:t>
      </w:r>
      <w:r w:rsidRPr="00FA766B">
        <w:rPr>
          <w:rFonts w:ascii="Arial Narrow" w:hAnsi="Arial Narrow"/>
          <w:sz w:val="22"/>
          <w:szCs w:val="22"/>
        </w:rPr>
        <w:t xml:space="preserve"> pôžičiek a vkladov. Prechodné zníženie príjmov je spôsobené pomalším postupovaním pohľadávok od subjektov verejnej správy do SK, a. s. Efekt z prevzatia ďalších pohľadávok zo sektora verejnej správy, ktoré by sa malo realizovať v rokoch 2010 a 2011 sa prejaví až v roku 2012, kedy sa očakáva nárast výnosov. V predkladaných plánoch sa neuvažuje s postupovaním pohľadávok na tretie osoby. Pokles úrokových sadzieb z termínovaných vkladov voľných zdrojov sa prejaví v plánovanej výške úrokov z týchto vkladov. </w:t>
      </w:r>
    </w:p>
    <w:p w:rsidR="00FA766B" w:rsidRPr="00FA766B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A766B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>
        <w:rPr>
          <w:rFonts w:ascii="Arial Narrow" w:hAnsi="Arial Narrow"/>
          <w:sz w:val="22"/>
          <w:szCs w:val="22"/>
        </w:rPr>
        <w:t xml:space="preserve">Rozpočet SK, a. s. na rok 2011 predpokladá výdavky na úrovni 9 911 tis. eur, z ktorej väčšinu tvoria bežné výdavky určené na činnosť  spoločnosti. Pokles výdavkov oproti roku 2010 je spôsobený hlavne z dôvodu poklesu úhrady dividend akcionárovi, a to  z úrovne 13 272,5 tis. eur na 2 750 tis. eur.  </w:t>
      </w:r>
    </w:p>
    <w:p w:rsidR="00FA766B" w:rsidRPr="00FA766B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A766B" w:rsidRPr="00FA766B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A766B">
        <w:rPr>
          <w:rFonts w:ascii="Arial Narrow" w:hAnsi="Arial Narrow"/>
          <w:sz w:val="22"/>
          <w:szCs w:val="22"/>
        </w:rPr>
        <w:t xml:space="preserve">Celkový hotovostný prebytok hospodárenia SK, a. s. sa </w:t>
      </w:r>
      <w:r w:rsidR="005D333F">
        <w:rPr>
          <w:rFonts w:ascii="Arial Narrow" w:hAnsi="Arial Narrow"/>
          <w:sz w:val="22"/>
          <w:szCs w:val="22"/>
        </w:rPr>
        <w:t>na</w:t>
      </w:r>
      <w:r w:rsidRPr="00FA766B">
        <w:rPr>
          <w:rFonts w:ascii="Arial Narrow" w:hAnsi="Arial Narrow"/>
          <w:sz w:val="22"/>
          <w:szCs w:val="22"/>
        </w:rPr>
        <w:t xml:space="preserve"> rok 2011 predpokladá vo výške 77,2 mil. eur, </w:t>
      </w:r>
      <w:r w:rsidR="005D333F">
        <w:rPr>
          <w:rFonts w:ascii="Arial Narrow" w:hAnsi="Arial Narrow"/>
          <w:sz w:val="22"/>
          <w:szCs w:val="22"/>
        </w:rPr>
        <w:t>na</w:t>
      </w:r>
      <w:r w:rsidR="000C3FFC">
        <w:rPr>
          <w:rFonts w:ascii="Arial Narrow" w:hAnsi="Arial Narrow"/>
          <w:sz w:val="22"/>
          <w:szCs w:val="22"/>
        </w:rPr>
        <w:t xml:space="preserve"> rok 2012 vo výške 84,8</w:t>
      </w:r>
      <w:r w:rsidRPr="00FA766B">
        <w:rPr>
          <w:rFonts w:ascii="Arial Narrow" w:hAnsi="Arial Narrow"/>
          <w:sz w:val="22"/>
          <w:szCs w:val="22"/>
        </w:rPr>
        <w:t xml:space="preserve"> mil. eur a </w:t>
      </w:r>
      <w:r w:rsidR="005D333F">
        <w:rPr>
          <w:rFonts w:ascii="Arial Narrow" w:hAnsi="Arial Narrow"/>
          <w:sz w:val="22"/>
          <w:szCs w:val="22"/>
        </w:rPr>
        <w:t>na</w:t>
      </w:r>
      <w:r w:rsidRPr="00FA766B">
        <w:rPr>
          <w:rFonts w:ascii="Arial Narrow" w:hAnsi="Arial Narrow"/>
          <w:sz w:val="22"/>
          <w:szCs w:val="22"/>
        </w:rPr>
        <w:t xml:space="preserve"> rok 2013 vo výške 84,6 mil. eur, pričom v metodike ESA 95 sa predpokladá  v roku 2011 schodok na úrovni 2,8  mil. eur, v roku 2012 prebytok vo výške 2,9 mil. eur  a v roku 2013 schodok na úrovni 4,9 mil. eur. </w:t>
      </w:r>
    </w:p>
    <w:p w:rsidR="00575ED0" w:rsidRPr="00575ED0" w:rsidP="0084667A">
      <w:pPr>
        <w:bidi w:val="0"/>
        <w:rPr>
          <w:rFonts w:ascii="Arial Narrow" w:hAnsi="Arial Narrow"/>
          <w:sz w:val="22"/>
          <w:szCs w:val="22"/>
          <w:highlight w:val="yellow"/>
        </w:rPr>
      </w:pPr>
    </w:p>
    <w:p w:rsidR="0084667A" w:rsidRPr="00804143" w:rsidP="0084667A">
      <w:pPr>
        <w:bidi w:val="0"/>
        <w:jc w:val="both"/>
        <w:rPr>
          <w:rFonts w:ascii="Arial Narrow" w:hAnsi="Arial Narrow"/>
          <w:b/>
          <w:bCs/>
        </w:rPr>
      </w:pPr>
      <w:r w:rsidRPr="00423C9E">
        <w:rPr>
          <w:rFonts w:ascii="Arial Narrow" w:hAnsi="Arial Narrow"/>
          <w:b/>
          <w:bCs/>
        </w:rPr>
        <w:t>8. Úrad pre dohľad nad zdravotnou starostlivosťou</w:t>
      </w:r>
    </w:p>
    <w:p w:rsidR="0084667A" w:rsidRPr="004A29C8" w:rsidP="0084667A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C572D3" w:rsidP="00C572D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 xml:space="preserve">Úrad pre dohľad nad zdravotnou starostlivosťou (ďalej len „úrad“) bol zriadený zákonom č. 581/2004 Z. z. o zdravotných poisťovniach, dohľade nad zdravotnou starostlivosťou a o zmene a doplnení niektorých zákonov k </w:t>
      </w:r>
      <w:r w:rsidR="00BE4C52">
        <w:rPr>
          <w:rFonts w:ascii="Arial Narrow" w:hAnsi="Arial Narrow" w:cs="Arial"/>
          <w:sz w:val="22"/>
          <w:szCs w:val="22"/>
        </w:rPr>
        <w:t xml:space="preserve"> </w:t>
      </w:r>
      <w:r w:rsidRPr="00FC5A71">
        <w:rPr>
          <w:rFonts w:ascii="Arial Narrow" w:hAnsi="Arial Narrow" w:cs="Arial"/>
          <w:sz w:val="22"/>
          <w:szCs w:val="22"/>
        </w:rPr>
        <w:t>1. novembru 2004. Návrh rozpočtu na roky 2011 až 2013 je zostavený na základe platnej a pripravovanej legislatívy.</w:t>
      </w:r>
    </w:p>
    <w:p w:rsidR="00D017AF" w:rsidRPr="00FC5A71" w:rsidP="00C572D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D017AF" w:rsidRPr="00FC5A71" w:rsidP="00D017AF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ab/>
        <w:t>Vývoj príjmovej a výdavkovej časti rozpočtu úradu na roky 2011 až 2013 je v porovnaní s predchádzajúcimi rokmi nasledovný:</w:t>
      </w:r>
    </w:p>
    <w:p w:rsidR="00D017AF" w:rsidRPr="00FC5A71" w:rsidP="00C572D3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eNormal"/>
        <w:tblW w:w="4880" w:type="pct"/>
        <w:jc w:val="center"/>
        <w:tblInd w:w="-590" w:type="dxa"/>
        <w:tblCellMar>
          <w:left w:w="70" w:type="dxa"/>
          <w:right w:w="70" w:type="dxa"/>
        </w:tblCellMar>
        <w:tblLook w:val="04A0"/>
      </w:tblPr>
      <w:tblGrid>
        <w:gridCol w:w="3798"/>
        <w:gridCol w:w="898"/>
        <w:gridCol w:w="891"/>
        <w:gridCol w:w="891"/>
        <w:gridCol w:w="891"/>
        <w:gridCol w:w="891"/>
        <w:gridCol w:w="883"/>
      </w:tblGrid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615D7" w:rsidRPr="00B56268" w:rsidP="00285272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5626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(v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tis. </w:t>
            </w:r>
            <w:r w:rsidRPr="00B56268">
              <w:rPr>
                <w:rFonts w:ascii="Arial Narrow" w:hAnsi="Arial Narrow" w:cs="Arial"/>
                <w:b/>
                <w:bCs/>
                <w:sz w:val="16"/>
                <w:szCs w:val="16"/>
              </w:rPr>
              <w:t>eur)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615D7" w:rsidRPr="00B56268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56268">
              <w:rPr>
                <w:rFonts w:ascii="Arial Narrow" w:hAnsi="Arial Narrow" w:cs="Arial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615D7" w:rsidRPr="00B56268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56268">
              <w:rPr>
                <w:rFonts w:ascii="Arial Narrow" w:hAnsi="Arial Narrow" w:cs="Arial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615D7" w:rsidRPr="00B56268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56268">
              <w:rPr>
                <w:rFonts w:ascii="Arial Narrow" w:hAnsi="Arial Narrow" w:cs="Arial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615D7" w:rsidRPr="00B56268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56268">
              <w:rPr>
                <w:rFonts w:ascii="Arial Narrow" w:hAnsi="Arial Narrow" w:cs="Arial"/>
                <w:b/>
                <w:bCs/>
                <w:sz w:val="16"/>
                <w:szCs w:val="16"/>
              </w:rPr>
              <w:t>2011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615D7" w:rsidRPr="00B56268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56268">
              <w:rPr>
                <w:rFonts w:ascii="Arial Narrow" w:hAnsi="Arial Narrow" w:cs="Arial"/>
                <w:b/>
                <w:bCs/>
                <w:sz w:val="16"/>
                <w:szCs w:val="16"/>
              </w:rPr>
              <w:t>2012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</w:tcPr>
          <w:p w:rsidR="003615D7" w:rsidRPr="00B56268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56268">
              <w:rPr>
                <w:rFonts w:ascii="Arial Narrow" w:hAnsi="Arial Narrow" w:cs="Arial"/>
                <w:b/>
                <w:bCs/>
                <w:sz w:val="16"/>
                <w:szCs w:val="16"/>
              </w:rPr>
              <w:t>2013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Príjmy úradu spolu, z toho: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33 33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32 005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32 991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33 003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33 439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34 25</w:t>
            </w:r>
            <w:r w:rsidR="0065370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15D7" w:rsidRPr="00FC5A71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▪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  nedaňové príjmy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1 678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1 228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1 008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1 081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1 165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1 215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15D7" w:rsidRPr="00FC5A71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▪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 xml:space="preserve"> transfery v rámci VS, z toho: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15 085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14 195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14 985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15 998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16 176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16 689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15D7" w:rsidRPr="00FC5A71" w:rsidP="00285272">
            <w:pPr>
              <w:bidi w:val="0"/>
              <w:ind w:firstLine="320" w:firstLineChars="20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zo zdravotných poisťovní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14 150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14 195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14 985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15 998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16 176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16 689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321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15D7" w:rsidRPr="00FC5A71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▪ 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 xml:space="preserve"> zostatok prostr</w:t>
            </w:r>
            <w:r w:rsidR="00D41674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z</w:t>
            </w:r>
            <w:r w:rsidR="00D41674"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predch</w:t>
            </w:r>
            <w:r w:rsidR="00D41674"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D1BCA">
              <w:rPr>
                <w:rFonts w:ascii="Arial Narrow" w:hAnsi="Arial Narrow" w:cs="Arial"/>
                <w:sz w:val="16"/>
                <w:szCs w:val="16"/>
              </w:rPr>
              <w:t>r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okov</w:t>
            </w:r>
            <w:r w:rsidR="00D41674">
              <w:rPr>
                <w:rFonts w:ascii="Arial Narrow" w:hAnsi="Arial Narrow" w:cs="Arial"/>
                <w:sz w:val="16"/>
                <w:szCs w:val="16"/>
              </w:rPr>
              <w:t xml:space="preserve"> (FO)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16 57</w:t>
            </w: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16 582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15 924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16 098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16 34</w:t>
            </w:r>
            <w:r w:rsidR="00653705"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Výdavky úradu spolu, z toho: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16 756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14 978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17 067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16 905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17 09</w:t>
            </w:r>
            <w:r w:rsidR="0065370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17 30</w:t>
            </w:r>
            <w:r w:rsidR="0065370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15D7" w:rsidRPr="00FC5A71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▪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   bežné výdavky na správne činnosti úradu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13 092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13 911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15 515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16 105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16 39</w:t>
            </w:r>
            <w:r w:rsidR="00653705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17 0</w:t>
            </w:r>
            <w:r w:rsidR="00653705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15D7" w:rsidRPr="00FC5A71" w:rsidP="00285272">
            <w:pPr>
              <w:bidi w:val="0"/>
              <w:ind w:firstLine="320" w:firstLineChars="20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 xml:space="preserve">bežný transfer rozpočtovej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org</w:t>
            </w:r>
            <w:r>
              <w:rPr>
                <w:rFonts w:ascii="Arial Narrow" w:hAnsi="Arial Narrow" w:cs="Arial"/>
                <w:sz w:val="16"/>
                <w:szCs w:val="16"/>
              </w:rPr>
              <w:t>anizácii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15D7" w:rsidRPr="00FC5A71" w:rsidP="00285272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▪</w:t>
            </w:r>
            <w:r w:rsidRPr="00FC5A71">
              <w:rPr>
                <w:rFonts w:ascii="Arial Narrow" w:hAnsi="Arial Narrow" w:cs="Arial"/>
                <w:sz w:val="16"/>
                <w:szCs w:val="16"/>
              </w:rPr>
              <w:t>   kapitálové výdavky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3 664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1 067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1 552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700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sz w:val="16"/>
                <w:szCs w:val="16"/>
              </w:rPr>
              <w:t>295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Celkový prebytok úradu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16 58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17 027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15 924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16 098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16 34</w:t>
            </w:r>
            <w:r w:rsidR="0065370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16 948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 vylúčenie finančných operácií, z toho: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-16 57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-16 582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-16 998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-15 924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-16 098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-16 34</w:t>
            </w:r>
            <w:r w:rsidR="0065370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B020A6" w:rsidP="00B020A6">
            <w:pPr>
              <w:bidi w:val="0"/>
              <w:ind w:firstLine="160" w:firstLineChars="10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020A6">
              <w:rPr>
                <w:rFonts w:ascii="Arial Narrow" w:hAnsi="Arial Narrow" w:cs="Arial"/>
                <w:i/>
                <w:sz w:val="16"/>
                <w:szCs w:val="16"/>
              </w:rPr>
              <w:t xml:space="preserve">▪   vylúčenie príjmových </w:t>
            </w:r>
            <w:r w:rsidRPr="00B020A6" w:rsidR="00B020A6">
              <w:rPr>
                <w:rFonts w:ascii="Arial Narrow" w:hAnsi="Arial Narrow" w:cs="Arial"/>
                <w:i/>
                <w:sz w:val="16"/>
                <w:szCs w:val="16"/>
              </w:rPr>
              <w:t>FO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B020A6" w:rsidP="00285272">
            <w:pPr>
              <w:bidi w:val="0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020A6">
              <w:rPr>
                <w:rFonts w:ascii="Arial Narrow" w:hAnsi="Arial Narrow" w:cs="Arial"/>
                <w:i/>
                <w:sz w:val="16"/>
                <w:szCs w:val="16"/>
              </w:rPr>
              <w:t>-16 576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B020A6" w:rsidP="00285272">
            <w:pPr>
              <w:bidi w:val="0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020A6">
              <w:rPr>
                <w:rFonts w:ascii="Arial Narrow" w:hAnsi="Arial Narrow" w:cs="Arial"/>
                <w:i/>
                <w:sz w:val="16"/>
                <w:szCs w:val="16"/>
              </w:rPr>
              <w:t>-16 582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B020A6" w:rsidP="00285272">
            <w:pPr>
              <w:bidi w:val="0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020A6">
              <w:rPr>
                <w:rFonts w:ascii="Arial Narrow" w:hAnsi="Arial Narrow" w:cs="Arial"/>
                <w:i/>
                <w:sz w:val="16"/>
                <w:szCs w:val="16"/>
              </w:rPr>
              <w:t>-16 998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B020A6" w:rsidP="00285272">
            <w:pPr>
              <w:bidi w:val="0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020A6">
              <w:rPr>
                <w:rFonts w:ascii="Arial Narrow" w:hAnsi="Arial Narrow" w:cs="Arial"/>
                <w:i/>
                <w:sz w:val="16"/>
                <w:szCs w:val="16"/>
              </w:rPr>
              <w:t>-15 924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B020A6" w:rsidP="00285272">
            <w:pPr>
              <w:bidi w:val="0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020A6">
              <w:rPr>
                <w:rFonts w:ascii="Arial Narrow" w:hAnsi="Arial Narrow" w:cs="Arial"/>
                <w:i/>
                <w:sz w:val="16"/>
                <w:szCs w:val="16"/>
              </w:rPr>
              <w:t>-16 098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615D7" w:rsidRPr="00B020A6" w:rsidP="00285272">
            <w:pPr>
              <w:bidi w:val="0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020A6">
              <w:rPr>
                <w:rFonts w:ascii="Arial Narrow" w:hAnsi="Arial Narrow" w:cs="Arial"/>
                <w:i/>
                <w:sz w:val="16"/>
                <w:szCs w:val="16"/>
              </w:rPr>
              <w:t>-16 34</w:t>
            </w:r>
            <w:r w:rsidRPr="00B020A6" w:rsidR="00653705">
              <w:rPr>
                <w:rFonts w:ascii="Arial Narrow" w:hAnsi="Arial Narrow" w:cs="Arial"/>
                <w:i/>
                <w:sz w:val="16"/>
                <w:szCs w:val="16"/>
              </w:rPr>
              <w:t>8</w:t>
            </w: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4863" w:rsidRPr="00022F7C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 ostatné úpravy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4863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6"/>
                <w:szCs w:val="18"/>
              </w:rPr>
              <w:t>-1 992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4863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="00423C9E">
              <w:rPr>
                <w:rFonts w:ascii="Arial Narrow" w:hAnsi="Arial Narrow" w:cs="Arial"/>
                <w:b/>
                <w:i/>
                <w:sz w:val="16"/>
                <w:szCs w:val="18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4863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4863" w:rsidRPr="00022F7C" w:rsidP="00285272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4863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04863" w:rsidRPr="00FC5A71" w:rsidP="00285272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>
        <w:tblPrEx>
          <w:tblW w:w="4880" w:type="pct"/>
          <w:jc w:val="center"/>
          <w:tblInd w:w="-590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04863" w:rsidRPr="00FC5A71" w:rsidP="00285272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Prebytok / schodok úradu (ESA 95)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04863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-1 985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04863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423C9E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04863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-1 074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04863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174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04863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FC5A7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25</w:t>
            </w:r>
            <w:r w:rsidR="0065370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04863" w:rsidRPr="00FC5A71" w:rsidP="00285272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="0065370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600</w:t>
            </w:r>
          </w:p>
        </w:tc>
      </w:tr>
    </w:tbl>
    <w:p w:rsidR="009E630D" w:rsidP="00C572D3">
      <w:pPr>
        <w:pStyle w:val="BodyText"/>
        <w:bidi w:val="0"/>
        <w:ind w:firstLine="708"/>
        <w:rPr>
          <w:rFonts w:ascii="Arial Narrow" w:hAnsi="Arial Narrow" w:cs="Arial"/>
          <w:sz w:val="22"/>
          <w:szCs w:val="22"/>
        </w:rPr>
      </w:pPr>
    </w:p>
    <w:p w:rsidR="00C572D3" w:rsidRPr="00FC5A71" w:rsidP="00C572D3">
      <w:pPr>
        <w:pStyle w:val="BodyText"/>
        <w:bidi w:val="0"/>
        <w:ind w:firstLine="708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 xml:space="preserve">Celkové príjmy úradu sú v roku 2011 plánované vo výške 33,0 mil. eur s medziročným nárastom 0,04 % oproti očakávaným príjmom v roku 2010.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FC5A71">
        <w:rPr>
          <w:rFonts w:ascii="Arial Narrow" w:hAnsi="Arial Narrow" w:cs="Arial"/>
          <w:sz w:val="22"/>
          <w:szCs w:val="22"/>
        </w:rPr>
        <w:t> rok 2012 sa celkové príjmy predpokladajú v objeme 33,4 mil. eur s</w:t>
      </w:r>
      <w:r w:rsidR="007A23E8">
        <w:rPr>
          <w:rFonts w:ascii="Arial Narrow" w:hAnsi="Arial Narrow" w:cs="Arial"/>
          <w:sz w:val="22"/>
          <w:szCs w:val="22"/>
        </w:rPr>
        <w:t> medziročným nárastom 1,32 % a na</w:t>
      </w:r>
      <w:r w:rsidRPr="00FC5A71">
        <w:rPr>
          <w:rFonts w:ascii="Arial Narrow" w:hAnsi="Arial Narrow" w:cs="Arial"/>
          <w:sz w:val="22"/>
          <w:szCs w:val="22"/>
        </w:rPr>
        <w:t> rok 2013 v objeme 34,3 mil. eur, čo predstavuje 2,43</w:t>
      </w:r>
      <w:r w:rsidR="007A23E8">
        <w:rPr>
          <w:rFonts w:ascii="Arial Narrow" w:hAnsi="Arial Narrow" w:cs="Arial"/>
          <w:sz w:val="22"/>
          <w:szCs w:val="22"/>
        </w:rPr>
        <w:t xml:space="preserve"> </w:t>
      </w:r>
      <w:r w:rsidRPr="00FC5A71">
        <w:rPr>
          <w:rFonts w:ascii="Arial Narrow" w:hAnsi="Arial Narrow" w:cs="Arial"/>
          <w:sz w:val="22"/>
          <w:szCs w:val="22"/>
        </w:rPr>
        <w:t xml:space="preserve">% nárast oproti predchádzajúcemu roku. </w:t>
      </w:r>
    </w:p>
    <w:p w:rsidR="00C572D3" w:rsidRPr="00FC5A71" w:rsidP="00C572D3">
      <w:pPr>
        <w:pStyle w:val="BodyText"/>
        <w:bidi w:val="0"/>
        <w:ind w:firstLine="708"/>
        <w:rPr>
          <w:rFonts w:ascii="Arial Narrow" w:hAnsi="Arial Narrow" w:cs="Arial"/>
          <w:sz w:val="22"/>
          <w:szCs w:val="22"/>
        </w:rPr>
      </w:pPr>
    </w:p>
    <w:p w:rsidR="00C572D3" w:rsidRPr="00FC5A71" w:rsidP="00C572D3">
      <w:pPr>
        <w:pStyle w:val="BodyText"/>
        <w:bidi w:val="0"/>
        <w:ind w:firstLine="708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 xml:space="preserve">Rozhodujúcim príjmom úradu je každoročný príspevok na činnosť úradu od zdravotných poisťovní podľa </w:t>
      </w:r>
      <w:r w:rsidR="0012351A">
        <w:rPr>
          <w:rFonts w:ascii="Arial Narrow" w:hAnsi="Arial Narrow" w:cs="Arial"/>
          <w:sz w:val="22"/>
          <w:szCs w:val="22"/>
        </w:rPr>
        <w:t xml:space="preserve"> </w:t>
      </w:r>
      <w:r w:rsidRPr="00FC5A71">
        <w:rPr>
          <w:rFonts w:ascii="Arial Narrow" w:hAnsi="Arial Narrow" w:cs="Arial"/>
          <w:sz w:val="22"/>
          <w:szCs w:val="22"/>
        </w:rPr>
        <w:t xml:space="preserve">§ 30 zákona č. 581/2004 Z. z., ktorého výška je 0,45 % zo sumy vybraného poistného, na ktorú majú poisťovne právo po prerozdelení poistného za kalendárny rok predchádzajúci kalendárnemu roku, v ktorom je príspevok splatný. Príspevok sa poukazuje na účet úradu do 20. decembra kalendárneho roku na nasledujúci kalendárny rok. Úrad presúva uvedené prostriedky do nasledujúceho roku ako zostatok finančných prostriedkov z predchádzajúcich rokov. V roku 2011 je príspevok od zdravotných poisťovní predpokladaný vo výške 16,0 mil. eur s nárastom 6,76 % oproti očakávanému príspevku v roku 2010. Výška príspevku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FC5A71">
        <w:rPr>
          <w:rFonts w:ascii="Arial Narrow" w:hAnsi="Arial Narrow" w:cs="Arial"/>
          <w:sz w:val="22"/>
          <w:szCs w:val="22"/>
        </w:rPr>
        <w:t xml:space="preserve"> rok 2011 vychádza z očakávaného výberu poistného zdravotnými poisťovňami za rok 2010. Príspevok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FC5A71">
        <w:rPr>
          <w:rFonts w:ascii="Arial Narrow" w:hAnsi="Arial Narrow" w:cs="Arial"/>
          <w:sz w:val="22"/>
          <w:szCs w:val="22"/>
        </w:rPr>
        <w:t> rok 2012 sa predpokladá vo výške 16,2 mil. eur s medziročným nárastom 1,1</w:t>
      </w:r>
      <w:r>
        <w:rPr>
          <w:rFonts w:ascii="Arial Narrow" w:hAnsi="Arial Narrow" w:cs="Arial"/>
          <w:sz w:val="22"/>
          <w:szCs w:val="22"/>
        </w:rPr>
        <w:t>1</w:t>
      </w:r>
      <w:r w:rsidRPr="00FC5A71">
        <w:rPr>
          <w:rFonts w:ascii="Arial Narrow" w:hAnsi="Arial Narrow" w:cs="Arial"/>
          <w:sz w:val="22"/>
          <w:szCs w:val="22"/>
        </w:rPr>
        <w:t xml:space="preserve"> % a 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FC5A71">
        <w:rPr>
          <w:rFonts w:ascii="Arial Narrow" w:hAnsi="Arial Narrow" w:cs="Arial"/>
          <w:sz w:val="22"/>
          <w:szCs w:val="22"/>
        </w:rPr>
        <w:t xml:space="preserve"> rok 2013 vo výške 16,7 mil. eur s medziročným nárastom 3,17 %.</w:t>
      </w:r>
    </w:p>
    <w:p w:rsidR="00C572D3" w:rsidRPr="00FC5A71" w:rsidP="00C572D3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C572D3" w:rsidRPr="00FC5A71" w:rsidP="00C572D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 xml:space="preserve">V zostatku prostriedkov z predchádzajúcich rokov v roku 2011 vo výške 15,9 mil. eur je zahrnutý, okrem predpokladaného prevodu príspevku od zdravotných poisťovní vo výške 15,0 mil. eur, aj objem nevyčerpaných prostriedkov z predchádzajúcich rokov vo výške 939 tis. eur, ktorý sa v roku 2011 predpokladá využiť na krytie kapitálových výdavkov. Zostatok prostriedkov z predchádzajúcich rokov nadväzuje na očakávanú skutočnosť úradu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FC5A71">
        <w:rPr>
          <w:rFonts w:ascii="Arial Narrow" w:hAnsi="Arial Narrow" w:cs="Arial"/>
          <w:sz w:val="22"/>
          <w:szCs w:val="22"/>
        </w:rPr>
        <w:t xml:space="preserve"> rok 2010.</w:t>
      </w:r>
    </w:p>
    <w:p w:rsidR="00C572D3" w:rsidRPr="00FC5A71" w:rsidP="00C572D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C572D3" w:rsidP="004A0946">
      <w:pPr>
        <w:pStyle w:val="BodyTextIndent2"/>
        <w:tabs>
          <w:tab w:val="left" w:pos="-54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ab/>
        <w:t xml:space="preserve">Nedaňové príjmy súvisiace s činnosťou úradu sú rozpočtované </w:t>
      </w:r>
      <w:r w:rsidR="007A23E8">
        <w:rPr>
          <w:rFonts w:ascii="Arial Narrow" w:hAnsi="Arial Narrow" w:cs="Arial"/>
          <w:sz w:val="22"/>
          <w:szCs w:val="22"/>
        </w:rPr>
        <w:t>na</w:t>
      </w:r>
      <w:r w:rsidRPr="00FC5A71">
        <w:rPr>
          <w:rFonts w:ascii="Arial Narrow" w:hAnsi="Arial Narrow" w:cs="Arial"/>
          <w:sz w:val="22"/>
          <w:szCs w:val="22"/>
        </w:rPr>
        <w:t xml:space="preserve"> rok 2011 vo výške 1,08 mil. eur. V uvedenej sume sa predpokladajú príjmy z činnosti súdnolekárskych a patologickoanatomick</w:t>
      </w:r>
      <w:r>
        <w:rPr>
          <w:rFonts w:ascii="Arial Narrow" w:hAnsi="Arial Narrow" w:cs="Arial"/>
          <w:sz w:val="22"/>
          <w:szCs w:val="22"/>
        </w:rPr>
        <w:t>ých pracovísk</w:t>
      </w:r>
      <w:r w:rsidRPr="00FC5A71">
        <w:rPr>
          <w:rFonts w:ascii="Arial Narrow" w:hAnsi="Arial Narrow" w:cs="Arial"/>
          <w:sz w:val="22"/>
          <w:szCs w:val="22"/>
        </w:rPr>
        <w:t>, z úhrad za vydané rozhodnutia v správnom konaní, ako aj príjmy z úrokov na účtoch. Medziročný p</w:t>
      </w:r>
      <w:r>
        <w:rPr>
          <w:rFonts w:ascii="Arial Narrow" w:hAnsi="Arial Narrow" w:cs="Arial"/>
          <w:sz w:val="22"/>
          <w:szCs w:val="22"/>
        </w:rPr>
        <w:t xml:space="preserve">okles nedaňových príjmov o </w:t>
      </w:r>
      <w:r w:rsidRPr="00FC5A71">
        <w:rPr>
          <w:rFonts w:ascii="Arial Narrow" w:hAnsi="Arial Narrow" w:cs="Arial"/>
          <w:sz w:val="22"/>
          <w:szCs w:val="22"/>
        </w:rPr>
        <w:t>2,0</w:t>
      </w:r>
      <w:r>
        <w:rPr>
          <w:rFonts w:ascii="Arial Narrow" w:hAnsi="Arial Narrow" w:cs="Arial"/>
          <w:sz w:val="22"/>
          <w:szCs w:val="22"/>
        </w:rPr>
        <w:t>8</w:t>
      </w:r>
      <w:r w:rsidRPr="00FC5A71">
        <w:rPr>
          <w:rFonts w:ascii="Arial Narrow" w:hAnsi="Arial Narrow" w:cs="Arial"/>
          <w:sz w:val="22"/>
          <w:szCs w:val="22"/>
        </w:rPr>
        <w:t xml:space="preserve"> % oproti rozpočtovaným príjmom roku 2010 vyplýva zo zníženia poplatku za správne konania, ako aj z nižších úrokových sadzieb na účtoch v štátnej pokladnici. Nedaňové príjmy však oproti očakávaným nedaňovým príjmom v rok</w:t>
      </w:r>
      <w:r>
        <w:rPr>
          <w:rFonts w:ascii="Arial Narrow" w:hAnsi="Arial Narrow" w:cs="Arial"/>
          <w:sz w:val="22"/>
          <w:szCs w:val="22"/>
        </w:rPr>
        <w:t>u 2010 zaznamenajú nárast o 7,24</w:t>
      </w:r>
      <w:r w:rsidRPr="00FC5A71">
        <w:rPr>
          <w:rFonts w:ascii="Arial Narrow" w:hAnsi="Arial Narrow" w:cs="Arial"/>
          <w:sz w:val="22"/>
          <w:szCs w:val="22"/>
        </w:rPr>
        <w:t xml:space="preserve"> %.</w:t>
      </w:r>
    </w:p>
    <w:p w:rsidR="00C572D3" w:rsidRPr="00FC5A71" w:rsidP="00C572D3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ab/>
        <w:t>Celkové výdavky úradu na rok 2011 sa predpokladajú vo výške 16,9 mil. eur s medziročným poklesom oproti očakávan</w:t>
      </w:r>
      <w:r>
        <w:rPr>
          <w:rFonts w:ascii="Arial Narrow" w:hAnsi="Arial Narrow" w:cs="Arial"/>
          <w:sz w:val="22"/>
          <w:szCs w:val="22"/>
        </w:rPr>
        <w:t>ej skutočnosti roku 2010 o 0,95</w:t>
      </w:r>
      <w:r w:rsidRPr="00FC5A71">
        <w:rPr>
          <w:rFonts w:ascii="Arial Narrow" w:hAnsi="Arial Narrow" w:cs="Arial"/>
          <w:sz w:val="22"/>
          <w:szCs w:val="22"/>
        </w:rPr>
        <w:t xml:space="preserve"> %. V rámci bežných výdavkov je vyčlenená suma 7,20 mil. eur na mzdy. V súlade s uznesením vlády č. 950 zo 17. decembra 2008 k správe o plnení multilicenčnej zmluvy Microsoft Enterprise Agreement a návrhu jej pokračovania úrad vyčlenil pre Ministerstvo financií SR každoročne 85,0 tis. eur na úhradu plnenia multilicenčnej zmluvy. Kapitálové výdavky v sume 800 tis. eur sú vyčlenené na rozvoj informačného systému a predpokladanú realizáciu stavieb a ich zhodnocovanie a modernizáciu. </w:t>
      </w:r>
    </w:p>
    <w:p w:rsidR="00C572D3" w:rsidRPr="00FC5A71" w:rsidP="00C572D3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C572D3" w:rsidRPr="00FC5A71" w:rsidP="00C572D3">
      <w:pPr>
        <w:pStyle w:val="BodyTextIndent2"/>
        <w:tabs>
          <w:tab w:val="left" w:pos="0"/>
        </w:tabs>
        <w:bidi w:val="0"/>
        <w:spacing w:after="0" w:line="240" w:lineRule="auto"/>
        <w:ind w:left="0" w:firstLine="709"/>
        <w:jc w:val="both"/>
        <w:rPr>
          <w:rFonts w:ascii="Arial Narrow" w:hAnsi="Arial Narrow" w:cs="Arial"/>
          <w:sz w:val="22"/>
          <w:szCs w:val="22"/>
        </w:rPr>
      </w:pPr>
      <w:r w:rsidR="00DF084D">
        <w:rPr>
          <w:rFonts w:ascii="Arial Narrow" w:hAnsi="Arial Narrow" w:cs="Arial"/>
          <w:sz w:val="22"/>
          <w:szCs w:val="22"/>
        </w:rPr>
        <w:t xml:space="preserve">Na </w:t>
      </w:r>
      <w:r w:rsidRPr="00FC5A71">
        <w:rPr>
          <w:rFonts w:ascii="Arial Narrow" w:hAnsi="Arial Narrow" w:cs="Arial"/>
          <w:sz w:val="22"/>
          <w:szCs w:val="22"/>
        </w:rPr>
        <w:t xml:space="preserve">rok 2012 sa celkové výdavky predpokladajú v objeme 17,1 mil. eur </w:t>
      </w:r>
      <w:r>
        <w:rPr>
          <w:rFonts w:ascii="Arial Narrow" w:hAnsi="Arial Narrow" w:cs="Arial"/>
          <w:sz w:val="22"/>
          <w:szCs w:val="22"/>
        </w:rPr>
        <w:t>s 1,09</w:t>
      </w:r>
      <w:r w:rsidRPr="00FC5A71">
        <w:rPr>
          <w:rFonts w:ascii="Arial Narrow" w:hAnsi="Arial Narrow" w:cs="Arial"/>
          <w:sz w:val="22"/>
          <w:szCs w:val="22"/>
        </w:rPr>
        <w:t>% medziročným nárastom a v roku 2013 v objeme 17,3 mil. eur s 1,2</w:t>
      </w:r>
      <w:r>
        <w:rPr>
          <w:rFonts w:ascii="Arial Narrow" w:hAnsi="Arial Narrow" w:cs="Arial"/>
          <w:sz w:val="22"/>
          <w:szCs w:val="22"/>
        </w:rPr>
        <w:t>6</w:t>
      </w:r>
      <w:r w:rsidRPr="00FC5A71">
        <w:rPr>
          <w:rFonts w:ascii="Arial Narrow" w:hAnsi="Arial Narrow" w:cs="Arial"/>
          <w:sz w:val="22"/>
          <w:szCs w:val="22"/>
        </w:rPr>
        <w:t>% medziročným nárastom.</w:t>
      </w:r>
    </w:p>
    <w:p w:rsidR="00C572D3" w:rsidRPr="00FC5A71" w:rsidP="00C572D3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C572D3" w:rsidRPr="00FC5A71" w:rsidP="00C572D3">
      <w:pPr>
        <w:pStyle w:val="BodyTextIndent2"/>
        <w:tabs>
          <w:tab w:val="left" w:pos="0"/>
        </w:tabs>
        <w:bidi w:val="0"/>
        <w:spacing w:after="0" w:line="240" w:lineRule="auto"/>
        <w:ind w:left="0" w:firstLine="709"/>
        <w:jc w:val="both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 xml:space="preserve">Celkový hotovostný prebytok úradu sa v roku 2011 predpokladá vo výške 16,1 mil. eur, v rámci čoho sa okrem príspevku na činnosť od zdravotných poisťovní predpokladá aj zostatok z hospodárenia úradu vo výške </w:t>
      </w:r>
      <w:r w:rsidR="0012351A">
        <w:rPr>
          <w:rFonts w:ascii="Arial Narrow" w:hAnsi="Arial Narrow" w:cs="Arial"/>
          <w:sz w:val="22"/>
          <w:szCs w:val="22"/>
        </w:rPr>
        <w:t xml:space="preserve">  </w:t>
      </w:r>
      <w:r w:rsidRPr="00FC5A71">
        <w:rPr>
          <w:rFonts w:ascii="Arial Narrow" w:hAnsi="Arial Narrow" w:cs="Arial"/>
          <w:sz w:val="22"/>
          <w:szCs w:val="22"/>
        </w:rPr>
        <w:t xml:space="preserve">100 tis. eur. V roku 2012 sa predpokladá celkový prebytok úradu na  úrovni 16,3 mil. eur a v roku 2013 vo výške 16,9 mil. eur. V metodike ESA 95 je </w:t>
      </w:r>
      <w:r w:rsidR="006B0874">
        <w:rPr>
          <w:rFonts w:ascii="Arial Narrow" w:hAnsi="Arial Narrow" w:cs="Arial"/>
          <w:sz w:val="22"/>
          <w:szCs w:val="22"/>
        </w:rPr>
        <w:t>rozpočtovaný</w:t>
      </w:r>
      <w:r w:rsidRPr="00FC5A71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prebytok</w:t>
      </w:r>
      <w:r w:rsidRPr="00FC5A71">
        <w:rPr>
          <w:rFonts w:ascii="Arial Narrow" w:hAnsi="Arial Narrow" w:cs="Arial"/>
          <w:sz w:val="22"/>
          <w:szCs w:val="22"/>
        </w:rPr>
        <w:t xml:space="preserve"> hospodárenia úradu v roku 2011 vo výške 17</w:t>
      </w:r>
      <w:r>
        <w:rPr>
          <w:rFonts w:ascii="Arial Narrow" w:hAnsi="Arial Narrow" w:cs="Arial"/>
          <w:sz w:val="22"/>
          <w:szCs w:val="22"/>
        </w:rPr>
        <w:t>4</w:t>
      </w:r>
      <w:r w:rsidRPr="00FC5A71">
        <w:rPr>
          <w:rFonts w:ascii="Arial Narrow" w:hAnsi="Arial Narrow" w:cs="Arial"/>
          <w:sz w:val="22"/>
          <w:szCs w:val="22"/>
        </w:rPr>
        <w:t xml:space="preserve"> tis. eur, v roku 2012 vo výške 25</w:t>
      </w:r>
      <w:r w:rsidR="00012287">
        <w:rPr>
          <w:rFonts w:ascii="Arial Narrow" w:hAnsi="Arial Narrow" w:cs="Arial"/>
          <w:sz w:val="22"/>
          <w:szCs w:val="22"/>
        </w:rPr>
        <w:t>0</w:t>
      </w:r>
      <w:r w:rsidRPr="00FC5A71">
        <w:rPr>
          <w:rFonts w:ascii="Arial Narrow" w:hAnsi="Arial Narrow" w:cs="Arial"/>
          <w:sz w:val="22"/>
          <w:szCs w:val="22"/>
        </w:rPr>
        <w:t xml:space="preserve"> tis. eur a v roku 2013 vo výške </w:t>
      </w:r>
      <w:r w:rsidR="004439F0">
        <w:rPr>
          <w:rFonts w:ascii="Arial Narrow" w:hAnsi="Arial Narrow" w:cs="Arial"/>
          <w:sz w:val="22"/>
          <w:szCs w:val="22"/>
        </w:rPr>
        <w:t xml:space="preserve">600 </w:t>
      </w:r>
      <w:r w:rsidRPr="00FC5A71">
        <w:rPr>
          <w:rFonts w:ascii="Arial Narrow" w:hAnsi="Arial Narrow" w:cs="Arial"/>
          <w:sz w:val="22"/>
          <w:szCs w:val="22"/>
        </w:rPr>
        <w:t>tis. eur.</w:t>
      </w:r>
    </w:p>
    <w:p w:rsidR="00575ED0" w:rsidRPr="00FC5A71" w:rsidP="00C572D3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84667A" w:rsidRPr="00723F95" w:rsidP="0084667A">
      <w:pPr>
        <w:bidi w:val="0"/>
        <w:rPr>
          <w:rFonts w:ascii="Arial Narrow" w:hAnsi="Arial Narrow"/>
          <w:b/>
        </w:rPr>
      </w:pPr>
      <w:r w:rsidRPr="00774616">
        <w:rPr>
          <w:rFonts w:ascii="Arial Narrow" w:hAnsi="Arial Narrow"/>
          <w:b/>
        </w:rPr>
        <w:t>9. Verejné vysoké školy</w:t>
      </w:r>
    </w:p>
    <w:p w:rsidR="0084667A" w:rsidP="0084667A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D017AF" w:rsidP="004A094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FD6B28" w:rsidR="00774616">
        <w:rPr>
          <w:rFonts w:ascii="Arial Narrow" w:hAnsi="Arial Narrow"/>
          <w:sz w:val="22"/>
          <w:szCs w:val="22"/>
        </w:rPr>
        <w:t xml:space="preserve">Z prostriedkov štátneho rozpočtu budú financované študijné programy a prevádzka </w:t>
      </w:r>
      <w:r w:rsidR="002136DC">
        <w:rPr>
          <w:rFonts w:ascii="Arial Narrow" w:hAnsi="Arial Narrow"/>
          <w:sz w:val="22"/>
          <w:szCs w:val="22"/>
        </w:rPr>
        <w:t>verejných vysokých škôl (</w:t>
      </w:r>
      <w:r w:rsidR="00774616">
        <w:rPr>
          <w:rFonts w:ascii="Arial Narrow" w:hAnsi="Arial Narrow"/>
          <w:sz w:val="22"/>
          <w:szCs w:val="22"/>
        </w:rPr>
        <w:t>ďalej len VVŠ)</w:t>
      </w:r>
      <w:r w:rsidRPr="00FD6B28" w:rsidR="00774616">
        <w:rPr>
          <w:rFonts w:ascii="Arial Narrow" w:hAnsi="Arial Narrow"/>
          <w:sz w:val="22"/>
          <w:szCs w:val="22"/>
        </w:rPr>
        <w:t>, vysokoškolská veda a technika, rozvoj vysokých škôl, ich transformácia, sociálne</w:t>
      </w:r>
      <w:r w:rsidR="00774616">
        <w:rPr>
          <w:rFonts w:ascii="Arial Narrow" w:hAnsi="Arial Narrow"/>
          <w:sz w:val="22"/>
          <w:szCs w:val="22"/>
        </w:rPr>
        <w:t xml:space="preserve"> a prospechové</w:t>
      </w:r>
      <w:r w:rsidRPr="00FD6B28" w:rsidR="00774616">
        <w:rPr>
          <w:rFonts w:ascii="Arial Narrow" w:hAnsi="Arial Narrow"/>
          <w:sz w:val="22"/>
          <w:szCs w:val="22"/>
        </w:rPr>
        <w:t xml:space="preserve"> štipendiá</w:t>
      </w:r>
      <w:r w:rsidR="00774616">
        <w:rPr>
          <w:rFonts w:ascii="Arial Narrow" w:hAnsi="Arial Narrow"/>
          <w:sz w:val="22"/>
          <w:szCs w:val="22"/>
        </w:rPr>
        <w:t>,</w:t>
      </w:r>
      <w:r w:rsidRPr="00FD6B28" w:rsidR="00774616">
        <w:rPr>
          <w:rFonts w:ascii="Arial Narrow" w:hAnsi="Arial Narrow"/>
          <w:sz w:val="22"/>
          <w:szCs w:val="22"/>
        </w:rPr>
        <w:t xml:space="preserve"> študentské pôžičky, podpora stravovania, ubytovania, športových a kultúrnych aktivít študentov a pastoračných centier. V celkovom objeme finančných prostriedkov na rok</w:t>
      </w:r>
      <w:r w:rsidR="00774616">
        <w:rPr>
          <w:rFonts w:ascii="Arial Narrow" w:hAnsi="Arial Narrow"/>
          <w:sz w:val="22"/>
          <w:szCs w:val="22"/>
        </w:rPr>
        <w:t>y</w:t>
      </w:r>
      <w:r w:rsidRPr="00FD6B28" w:rsidR="00774616">
        <w:rPr>
          <w:rFonts w:ascii="Arial Narrow" w:hAnsi="Arial Narrow"/>
          <w:sz w:val="22"/>
          <w:szCs w:val="22"/>
        </w:rPr>
        <w:t xml:space="preserve"> 20</w:t>
      </w:r>
      <w:r w:rsidR="00774616">
        <w:rPr>
          <w:rFonts w:ascii="Arial Narrow" w:hAnsi="Arial Narrow"/>
          <w:sz w:val="22"/>
          <w:szCs w:val="22"/>
        </w:rPr>
        <w:t>11 až 2013</w:t>
      </w:r>
      <w:r w:rsidRPr="00FD6B28" w:rsidR="00774616">
        <w:rPr>
          <w:rFonts w:ascii="Arial Narrow" w:hAnsi="Arial Narrow"/>
          <w:sz w:val="22"/>
          <w:szCs w:val="22"/>
        </w:rPr>
        <w:t xml:space="preserve"> sú zohľadnené výdavky, ktoré pozostávajú z vlastných výdavkov VVŠ</w:t>
      </w:r>
      <w:r w:rsidR="00774616">
        <w:rPr>
          <w:rFonts w:ascii="Arial Narrow" w:hAnsi="Arial Narrow"/>
          <w:sz w:val="22"/>
          <w:szCs w:val="22"/>
        </w:rPr>
        <w:t xml:space="preserve"> </w:t>
      </w:r>
      <w:r w:rsidRPr="00FD6B28" w:rsidR="00774616">
        <w:rPr>
          <w:rFonts w:ascii="Arial Narrow" w:hAnsi="Arial Narrow"/>
          <w:sz w:val="22"/>
          <w:szCs w:val="22"/>
        </w:rPr>
        <w:t xml:space="preserve">a výdavkov štátneho rozpočtu. </w:t>
      </w:r>
      <w:r w:rsidR="00774616">
        <w:rPr>
          <w:rFonts w:ascii="Arial Narrow" w:hAnsi="Arial Narrow"/>
          <w:sz w:val="22"/>
          <w:szCs w:val="22"/>
        </w:rPr>
        <w:t xml:space="preserve"> </w:t>
      </w:r>
    </w:p>
    <w:p w:rsidR="00D017AF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4A0946">
      <w:pPr>
        <w:bidi w:val="0"/>
        <w:ind w:firstLine="708"/>
        <w:jc w:val="both"/>
        <w:outlineLvl w:val="0"/>
        <w:rPr>
          <w:rFonts w:ascii="Arial Narrow" w:hAnsi="Arial Narrow"/>
          <w:sz w:val="22"/>
          <w:szCs w:val="22"/>
        </w:rPr>
      </w:pPr>
      <w:r w:rsidRPr="002A27C8">
        <w:rPr>
          <w:rFonts w:ascii="Arial Narrow" w:hAnsi="Arial Narrow"/>
          <w:sz w:val="22"/>
          <w:szCs w:val="22"/>
        </w:rPr>
        <w:t>Vývoj príjmovej a výdavkovej časti rozpočtu verejných vysokých šk</w:t>
      </w:r>
      <w:r>
        <w:rPr>
          <w:rFonts w:ascii="Arial Narrow" w:hAnsi="Arial Narrow"/>
          <w:sz w:val="22"/>
          <w:szCs w:val="22"/>
        </w:rPr>
        <w:t>ôl na roky 2011 až 2013 je nasledovný</w:t>
      </w:r>
      <w:r w:rsidR="004A0946">
        <w:rPr>
          <w:rFonts w:ascii="Arial Narrow" w:hAnsi="Arial Narrow"/>
          <w:sz w:val="22"/>
          <w:szCs w:val="22"/>
        </w:rPr>
        <w:t>:</w:t>
      </w:r>
    </w:p>
    <w:p w:rsidR="004A0946" w:rsidP="004A0946">
      <w:pPr>
        <w:bidi w:val="0"/>
        <w:ind w:firstLine="708"/>
        <w:jc w:val="both"/>
        <w:outlineLvl w:val="0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4893" w:type="pct"/>
        <w:jc w:val="center"/>
        <w:tblInd w:w="-427" w:type="dxa"/>
        <w:tblCellMar>
          <w:left w:w="70" w:type="dxa"/>
          <w:right w:w="70" w:type="dxa"/>
        </w:tblCellMar>
        <w:tblLook w:val="04A0"/>
      </w:tblPr>
      <w:tblGrid>
        <w:gridCol w:w="3492"/>
        <w:gridCol w:w="976"/>
        <w:gridCol w:w="943"/>
        <w:gridCol w:w="942"/>
        <w:gridCol w:w="942"/>
        <w:gridCol w:w="942"/>
        <w:gridCol w:w="931"/>
      </w:tblGrid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19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="0012351A">
              <w:rPr>
                <w:rFonts w:ascii="Arial Narrow" w:hAnsi="Arial Narrow" w:cs="Arial"/>
                <w:b/>
                <w:bCs/>
                <w:sz w:val="16"/>
                <w:szCs w:val="16"/>
              </w:rPr>
              <w:t>(</w:t>
            </w: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v tis. eur)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Príjmy VVŠ spolu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759 533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794 722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791 801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741 829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730 343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737 419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príjmy z podnikania a vlast. majetku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922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922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922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1 000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1 000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admin. poplatky a iné popl. a platby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76 522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90 887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90 887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91 308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93 301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94 466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kapitálové príjmy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7 090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1 915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4 915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2 915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3 915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3 915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úroky z tuz. úverov, pôžičiek, NFV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1 946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346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430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iné nedaňové príjmy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14 166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18 750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15 219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14 933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7 231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4 986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transfery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477 490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504 621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481 968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446 814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439 687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447 501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 xml:space="preserve">▪ </w:t>
            </w:r>
            <w:r>
              <w:rPr>
                <w:rFonts w:ascii="Arial Narrow" w:hAnsi="Arial Narrow" w:cs="Arial"/>
                <w:sz w:val="16"/>
                <w:szCs w:val="16"/>
              </w:rPr>
              <w:t>o</w:t>
            </w:r>
            <w:r w:rsidRPr="00D65C42">
              <w:rPr>
                <w:rFonts w:ascii="Arial Narrow" w:hAnsi="Arial Narrow" w:cs="Arial"/>
                <w:sz w:val="16"/>
                <w:szCs w:val="16"/>
              </w:rPr>
              <w:t>sta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né </w:t>
            </w:r>
            <w:r w:rsidRPr="00D65C42">
              <w:rPr>
                <w:rFonts w:ascii="Arial Narrow" w:hAnsi="Arial Narrow" w:cs="Arial"/>
                <w:sz w:val="16"/>
                <w:szCs w:val="16"/>
              </w:rPr>
              <w:t xml:space="preserve"> fin. operácií (FO)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181 596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177 280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197 464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184 507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184 779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185 121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Výdavky VVŠ spolu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582 </w:t>
            </w:r>
            <w:r w:rsidR="0064177A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634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597 257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607 294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557 050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545 222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552 024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 xml:space="preserve">▪ mzdy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204 781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213 248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219 218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217 771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217 487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217 027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 xml:space="preserve">▪ poistné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71 083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72 885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76 872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75 342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75 309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75 089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tovary a služby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17</w:t>
            </w:r>
            <w:r w:rsidR="00BE65E6">
              <w:rPr>
                <w:rFonts w:ascii="Arial Narrow" w:hAnsi="Arial Narrow" w:cs="Arial"/>
                <w:sz w:val="16"/>
                <w:szCs w:val="16"/>
              </w:rPr>
              <w:t>9 260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171 512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166 611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171 929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163 417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171 502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bežné transfery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61 999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65 508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69 513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69 500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69 609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70 453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splácanie úrokov a ostat. platby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kapitálové výdavky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65 439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74 022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75 000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22 460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19 353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17 905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723F05" w:rsidR="00BE65E6">
              <w:rPr>
                <w:rFonts w:ascii="Arial Narrow" w:hAnsi="Arial Narrow" w:cs="Arial"/>
                <w:sz w:val="16"/>
                <w:szCs w:val="18"/>
              </w:rPr>
              <w:t>▪   výdavky z trans. s fin. aktívami a pasívami (FO)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Celkový prebytok VVŠ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17</w:t>
            </w:r>
            <w:r w:rsidR="0064177A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6 900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197 46</w:t>
            </w:r>
            <w:r w:rsidR="00304AA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184 507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184 779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185 121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185 394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▪ vylúčenie finančných operácií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-181 523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-177 205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-197 384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-184 473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-184 745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sz w:val="16"/>
                <w:szCs w:val="16"/>
              </w:rPr>
              <w:t>-185 087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vylúčenie príjmových FO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-181 596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-177 280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-197 464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-184 507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-184 779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-185 121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▪ vylúčenie výdavkových FO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65C42" w:rsidRPr="00D65C42" w:rsidP="00BD1BCA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4177A" w:rsidRPr="00022F7C" w:rsidP="00BD1BCA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bCs/>
                <w:i/>
                <w:iCs/>
                <w:sz w:val="16"/>
                <w:szCs w:val="18"/>
              </w:rPr>
              <w:t xml:space="preserve">  ostatné úpravy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4177A" w:rsidRPr="00022F7C" w:rsidP="00BD1BCA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="00FC48E7">
              <w:rPr>
                <w:rFonts w:ascii="Arial Narrow" w:hAnsi="Arial Narrow" w:cs="Arial"/>
                <w:b/>
                <w:i/>
                <w:sz w:val="16"/>
                <w:szCs w:val="18"/>
              </w:rPr>
              <w:t>18 356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4177A" w:rsidRPr="00022F7C" w:rsidP="00BD1BCA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="00F60BC5">
              <w:rPr>
                <w:rFonts w:ascii="Arial Narrow" w:hAnsi="Arial Narrow" w:cs="Arial"/>
                <w:b/>
                <w:i/>
                <w:sz w:val="16"/>
                <w:szCs w:val="18"/>
              </w:rPr>
              <w:t>-7</w:t>
            </w:r>
            <w:r w:rsidR="003F0120">
              <w:rPr>
                <w:rFonts w:ascii="Arial Narrow" w:hAnsi="Arial Narrow" w:cs="Arial"/>
                <w:b/>
                <w:i/>
                <w:sz w:val="16"/>
                <w:szCs w:val="18"/>
              </w:rPr>
              <w:t>7 824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4177A" w:rsidRPr="00022F7C" w:rsidP="00BD1BCA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4177A" w:rsidRPr="00022F7C" w:rsidP="00BD1BCA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4177A" w:rsidRPr="00022F7C" w:rsidP="00BD1BCA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4177A" w:rsidRPr="00022F7C" w:rsidP="00BD1BCA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8"/>
              </w:rPr>
            </w:pPr>
            <w:r w:rsidRPr="00022F7C">
              <w:rPr>
                <w:rFonts w:ascii="Arial Narrow" w:hAnsi="Arial Narrow" w:cs="Arial"/>
                <w:b/>
                <w:i/>
                <w:sz w:val="16"/>
                <w:szCs w:val="18"/>
              </w:rPr>
              <w:t>0</w:t>
            </w:r>
          </w:p>
        </w:tc>
      </w:tr>
      <w:tr>
        <w:tblPrEx>
          <w:tblW w:w="4893" w:type="pct"/>
          <w:jc w:val="center"/>
          <w:tblInd w:w="-427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19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64177A" w:rsidRPr="00D65C42" w:rsidP="00BD1BCA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Prebytok </w:t>
            </w:r>
            <w:r w:rsidR="00747B23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/schodok </w:t>
            </w: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VVŠ (ESA 95)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64177A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="00FC48E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13 732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64177A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="00C60504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-5</w:t>
            </w:r>
            <w:r w:rsidR="003F0120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7 564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64177A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-12 877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64177A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64177A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376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64177A" w:rsidRPr="00D65C42" w:rsidP="00BD1BCA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D65C4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307</w:t>
            </w:r>
          </w:p>
        </w:tc>
      </w:tr>
    </w:tbl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Celkové príjmy  VVŠ navrhované </w:t>
      </w:r>
      <w:r w:rsidR="0012351A"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z w:val="22"/>
          <w:szCs w:val="22"/>
        </w:rPr>
        <w:t xml:space="preserve"> rok 2011 klesajú oproti očakávanej skutočnosti roku 2010 o 6,31 % najmä v kapitálových príjmoch o 40,6 % a v grantoch a transferoch o 7,3</w:t>
      </w:r>
      <w:r w:rsidR="00DF084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%. VVŠ v grantoch a transferoch očakávajú </w:t>
      </w:r>
      <w:r w:rsidR="0012351A">
        <w:rPr>
          <w:rFonts w:ascii="Arial Narrow" w:hAnsi="Arial Narrow"/>
          <w:sz w:val="22"/>
          <w:szCs w:val="22"/>
        </w:rPr>
        <w:t>vyššie plnenie z prostriedkov EÚ</w:t>
      </w:r>
      <w:r>
        <w:rPr>
          <w:rFonts w:ascii="Arial Narrow" w:hAnsi="Arial Narrow"/>
          <w:sz w:val="22"/>
          <w:szCs w:val="22"/>
        </w:rPr>
        <w:t xml:space="preserve"> vrátane spolufinancovania oproti návrhu roku 2011. </w:t>
      </w:r>
    </w:p>
    <w:p w:rsidR="00C93422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2A27C8">
        <w:rPr>
          <w:rFonts w:ascii="Arial Narrow" w:hAnsi="Arial Narrow"/>
          <w:sz w:val="22"/>
          <w:szCs w:val="22"/>
        </w:rPr>
        <w:t xml:space="preserve">Vlastné </w:t>
      </w:r>
      <w:r>
        <w:rPr>
          <w:rFonts w:ascii="Arial Narrow" w:hAnsi="Arial Narrow"/>
          <w:sz w:val="22"/>
          <w:szCs w:val="22"/>
        </w:rPr>
        <w:t>zdroje</w:t>
      </w:r>
      <w:r w:rsidRPr="002A27C8">
        <w:rPr>
          <w:rFonts w:ascii="Arial Narrow" w:hAnsi="Arial Narrow"/>
          <w:sz w:val="22"/>
          <w:szCs w:val="22"/>
        </w:rPr>
        <w:t xml:space="preserve"> VVŠ, pozostávajúce napr. z výnosov zo školného od zahraničných študentov, z poplatkov spojených so štúdiom, z kontraktačného výskumu, z ďalšieho vzdelávania a zo zabezpečenia ubytovania a stravovania, sa predpokladajú dosiahnuť v objeme </w:t>
      </w:r>
      <w:r>
        <w:rPr>
          <w:rFonts w:ascii="Arial Narrow" w:hAnsi="Arial Narrow"/>
          <w:sz w:val="22"/>
          <w:szCs w:val="22"/>
        </w:rPr>
        <w:t>110 mil.</w:t>
      </w:r>
      <w:r w:rsidRPr="002A27C8">
        <w:rPr>
          <w:rFonts w:ascii="Arial Narrow" w:hAnsi="Arial Narrow"/>
          <w:sz w:val="22"/>
          <w:szCs w:val="22"/>
        </w:rPr>
        <w:t xml:space="preserve"> eur </w:t>
      </w:r>
      <w:r>
        <w:rPr>
          <w:rFonts w:ascii="Arial Narrow" w:hAnsi="Arial Narrow"/>
          <w:sz w:val="22"/>
          <w:szCs w:val="22"/>
        </w:rPr>
        <w:t>v roku 2011, v objeme 105 mil. eur v roku 2012</w:t>
      </w:r>
      <w:r w:rsidRPr="002A27C8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105 mil.</w:t>
      </w:r>
      <w:r w:rsidRPr="002A27C8">
        <w:rPr>
          <w:rFonts w:ascii="Arial Narrow" w:hAnsi="Arial Narrow"/>
          <w:sz w:val="22"/>
          <w:szCs w:val="22"/>
        </w:rPr>
        <w:t xml:space="preserve"> eur v</w:t>
      </w:r>
      <w:r>
        <w:rPr>
          <w:rFonts w:ascii="Arial Narrow" w:hAnsi="Arial Narrow"/>
          <w:sz w:val="22"/>
          <w:szCs w:val="22"/>
        </w:rPr>
        <w:t> </w:t>
      </w:r>
      <w:r w:rsidRPr="002A27C8">
        <w:rPr>
          <w:rFonts w:ascii="Arial Narrow" w:hAnsi="Arial Narrow"/>
          <w:sz w:val="22"/>
          <w:szCs w:val="22"/>
        </w:rPr>
        <w:t>rok</w:t>
      </w:r>
      <w:r>
        <w:rPr>
          <w:rFonts w:ascii="Arial Narrow" w:hAnsi="Arial Narrow"/>
          <w:sz w:val="22"/>
          <w:szCs w:val="22"/>
        </w:rPr>
        <w:t xml:space="preserve">u </w:t>
      </w:r>
      <w:r w:rsidRPr="002A27C8">
        <w:rPr>
          <w:rFonts w:ascii="Arial Narrow" w:hAnsi="Arial Narrow"/>
          <w:sz w:val="22"/>
          <w:szCs w:val="22"/>
        </w:rPr>
        <w:t>201</w:t>
      </w:r>
      <w:r>
        <w:rPr>
          <w:rFonts w:ascii="Arial Narrow" w:hAnsi="Arial Narrow"/>
          <w:sz w:val="22"/>
          <w:szCs w:val="22"/>
        </w:rPr>
        <w:t>3</w:t>
      </w:r>
      <w:r w:rsidRPr="002A27C8">
        <w:rPr>
          <w:rFonts w:ascii="Arial Narrow" w:hAnsi="Arial Narrow"/>
          <w:sz w:val="22"/>
          <w:szCs w:val="22"/>
        </w:rPr>
        <w:t xml:space="preserve">. </w:t>
      </w:r>
    </w:p>
    <w:p w:rsidR="00774616" w:rsidRPr="0072435C" w:rsidP="00774616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navrhovaných</w:t>
      </w:r>
      <w:r w:rsidRPr="0072435C">
        <w:rPr>
          <w:rFonts w:ascii="Arial Narrow" w:hAnsi="Arial Narrow"/>
          <w:sz w:val="22"/>
          <w:szCs w:val="22"/>
        </w:rPr>
        <w:t xml:space="preserve"> výdavk</w:t>
      </w:r>
      <w:r>
        <w:rPr>
          <w:rFonts w:ascii="Arial Narrow" w:hAnsi="Arial Narrow"/>
          <w:sz w:val="22"/>
          <w:szCs w:val="22"/>
        </w:rPr>
        <w:t>och</w:t>
      </w:r>
      <w:r w:rsidRPr="0072435C">
        <w:rPr>
          <w:rFonts w:ascii="Arial Narrow" w:hAnsi="Arial Narrow"/>
          <w:sz w:val="22"/>
          <w:szCs w:val="22"/>
        </w:rPr>
        <w:t xml:space="preserve"> pre verejné vysoké školy </w:t>
      </w:r>
      <w:r>
        <w:rPr>
          <w:rFonts w:ascii="Arial Narrow" w:hAnsi="Arial Narrow"/>
          <w:sz w:val="22"/>
          <w:szCs w:val="22"/>
        </w:rPr>
        <w:t xml:space="preserve">okrem </w:t>
      </w:r>
      <w:r w:rsidRPr="0072435C">
        <w:rPr>
          <w:rFonts w:ascii="Arial Narrow" w:hAnsi="Arial Narrow"/>
          <w:sz w:val="22"/>
          <w:szCs w:val="22"/>
        </w:rPr>
        <w:t>transfero</w:t>
      </w:r>
      <w:r>
        <w:rPr>
          <w:rFonts w:ascii="Arial Narrow" w:hAnsi="Arial Narrow"/>
          <w:sz w:val="22"/>
          <w:szCs w:val="22"/>
        </w:rPr>
        <w:t>v zo štátneho rozpočtu</w:t>
      </w:r>
      <w:r w:rsidRPr="0072435C">
        <w:rPr>
          <w:rFonts w:ascii="Arial Narrow" w:hAnsi="Arial Narrow"/>
          <w:sz w:val="22"/>
          <w:szCs w:val="22"/>
        </w:rPr>
        <w:t xml:space="preserve"> v roku 201</w:t>
      </w:r>
      <w:r>
        <w:rPr>
          <w:rFonts w:ascii="Arial Narrow" w:hAnsi="Arial Narrow"/>
          <w:sz w:val="22"/>
          <w:szCs w:val="22"/>
        </w:rPr>
        <w:t>1</w:t>
      </w:r>
      <w:r w:rsidRPr="0072435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sú zahrnuté</w:t>
      </w:r>
      <w:r w:rsidRPr="007A5B36">
        <w:rPr>
          <w:rFonts w:ascii="Arial Narrow" w:hAnsi="Arial Narrow"/>
          <w:sz w:val="22"/>
          <w:szCs w:val="22"/>
        </w:rPr>
        <w:t xml:space="preserve"> aj výdavky zo štrukturálnych fondov  EÚ vrátane spolufinancovania</w:t>
      </w:r>
      <w:r>
        <w:rPr>
          <w:rFonts w:ascii="Arial Narrow" w:hAnsi="Arial Narrow"/>
          <w:sz w:val="22"/>
          <w:szCs w:val="22"/>
        </w:rPr>
        <w:t xml:space="preserve"> a vlastné zdroje</w:t>
      </w:r>
      <w:r w:rsidRPr="007A5B36">
        <w:rPr>
          <w:rFonts w:ascii="Arial Narrow" w:hAnsi="Arial Narrow"/>
          <w:sz w:val="22"/>
          <w:szCs w:val="22"/>
        </w:rPr>
        <w:t xml:space="preserve">. </w:t>
      </w:r>
    </w:p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Výdavky VVŠ klesajú v roku 2011 oproti očakávanej skutočnosti roku 2010 o 8,27 %. Najvýraznejšia zmena je v kapitálových výdavkoch, ktorá predstavuje pokles o 70,5 % k očakávanej skutočnosti výdavkov v roku 2010. Zároveň je zaznamenaný pokles aj vo výdavkových finančných operáciách v roku 2011 oproti očakávanej skutočnosti 2010 o 57,9 % z dôvodu nižších splátok končiaceho úveru.</w:t>
      </w:r>
    </w:p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</w:p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7A5B36">
        <w:rPr>
          <w:rFonts w:ascii="Arial Narrow" w:hAnsi="Arial Narrow"/>
          <w:sz w:val="22"/>
          <w:szCs w:val="22"/>
        </w:rPr>
        <w:t>Výdavky na projekty financované z APVV sú zatiaľ rozpísané mimo transferov určených pre verejné vysoké školy, ale na základe úspešnosti v súťažiach budú zohľadnené v upravenom rozpočte verejných vysokých škôl.</w:t>
      </w:r>
      <w:r w:rsidRPr="0072435C">
        <w:rPr>
          <w:rFonts w:ascii="Arial Narrow" w:hAnsi="Arial Narrow"/>
          <w:sz w:val="22"/>
          <w:szCs w:val="22"/>
        </w:rPr>
        <w:t xml:space="preserve"> </w:t>
      </w:r>
    </w:p>
    <w:p w:rsidR="00774616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74616" w:rsidRPr="002A27C8" w:rsidP="00774616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2A27C8">
        <w:rPr>
          <w:rFonts w:ascii="Arial Narrow" w:hAnsi="Arial Narrow"/>
          <w:sz w:val="22"/>
          <w:szCs w:val="22"/>
        </w:rPr>
        <w:t xml:space="preserve">Návrh rozdelenia výdavkov do jednotlivých kategórií je len orientačný, </w:t>
      </w:r>
      <w:r>
        <w:rPr>
          <w:rFonts w:ascii="Arial Narrow" w:hAnsi="Arial Narrow"/>
          <w:sz w:val="22"/>
          <w:szCs w:val="22"/>
        </w:rPr>
        <w:t>keďže</w:t>
      </w:r>
      <w:r w:rsidRPr="002A27C8">
        <w:rPr>
          <w:rFonts w:ascii="Arial Narrow" w:hAnsi="Arial Narrow"/>
          <w:sz w:val="22"/>
          <w:szCs w:val="22"/>
        </w:rPr>
        <w:t xml:space="preserve"> v zmysle § 89 zákona č. 131/2002 Z. z. o vysokých školách v znení neskorších predpisov je použitie dotácie zo štátneho rozpočtu priamo v kompetencii vysokej školy. </w:t>
      </w:r>
    </w:p>
    <w:p w:rsidR="00774616" w:rsidRPr="00276325" w:rsidP="00774616">
      <w:pPr>
        <w:bidi w:val="0"/>
        <w:ind w:firstLine="709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774616" w:rsidRPr="00551D3C" w:rsidP="00774616">
      <w:pPr>
        <w:pStyle w:val="BodyTextIndent2"/>
        <w:tabs>
          <w:tab w:val="left" w:pos="0"/>
        </w:tabs>
        <w:bidi w:val="0"/>
        <w:spacing w:after="0" w:line="240" w:lineRule="auto"/>
        <w:ind w:left="0" w:firstLine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FC5A71">
        <w:rPr>
          <w:rFonts w:ascii="Arial Narrow" w:hAnsi="Arial Narrow" w:cs="Arial"/>
          <w:sz w:val="22"/>
          <w:szCs w:val="22"/>
        </w:rPr>
        <w:t xml:space="preserve">Celkový hotovostný prebytok </w:t>
      </w:r>
      <w:r>
        <w:rPr>
          <w:rFonts w:ascii="Arial Narrow" w:hAnsi="Arial Narrow" w:cs="Arial"/>
          <w:sz w:val="22"/>
          <w:szCs w:val="22"/>
        </w:rPr>
        <w:t>verejných vysokých škôl sa</w:t>
      </w:r>
      <w:r w:rsidRPr="00FC5A71">
        <w:rPr>
          <w:rFonts w:ascii="Arial Narrow" w:hAnsi="Arial Narrow" w:cs="Arial"/>
          <w:sz w:val="22"/>
          <w:szCs w:val="22"/>
        </w:rPr>
        <w:t xml:space="preserve"> v roku 2011 predpokladá vo výške 1</w:t>
      </w:r>
      <w:r>
        <w:rPr>
          <w:rFonts w:ascii="Arial Narrow" w:hAnsi="Arial Narrow" w:cs="Arial"/>
          <w:sz w:val="22"/>
          <w:szCs w:val="22"/>
        </w:rPr>
        <w:t xml:space="preserve">84,8 mil. eur. </w:t>
      </w:r>
      <w:r w:rsidRPr="00FC5A71">
        <w:rPr>
          <w:rFonts w:ascii="Arial Narrow" w:hAnsi="Arial Narrow" w:cs="Arial"/>
          <w:sz w:val="22"/>
          <w:szCs w:val="22"/>
        </w:rPr>
        <w:t xml:space="preserve"> V roku 2012 sa predpokladá celkový prebytok na  úrovni 1</w:t>
      </w:r>
      <w:r>
        <w:rPr>
          <w:rFonts w:ascii="Arial Narrow" w:hAnsi="Arial Narrow" w:cs="Arial"/>
          <w:sz w:val="22"/>
          <w:szCs w:val="22"/>
        </w:rPr>
        <w:t>85,1</w:t>
      </w:r>
      <w:r w:rsidRPr="00FC5A71">
        <w:rPr>
          <w:rFonts w:ascii="Arial Narrow" w:hAnsi="Arial Narrow" w:cs="Arial"/>
          <w:sz w:val="22"/>
          <w:szCs w:val="22"/>
        </w:rPr>
        <w:t xml:space="preserve"> mil. eur a v roku 2013 vo výške 1</w:t>
      </w:r>
      <w:r>
        <w:rPr>
          <w:rFonts w:ascii="Arial Narrow" w:hAnsi="Arial Narrow" w:cs="Arial"/>
          <w:sz w:val="22"/>
          <w:szCs w:val="22"/>
        </w:rPr>
        <w:t>85,4</w:t>
      </w:r>
      <w:r w:rsidRPr="00FC5A71">
        <w:rPr>
          <w:rFonts w:ascii="Arial Narrow" w:hAnsi="Arial Narrow" w:cs="Arial"/>
          <w:sz w:val="22"/>
          <w:szCs w:val="22"/>
        </w:rPr>
        <w:t xml:space="preserve"> mil. eur. V metodike ESA 95 je </w:t>
      </w:r>
      <w:r>
        <w:rPr>
          <w:rFonts w:ascii="Arial Narrow" w:hAnsi="Arial Narrow" w:cs="Arial"/>
          <w:sz w:val="22"/>
          <w:szCs w:val="22"/>
        </w:rPr>
        <w:t>rozpočtovaný prebytok</w:t>
      </w:r>
      <w:r w:rsidRPr="00FC5A71">
        <w:rPr>
          <w:rFonts w:ascii="Arial Narrow" w:hAnsi="Arial Narrow" w:cs="Arial"/>
          <w:sz w:val="22"/>
          <w:szCs w:val="22"/>
        </w:rPr>
        <w:t xml:space="preserve"> hospodárenia v roku 2011 vo výške </w:t>
      </w:r>
      <w:r>
        <w:rPr>
          <w:rFonts w:ascii="Arial Narrow" w:hAnsi="Arial Narrow" w:cs="Arial"/>
          <w:sz w:val="22"/>
          <w:szCs w:val="22"/>
        </w:rPr>
        <w:t>306 tis.</w:t>
      </w:r>
      <w:r w:rsidRPr="00FC5A71">
        <w:rPr>
          <w:rFonts w:ascii="Arial Narrow" w:hAnsi="Arial Narrow" w:cs="Arial"/>
          <w:sz w:val="22"/>
          <w:szCs w:val="22"/>
        </w:rPr>
        <w:t xml:space="preserve"> eur, v roku 2012 vo výške </w:t>
      </w:r>
      <w:r>
        <w:rPr>
          <w:rFonts w:ascii="Arial Narrow" w:hAnsi="Arial Narrow" w:cs="Arial"/>
          <w:sz w:val="22"/>
          <w:szCs w:val="22"/>
        </w:rPr>
        <w:t>376</w:t>
      </w:r>
      <w:r w:rsidRPr="00FC5A71">
        <w:rPr>
          <w:rFonts w:ascii="Arial Narrow" w:hAnsi="Arial Narrow" w:cs="Arial"/>
          <w:sz w:val="22"/>
          <w:szCs w:val="22"/>
        </w:rPr>
        <w:t xml:space="preserve"> tis. eur a v roku 2013 vo výške </w:t>
      </w:r>
      <w:r>
        <w:rPr>
          <w:rFonts w:ascii="Arial Narrow" w:hAnsi="Arial Narrow" w:cs="Arial"/>
          <w:sz w:val="22"/>
          <w:szCs w:val="22"/>
        </w:rPr>
        <w:t>307</w:t>
      </w:r>
      <w:r w:rsidRPr="00FC5A71">
        <w:rPr>
          <w:rFonts w:ascii="Arial Narrow" w:hAnsi="Arial Narrow" w:cs="Arial"/>
          <w:sz w:val="22"/>
          <w:szCs w:val="22"/>
        </w:rPr>
        <w:t xml:space="preserve"> tis. eur.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774616" w:rsidRPr="000C262C" w:rsidP="0084667A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84667A" w:rsidP="0084667A">
      <w:pPr>
        <w:bidi w:val="0"/>
        <w:ind w:firstLine="708"/>
        <w:jc w:val="both"/>
        <w:outlineLvl w:val="0"/>
        <w:rPr>
          <w:rFonts w:ascii="Arial Narrow" w:hAnsi="Arial Narrow"/>
          <w:sz w:val="22"/>
          <w:szCs w:val="22"/>
        </w:rPr>
      </w:pPr>
    </w:p>
    <w:p w:rsidR="0084667A" w:rsidRPr="00026C72" w:rsidP="0084667A">
      <w:pPr>
        <w:bidi w:val="0"/>
        <w:rPr>
          <w:rFonts w:ascii="Arial Narrow" w:hAnsi="Arial Narrow"/>
          <w:b/>
          <w:szCs w:val="28"/>
        </w:rPr>
      </w:pPr>
      <w:r w:rsidRPr="003F0120">
        <w:rPr>
          <w:rFonts w:ascii="Arial Narrow" w:hAnsi="Arial Narrow"/>
          <w:b/>
          <w:szCs w:val="28"/>
        </w:rPr>
        <w:t>10.  Príspevkové organizácie v pôsobnosti štátu, obcí a VÚC</w:t>
      </w:r>
      <w:r w:rsidRPr="00026C72">
        <w:rPr>
          <w:rFonts w:ascii="Arial Narrow" w:hAnsi="Arial Narrow"/>
          <w:b/>
          <w:szCs w:val="28"/>
        </w:rPr>
        <w:t xml:space="preserve"> </w:t>
      </w:r>
    </w:p>
    <w:p w:rsidR="0084667A" w:rsidRPr="00E26482" w:rsidP="0084667A">
      <w:pPr>
        <w:bidi w:val="0"/>
        <w:ind w:firstLine="708"/>
        <w:jc w:val="both"/>
        <w:rPr>
          <w:rFonts w:ascii="Arial Narrow" w:hAnsi="Arial Narrow"/>
          <w:sz w:val="22"/>
          <w:szCs w:val="22"/>
          <w:highlight w:val="red"/>
        </w:rPr>
      </w:pPr>
    </w:p>
    <w:p w:rsidR="00F45672" w:rsidRPr="005F11EE" w:rsidP="00F45672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5F11EE">
        <w:rPr>
          <w:rFonts w:ascii="Arial Narrow" w:hAnsi="Arial Narrow"/>
          <w:sz w:val="22"/>
          <w:szCs w:val="22"/>
        </w:rPr>
        <w:t>Súčasťou návrhu rozpočtu verejnej správy na roky 201</w:t>
      </w:r>
      <w:r>
        <w:rPr>
          <w:rFonts w:ascii="Arial Narrow" w:hAnsi="Arial Narrow"/>
          <w:sz w:val="22"/>
          <w:szCs w:val="22"/>
        </w:rPr>
        <w:t>1</w:t>
      </w:r>
      <w:r w:rsidRPr="005F11EE">
        <w:rPr>
          <w:rFonts w:ascii="Arial Narrow" w:hAnsi="Arial Narrow"/>
          <w:sz w:val="22"/>
          <w:szCs w:val="22"/>
        </w:rPr>
        <w:t xml:space="preserve"> až 201</w:t>
      </w:r>
      <w:r>
        <w:rPr>
          <w:rFonts w:ascii="Arial Narrow" w:hAnsi="Arial Narrow"/>
          <w:sz w:val="22"/>
          <w:szCs w:val="22"/>
        </w:rPr>
        <w:t>3</w:t>
      </w:r>
      <w:r w:rsidRPr="005F11EE">
        <w:rPr>
          <w:rFonts w:ascii="Arial Narrow" w:hAnsi="Arial Narrow"/>
          <w:sz w:val="22"/>
          <w:szCs w:val="22"/>
        </w:rPr>
        <w:t xml:space="preserve"> sú aj návrhy rozpočtov príspevkových organizácií, ktoré sú v súlade s jednotnou metodikou, platnou pre Európsku úniu, zaradené do sektora verejnej správy. Ide o tie príspevkové organizácie založené štátom, obcami alebo VÚC, u ktorých menej ako 50 % výrobných nákladov je pokrytých tržbami. Zaraďovanie subjektov verejnej správy do príslušných sektorov ekonomiky, ako aj plnenie podmienok pre zaraďovanie subjektov do sektora verejnej správy, je v pôsobnosti Štatistického úradu SR v súlade so zákonom č. 540/2001 Z. z. o štátnej štatistike. </w:t>
      </w:r>
    </w:p>
    <w:p w:rsidR="00CE3A37" w:rsidP="00575ED0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45672" w:rsidRPr="005F11EE" w:rsidP="00575ED0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="00575ED0">
        <w:rPr>
          <w:rFonts w:ascii="Arial Narrow" w:hAnsi="Arial Narrow"/>
          <w:sz w:val="22"/>
          <w:szCs w:val="22"/>
        </w:rPr>
        <w:t>Vývoj</w:t>
      </w:r>
      <w:r w:rsidRPr="005F11EE">
        <w:rPr>
          <w:rFonts w:ascii="Arial Narrow" w:hAnsi="Arial Narrow"/>
          <w:sz w:val="22"/>
          <w:szCs w:val="22"/>
        </w:rPr>
        <w:t xml:space="preserve"> príjmovej  a  výdavkovej   časti  rozpočtu  príspevkových  organizácií  sektora verejnej správy na roky 201</w:t>
      </w:r>
      <w:r>
        <w:rPr>
          <w:rFonts w:ascii="Arial Narrow" w:hAnsi="Arial Narrow"/>
          <w:sz w:val="22"/>
          <w:szCs w:val="22"/>
        </w:rPr>
        <w:t>1</w:t>
      </w:r>
      <w:r w:rsidRPr="005F11EE">
        <w:rPr>
          <w:rFonts w:ascii="Arial Narrow" w:hAnsi="Arial Narrow"/>
          <w:sz w:val="22"/>
          <w:szCs w:val="22"/>
        </w:rPr>
        <w:t xml:space="preserve"> až 201</w:t>
      </w:r>
      <w:r>
        <w:rPr>
          <w:rFonts w:ascii="Arial Narrow" w:hAnsi="Arial Narrow"/>
          <w:sz w:val="22"/>
          <w:szCs w:val="22"/>
        </w:rPr>
        <w:t>3</w:t>
      </w:r>
      <w:r w:rsidRPr="005F11EE">
        <w:rPr>
          <w:rFonts w:ascii="Arial Narrow" w:hAnsi="Arial Narrow"/>
          <w:sz w:val="22"/>
          <w:szCs w:val="22"/>
        </w:rPr>
        <w:t xml:space="preserve"> je nasledovný:        </w:t>
      </w:r>
    </w:p>
    <w:p w:rsidR="00F45672" w:rsidRPr="005F11EE" w:rsidP="00F45672">
      <w:pPr>
        <w:bidi w:val="0"/>
        <w:ind w:left="7788"/>
        <w:jc w:val="both"/>
        <w:rPr>
          <w:rFonts w:ascii="Arial Narrow" w:hAnsi="Arial Narrow"/>
          <w:sz w:val="22"/>
          <w:szCs w:val="22"/>
        </w:rPr>
      </w:pPr>
      <w:r w:rsidRPr="005F11EE">
        <w:rPr>
          <w:rFonts w:ascii="Arial Narrow" w:hAnsi="Arial Narrow"/>
          <w:sz w:val="22"/>
          <w:szCs w:val="22"/>
        </w:rPr>
        <w:t xml:space="preserve">             </w:t>
      </w:r>
    </w:p>
    <w:tbl>
      <w:tblPr>
        <w:tblStyle w:val="TableNormal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3119"/>
        <w:gridCol w:w="992"/>
        <w:gridCol w:w="992"/>
        <w:gridCol w:w="993"/>
        <w:gridCol w:w="992"/>
        <w:gridCol w:w="992"/>
        <w:gridCol w:w="992"/>
      </w:tblGrid>
      <w:tr>
        <w:tblPrEx>
          <w:tblW w:w="907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973B96">
            <w:pPr>
              <w:bidi w:val="0"/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(v tis. </w:t>
            </w:r>
            <w:r w:rsidR="00973B96">
              <w:rPr>
                <w:rFonts w:ascii="Arial Narrow" w:hAnsi="Arial Narrow"/>
                <w:b/>
                <w:iCs/>
                <w:sz w:val="16"/>
                <w:szCs w:val="16"/>
              </w:rPr>
              <w:t>eur</w:t>
            </w:r>
            <w:r w:rsidRPr="009E630D">
              <w:rPr>
                <w:rFonts w:ascii="Arial Narrow" w:hAnsi="Arial Narrow"/>
                <w:b/>
                <w:iCs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sz w:val="16"/>
                <w:szCs w:val="16"/>
              </w:rPr>
              <w:t>2008 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sz w:val="16"/>
                <w:szCs w:val="16"/>
              </w:rPr>
              <w:t>2009 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sz w:val="16"/>
                <w:szCs w:val="16"/>
              </w:rPr>
              <w:t>2010 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sz w:val="16"/>
                <w:szCs w:val="16"/>
              </w:rPr>
              <w:t>2011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sz w:val="16"/>
                <w:szCs w:val="16"/>
              </w:rPr>
              <w:t>2012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sz w:val="16"/>
                <w:szCs w:val="16"/>
              </w:rPr>
              <w:t>2013 N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Príjmy PO sektora VS  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708 425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777 344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679 708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689 844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700 459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705 090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8"/>
              </w:num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nedaňové príjmy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128 228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135 727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174 856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177 508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181 304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183 153</w:t>
            </w:r>
          </w:p>
        </w:tc>
      </w:tr>
      <w:tr>
        <w:tblPrEx>
          <w:tblW w:w="9072" w:type="dxa"/>
          <w:tblInd w:w="108" w:type="dxa"/>
        </w:tblPrEx>
        <w:trPr>
          <w:trHeight w:val="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8"/>
              </w:num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granty a transfery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580 197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641 617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503 279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509 500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516 816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519 590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8"/>
              </w:num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zo splátok úverov a pôž. (FO)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4C231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4C231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8"/>
              </w:num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zostat. prostr. z predch. rokov a prevod prostr. z peň</w:t>
            </w:r>
            <w:r w:rsidR="00E43368">
              <w:rPr>
                <w:rFonts w:ascii="Arial Narrow" w:hAnsi="Arial Narrow"/>
                <w:sz w:val="16"/>
                <w:szCs w:val="16"/>
              </w:rPr>
              <w:t>ažných</w:t>
            </w:r>
            <w:r w:rsidRPr="009E630D">
              <w:rPr>
                <w:rFonts w:ascii="Arial Narrow" w:hAnsi="Arial Narrow"/>
                <w:sz w:val="16"/>
                <w:szCs w:val="16"/>
              </w:rPr>
              <w:t xml:space="preserve"> fondov (FO)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4C231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4C231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1 573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2 836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2 339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2 347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Výdavky PO sektora VS  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705 470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764 679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671 455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680 796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692 344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698 804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10"/>
              </w:num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bežné výdavky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627 963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678 273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637 071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648 778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666 713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674 347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10"/>
              </w:num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kapitálové výdavky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77 508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86 406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34 366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31 982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25 631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24 457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10"/>
              </w:num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poskytovanie úverov a pôžičiek a splácanie istín (FO)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4C231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Celkový prebytok PO sektora 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12 665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8 253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9 048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8 115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6 286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vylúčenie finančných operácií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ind w:left="65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="004C231F">
              <w:rPr>
                <w:rFonts w:ascii="Arial Narrow" w:hAnsi="Arial Narrow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ind w:left="65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ind w:left="65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-1 555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-2 800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-2 339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-2 347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11"/>
              </w:numPr>
              <w:bidi w:val="0"/>
              <w:rPr>
                <w:rFonts w:ascii="Arial Narrow" w:hAnsi="Arial Narrow"/>
                <w:b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vylúčenie príjmových FO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-1 573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- 2 836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-2 339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-2 347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numPr>
                <w:numId w:val="11"/>
              </w:num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vylúčenie výdavkových FO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="00B26E42">
              <w:rPr>
                <w:rFonts w:ascii="Arial Narrow" w:hAnsi="Arial Narrow"/>
                <w:b/>
                <w:i/>
                <w:sz w:val="16"/>
                <w:szCs w:val="16"/>
              </w:rPr>
              <w:t>o</w:t>
            </w: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statné úpravy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E630D">
              <w:rPr>
                <w:rFonts w:ascii="Arial Narrow" w:hAnsi="Arial Narrow"/>
                <w:sz w:val="16"/>
                <w:szCs w:val="16"/>
              </w:rPr>
              <w:t>1 938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C768B4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C768B4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C768B4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="00C768B4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072" w:type="dxa"/>
          <w:tblInd w:w="108" w:type="dxa"/>
        </w:tblPrEx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Prebytok  PO sektora VS (ESA 95)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ind w:left="5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3 087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ind w:left="5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14 603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ind w:left="5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6 698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6 248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5 776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45672" w:rsidRPr="009E630D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9E630D">
              <w:rPr>
                <w:rFonts w:ascii="Arial Narrow" w:hAnsi="Arial Narrow"/>
                <w:b/>
                <w:i/>
                <w:sz w:val="16"/>
                <w:szCs w:val="16"/>
              </w:rPr>
              <w:t>3 939</w:t>
            </w:r>
          </w:p>
        </w:tc>
      </w:tr>
    </w:tbl>
    <w:p w:rsidR="00FA766B" w:rsidRPr="005F11EE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A766B" w:rsidRPr="005F11EE" w:rsidP="00FA766B">
      <w:pPr>
        <w:bidi w:val="0"/>
        <w:jc w:val="both"/>
        <w:rPr>
          <w:rFonts w:ascii="Arial Narrow" w:hAnsi="Arial Narrow"/>
          <w:sz w:val="22"/>
          <w:szCs w:val="22"/>
        </w:rPr>
      </w:pPr>
      <w:r w:rsidRPr="005F11EE">
        <w:rPr>
          <w:rFonts w:ascii="Arial Narrow" w:hAnsi="Arial Narrow"/>
          <w:sz w:val="22"/>
          <w:szCs w:val="22"/>
        </w:rPr>
        <w:tab/>
        <w:t>Návrh rozpočtu príspevkových organizácií v pôsobnosti štátu, obcí a VÚC je spracovaný za tie príspevkové organizácie, ktoré sú zapísané v aktualizovanom št</w:t>
      </w:r>
      <w:r w:rsidR="004C26A0">
        <w:rPr>
          <w:rFonts w:ascii="Arial Narrow" w:hAnsi="Arial Narrow"/>
          <w:sz w:val="22"/>
          <w:szCs w:val="22"/>
        </w:rPr>
        <w:t>atistickom registri organizácií</w:t>
      </w:r>
      <w:r w:rsidRPr="005F11EE">
        <w:rPr>
          <w:rFonts w:ascii="Arial Narrow" w:hAnsi="Arial Narrow"/>
          <w:sz w:val="22"/>
          <w:szCs w:val="22"/>
        </w:rPr>
        <w:t xml:space="preserve"> vedenom Štatistickým úradom SR a zaradené do sektora verejnej správy v súlade s metodikou ESA 95. </w:t>
      </w:r>
    </w:p>
    <w:p w:rsidR="00FA766B" w:rsidRPr="005F11EE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A766B" w:rsidRPr="005F11EE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5F11EE">
        <w:rPr>
          <w:rFonts w:ascii="Arial Narrow" w:hAnsi="Arial Narrow"/>
          <w:sz w:val="22"/>
          <w:szCs w:val="22"/>
        </w:rPr>
        <w:t xml:space="preserve">Do sektora verejnej správy je zaradených 97 príspevkových organizácií v pôsobnosti štátu a </w:t>
      </w:r>
      <w:r>
        <w:rPr>
          <w:rFonts w:ascii="Arial Narrow" w:hAnsi="Arial Narrow"/>
          <w:sz w:val="22"/>
          <w:szCs w:val="22"/>
        </w:rPr>
        <w:t>589</w:t>
      </w:r>
      <w:r w:rsidRPr="005F11EE">
        <w:rPr>
          <w:rFonts w:ascii="Arial Narrow" w:hAnsi="Arial Narrow"/>
          <w:sz w:val="22"/>
          <w:szCs w:val="22"/>
        </w:rPr>
        <w:t xml:space="preserve"> príspevkových organizácií v pôsobnosti obcí a VÚC.  </w:t>
      </w:r>
    </w:p>
    <w:p w:rsidR="00FA766B" w:rsidRPr="005F11EE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A766B" w:rsidRPr="005F11EE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5F11EE">
        <w:rPr>
          <w:rFonts w:ascii="Arial Narrow" w:hAnsi="Arial Narrow"/>
          <w:sz w:val="22"/>
          <w:szCs w:val="22"/>
        </w:rPr>
        <w:t>Príspevkové organizácie v pôsobnosti štátu zabezpečujú činnosti najmä v oblasti kultúry, školstva, životného prostredia, pôdohospodárstva, výskumu, služieb a informatiky. Najviac príspevkových organizácií je v pôsobnosti ministerstva kultúry</w:t>
      </w:r>
      <w:r>
        <w:rPr>
          <w:rFonts w:ascii="Arial Narrow" w:hAnsi="Arial Narrow"/>
          <w:sz w:val="22"/>
          <w:szCs w:val="22"/>
        </w:rPr>
        <w:t xml:space="preserve"> a cestovného ruchu</w:t>
      </w:r>
      <w:r w:rsidRPr="005F11EE">
        <w:rPr>
          <w:rFonts w:ascii="Arial Narrow" w:hAnsi="Arial Narrow"/>
          <w:sz w:val="22"/>
          <w:szCs w:val="22"/>
        </w:rPr>
        <w:t xml:space="preserve"> (25), v pôsobnosti SAV (22) a v pôsobnost</w:t>
      </w:r>
      <w:r>
        <w:rPr>
          <w:rFonts w:ascii="Arial Narrow" w:hAnsi="Arial Narrow"/>
          <w:sz w:val="22"/>
          <w:szCs w:val="22"/>
        </w:rPr>
        <w:t>i ministerstva pôdohospodárstva</w:t>
      </w:r>
      <w:r w:rsidR="00056F9F">
        <w:rPr>
          <w:rFonts w:ascii="Arial Narrow" w:hAnsi="Arial Narrow"/>
          <w:sz w:val="22"/>
          <w:szCs w:val="22"/>
        </w:rPr>
        <w:t xml:space="preserve"> a rozvoja vidieka</w:t>
      </w:r>
      <w:r w:rsidRPr="005F11EE">
        <w:rPr>
          <w:rFonts w:ascii="Arial Narrow" w:hAnsi="Arial Narrow"/>
          <w:sz w:val="22"/>
          <w:szCs w:val="22"/>
        </w:rPr>
        <w:t xml:space="preserve"> (</w:t>
      </w:r>
      <w:r w:rsidR="00056F9F">
        <w:rPr>
          <w:rFonts w:ascii="Arial Narrow" w:hAnsi="Arial Narrow"/>
          <w:sz w:val="22"/>
          <w:szCs w:val="22"/>
        </w:rPr>
        <w:t>13</w:t>
      </w:r>
      <w:r w:rsidRPr="005F11EE">
        <w:rPr>
          <w:rFonts w:ascii="Arial Narrow" w:hAnsi="Arial Narrow"/>
          <w:sz w:val="22"/>
          <w:szCs w:val="22"/>
        </w:rPr>
        <w:t xml:space="preserve">). </w:t>
      </w:r>
    </w:p>
    <w:p w:rsidR="00FA766B" w:rsidRPr="005F11EE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FA766B" w:rsidRPr="005F11EE" w:rsidP="00FA766B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5F11EE">
        <w:rPr>
          <w:rFonts w:ascii="Arial Narrow" w:hAnsi="Arial Narrow"/>
          <w:sz w:val="22"/>
          <w:szCs w:val="22"/>
        </w:rPr>
        <w:t>Príspevkové organizácie v pôsobnosti obcí zabezpečujú najmä činnosti na úseku verejnoprospešných prác (technické služby), kultúry (miestne osvetové strediská, miestne kultúrne strediská, knižnice, galérie), sociálnych vecí, športu (plavárne, správy športových zariadení) a v ďalších oblastiach. Príspevkové organizácie zriadené VÚC zabezpečujú hlavne činnosti na úseku dopravy (organizácie zabezpečujúce správu a údržbu ciest II. a III. triedy), kultúry (divadlá, múzeá, galérie, knižnice, hvezdárne a pod.) a na úseku školstva (školy v prírode, stredné odborné učilištia</w:t>
      </w:r>
      <w:r>
        <w:rPr>
          <w:rFonts w:ascii="Arial Narrow" w:hAnsi="Arial Narrow"/>
          <w:sz w:val="22"/>
          <w:szCs w:val="22"/>
        </w:rPr>
        <w:t>, stredné odborné školy a pod.)</w:t>
      </w:r>
    </w:p>
    <w:p w:rsidR="00D87D20" w:rsidRPr="00FA766B" w:rsidP="0084667A">
      <w:pPr>
        <w:bidi w:val="0"/>
        <w:rPr>
          <w:rFonts w:ascii="Arial Narrow" w:hAnsi="Arial Narrow"/>
          <w:sz w:val="22"/>
          <w:szCs w:val="22"/>
        </w:rPr>
      </w:pPr>
    </w:p>
    <w:p w:rsidR="0084667A" w:rsidRPr="00723F95" w:rsidP="0084667A">
      <w:pPr>
        <w:bidi w:val="0"/>
        <w:jc w:val="both"/>
        <w:rPr>
          <w:rFonts w:ascii="Arial Narrow" w:hAnsi="Arial Narrow"/>
        </w:rPr>
      </w:pPr>
      <w:r w:rsidRPr="00723F95">
        <w:rPr>
          <w:rFonts w:ascii="Arial Narrow" w:hAnsi="Arial Narrow"/>
          <w:b/>
        </w:rPr>
        <w:t>11.</w:t>
      </w:r>
      <w:r w:rsidRPr="00723F95">
        <w:rPr>
          <w:rFonts w:ascii="Arial Narrow" w:hAnsi="Arial Narrow"/>
        </w:rPr>
        <w:t xml:space="preserve"> </w:t>
      </w:r>
      <w:r w:rsidRPr="00723F95">
        <w:rPr>
          <w:rFonts w:ascii="Arial Narrow" w:hAnsi="Arial Narrow"/>
          <w:b/>
        </w:rPr>
        <w:t>Slovenská televízia</w:t>
      </w:r>
      <w:r w:rsidRPr="00723F95">
        <w:rPr>
          <w:rFonts w:ascii="Arial Narrow" w:hAnsi="Arial Narrow"/>
        </w:rPr>
        <w:t xml:space="preserve"> </w:t>
      </w:r>
    </w:p>
    <w:p w:rsidR="0084667A" w:rsidP="0084667A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061321" w:rsidP="00061321">
      <w:pPr>
        <w:bidi w:val="0"/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>Vývoj príjmovej a výdavkovej časti rozpočtu Slovenskej televízie (ďalej len „STV“) na roky 2011</w:t>
      </w:r>
      <w:r w:rsidR="004439F0">
        <w:rPr>
          <w:rFonts w:ascii="Arial Narrow" w:hAnsi="Arial Narrow"/>
          <w:sz w:val="22"/>
          <w:szCs w:val="22"/>
        </w:rPr>
        <w:t xml:space="preserve"> až </w:t>
      </w:r>
      <w:r>
        <w:rPr>
          <w:rFonts w:ascii="Arial Narrow" w:hAnsi="Arial Narrow"/>
          <w:sz w:val="22"/>
          <w:szCs w:val="22"/>
        </w:rPr>
        <w:t>2013 je nasledovný:</w:t>
      </w:r>
    </w:p>
    <w:p w:rsidR="00BD1BCA" w:rsidP="00575ED0">
      <w:pPr>
        <w:bidi w:val="0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4900" w:type="pct"/>
        <w:jc w:val="center"/>
        <w:tblInd w:w="-468" w:type="dxa"/>
        <w:tblCellMar>
          <w:left w:w="70" w:type="dxa"/>
          <w:right w:w="70" w:type="dxa"/>
        </w:tblCellMar>
        <w:tblLook w:val="04A0"/>
      </w:tblPr>
      <w:tblGrid>
        <w:gridCol w:w="4072"/>
        <w:gridCol w:w="915"/>
        <w:gridCol w:w="842"/>
        <w:gridCol w:w="839"/>
        <w:gridCol w:w="839"/>
        <w:gridCol w:w="839"/>
        <w:gridCol w:w="835"/>
      </w:tblGrid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="004C26A0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2010</w:t>
            </w:r>
            <w:r w:rsidR="004C26A0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OS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2011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2012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2013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Príjmy STV spolu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86 10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72 210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74 100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68 100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61 157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61 190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 xml:space="preserve">▪   daňové príjmy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52 27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53 961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52 991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52 875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nedaňové príjmy, z toho: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24 215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5 780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6 155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5 22</w:t>
            </w:r>
            <w:r w:rsidR="0054202F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5 157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5 190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 xml:space="preserve">         príjmy z podnikania a z vlastníctva majetku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1 255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262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 xml:space="preserve">         administratívne a iné poplatky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22 60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5 279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5 781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4 878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4 807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4 837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 xml:space="preserve">         úroky z tuzemských úverov, pôžičiek, vkladov...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11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 xml:space="preserve">         kapitálové príjmy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9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196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 xml:space="preserve">         ostatné nedaňové príjmy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14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90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transfer zo štátneho rozpočtu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3 05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9 380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12 574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10 000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56 000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56 000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zostatok z pred. rokov (FO)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6 56</w:t>
            </w:r>
            <w:r w:rsidR="00C44C68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3 089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2 380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Výdavky STV spolu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83 01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69 830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74 100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68 100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61 157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61 190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mzdy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12 99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13 372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12 962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12 434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12 730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12 800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odvody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4 34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4 579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4 486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4 265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4 324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4 345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tovary a služby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57 472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48 637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53 514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48 161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42 878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42 817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bežné transfery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1 40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2 077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2 356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2 38</w:t>
            </w:r>
            <w:r w:rsidR="0054202F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568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kapitálové výdavky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6 60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972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602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660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660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660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▪   vklad do základného imania</w:t>
            </w:r>
            <w:r>
              <w:rPr>
                <w:rFonts w:ascii="Arial Narrow" w:hAnsi="Arial Narrow"/>
                <w:sz w:val="16"/>
                <w:szCs w:val="16"/>
              </w:rPr>
              <w:t xml:space="preserve"> (FO)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20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Celková bilancia STV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3 08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2 380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vylúčenie finančných operácií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E43368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43368">
              <w:rPr>
                <w:rFonts w:ascii="Arial Narrow" w:hAnsi="Arial Narrow"/>
                <w:b/>
                <w:i/>
                <w:sz w:val="16"/>
                <w:szCs w:val="16"/>
              </w:rPr>
              <w:t>-6 359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E43368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43368">
              <w:rPr>
                <w:rFonts w:ascii="Arial Narrow" w:hAnsi="Arial Narrow"/>
                <w:b/>
                <w:i/>
                <w:sz w:val="16"/>
                <w:szCs w:val="16"/>
              </w:rPr>
              <w:t>-2 896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E43368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43368">
              <w:rPr>
                <w:rFonts w:ascii="Arial Narrow" w:hAnsi="Arial Narrow"/>
                <w:b/>
                <w:i/>
                <w:sz w:val="16"/>
                <w:szCs w:val="16"/>
              </w:rPr>
              <w:t>-2 200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E43368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43368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E43368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43368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E43368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E43368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 xml:space="preserve">▪   vylúčenie príjmových </w:t>
            </w:r>
            <w:r w:rsidR="00C44C68">
              <w:rPr>
                <w:rFonts w:ascii="Arial Narrow" w:hAnsi="Arial Narrow"/>
                <w:sz w:val="16"/>
                <w:szCs w:val="16"/>
              </w:rPr>
              <w:t>FO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-6 56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-3 089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-2 380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 xml:space="preserve">▪   vylúčenie výdavkových </w:t>
            </w:r>
            <w:r w:rsidR="00C44C68">
              <w:rPr>
                <w:rFonts w:ascii="Arial Narrow" w:hAnsi="Arial Narrow"/>
                <w:sz w:val="16"/>
                <w:szCs w:val="16"/>
              </w:rPr>
              <w:t>FO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20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180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73857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6E3A43" w:rsidP="00BD1BCA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E3A43">
              <w:rPr>
                <w:rFonts w:ascii="Arial Narrow" w:hAnsi="Arial Narrow"/>
                <w:b/>
                <w:i/>
                <w:sz w:val="16"/>
                <w:szCs w:val="16"/>
              </w:rPr>
              <w:t>ostatné úpravy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6E3A43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E3A43" w:rsidR="00516B18">
              <w:rPr>
                <w:rFonts w:ascii="Arial Narrow" w:hAnsi="Arial Narrow"/>
                <w:b/>
                <w:i/>
                <w:sz w:val="16"/>
                <w:szCs w:val="16"/>
              </w:rPr>
              <w:t>-5 776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6E3A43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E3A43" w:rsidR="00516B18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-1 </w:t>
            </w:r>
            <w:r w:rsidR="00423C9E">
              <w:rPr>
                <w:rFonts w:ascii="Arial Narrow" w:hAnsi="Arial Narrow"/>
                <w:b/>
                <w:i/>
                <w:sz w:val="16"/>
                <w:szCs w:val="16"/>
              </w:rPr>
              <w:t>411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6E3A43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E3A43" w:rsidR="00516B18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6E3A43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E3A43" w:rsidR="00516B18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0159C4" w:rsidRPr="006E3A43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E3A43" w:rsidR="00516B18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59C4" w:rsidRPr="006E3A43" w:rsidP="00BD1BCA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6E3A43" w:rsidR="00516B18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</w:tr>
      <w:tr>
        <w:tblPrEx>
          <w:tblW w:w="4900" w:type="pct"/>
          <w:jc w:val="center"/>
          <w:tblInd w:w="-46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Prebytok / schodok STV (ESA 95)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-</w:t>
            </w:r>
            <w:r w:rsidR="00516B18">
              <w:rPr>
                <w:rFonts w:ascii="Arial Narrow" w:hAnsi="Arial Narrow"/>
                <w:b/>
                <w:bCs/>
                <w:sz w:val="16"/>
                <w:szCs w:val="16"/>
              </w:rPr>
              <w:t>9 049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-</w:t>
            </w:r>
            <w:r w:rsidR="00516B1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 </w:t>
            </w:r>
            <w:r w:rsidR="00423C9E">
              <w:rPr>
                <w:rFonts w:ascii="Arial Narrow" w:hAnsi="Arial Narrow"/>
                <w:b/>
                <w:bCs/>
                <w:sz w:val="16"/>
                <w:szCs w:val="16"/>
              </w:rPr>
              <w:t>927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-2 200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0159C4" w:rsidRPr="00273857" w:rsidP="00BD1BCA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73857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</w:p>
        </w:tc>
      </w:tr>
    </w:tbl>
    <w:p w:rsidR="00061321" w:rsidP="00061321">
      <w:pPr>
        <w:bidi w:val="0"/>
        <w:ind w:firstLine="709"/>
        <w:jc w:val="both"/>
        <w:rPr>
          <w:rFonts w:ascii="Arial Narrow" w:hAnsi="Arial Narrow"/>
          <w:sz w:val="22"/>
          <w:szCs w:val="22"/>
        </w:rPr>
      </w:pPr>
    </w:p>
    <w:p w:rsidR="00061321" w:rsidP="00061321">
      <w:pPr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ascii="Arial Narrow" w:eastAsia="Calibri" w:hAnsi="Arial Narrow" w:cs="Arial Narrow" w:hint="default"/>
          <w:color w:val="000000"/>
          <w:sz w:val="22"/>
          <w:szCs w:val="22"/>
        </w:rPr>
      </w:pP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Ná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vrh 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tu Slovenskej televí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zie na roky 2011</w:t>
      </w:r>
      <w:r w:rsidR="00967058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až</w:t>
      </w:r>
      <w:r w:rsidR="00967058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2013 odráž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a zreá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lnenie prí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jmov a súč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asne vý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davkov v nadvä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znosti na skutoč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ný</w:t>
      </w:r>
      <w:r w:rsidR="004C26A0">
        <w:rPr>
          <w:rFonts w:ascii="Arial Narrow" w:eastAsia="Calibri" w:hAnsi="Arial Narrow" w:cs="Arial Narrow"/>
          <w:color w:val="000000"/>
          <w:sz w:val="22"/>
          <w:szCs w:val="22"/>
        </w:rPr>
        <w:t>,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resp. 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aká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vaný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vý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voj v roku 20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10. </w:t>
      </w:r>
    </w:p>
    <w:p w:rsidR="00061321" w:rsidP="00061321">
      <w:pPr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ascii="Arial Narrow" w:eastAsia="Calibri" w:hAnsi="Arial Narrow" w:cs="Arial Narrow" w:hint="default"/>
          <w:color w:val="000000"/>
          <w:sz w:val="22"/>
          <w:szCs w:val="22"/>
        </w:rPr>
      </w:pPr>
    </w:p>
    <w:p w:rsidR="007E3EAE" w:rsidP="00DF084D">
      <w:pPr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ascii="Arial Narrow" w:eastAsia="Calibri" w:hAnsi="Arial Narrow" w:cs="Arial Narrow"/>
          <w:color w:val="000000"/>
          <w:sz w:val="22"/>
          <w:szCs w:val="22"/>
        </w:rPr>
      </w:pP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Prí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jmová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č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asť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rozpoč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tu v roku 201</w:t>
      </w:r>
      <w:r w:rsidR="00516B18">
        <w:rPr>
          <w:rFonts w:ascii="Arial Narrow" w:eastAsia="Calibri" w:hAnsi="Arial Narrow" w:cs="Arial Narrow" w:hint="default"/>
          <w:color w:val="000000"/>
          <w:sz w:val="22"/>
          <w:szCs w:val="22"/>
        </w:rPr>
        <w:t>1 je tvorená</w:t>
      </w:r>
      <w:r w:rsidR="00516B18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daň</w:t>
      </w:r>
      <w:r w:rsidR="00516B18">
        <w:rPr>
          <w:rFonts w:ascii="Arial Narrow" w:eastAsia="Calibri" w:hAnsi="Arial Narrow" w:cs="Arial Narrow" w:hint="default"/>
          <w:color w:val="000000"/>
          <w:sz w:val="22"/>
          <w:szCs w:val="22"/>
        </w:rPr>
        <w:t>ový</w:t>
      </w:r>
      <w:r w:rsidR="00516B18">
        <w:rPr>
          <w:rFonts w:ascii="Arial Narrow" w:eastAsia="Calibri" w:hAnsi="Arial Narrow" w:cs="Arial Narrow" w:hint="default"/>
          <w:color w:val="000000"/>
          <w:sz w:val="22"/>
          <w:szCs w:val="22"/>
        </w:rPr>
        <w:t>mi prí</w:t>
      </w:r>
      <w:r w:rsidR="00516B18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jmami, </w:t>
      </w:r>
      <w:r w:rsidR="00BE4F9D">
        <w:rPr>
          <w:rFonts w:ascii="Arial Narrow" w:eastAsia="Calibri" w:hAnsi="Arial Narrow" w:cs="Arial Narrow"/>
          <w:color w:val="000000"/>
          <w:sz w:val="22"/>
          <w:szCs w:val="22"/>
        </w:rPr>
        <w:t xml:space="preserve">a to 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ú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hrad</w:t>
      </w:r>
      <w:r w:rsidR="00516B18">
        <w:rPr>
          <w:rFonts w:ascii="Arial Narrow" w:eastAsia="Calibri" w:hAnsi="Arial Narrow" w:cs="Arial Narrow"/>
          <w:color w:val="000000"/>
          <w:sz w:val="22"/>
          <w:szCs w:val="22"/>
        </w:rPr>
        <w:t>ami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za služ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by verejnosti poskytované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STV dané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zá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konom č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. 68/2008 Z. z. o ú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hrade za služ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by verejnosti poskytované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Slovenskou televí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ziou a Slovenský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m rozhlasom a o zmene a dopln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ení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niektorý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ch zá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konov, ktorý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ch výš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ka tvorí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77,6 % z celkový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ch prí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jmov v roku 2011. Ď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alej sú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to nedaň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ové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prí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jmy</w:t>
      </w:r>
      <w:r w:rsidR="00DF084D">
        <w:rPr>
          <w:rFonts w:ascii="Arial Narrow" w:eastAsia="Calibri" w:hAnsi="Arial Narrow" w:cs="Arial Narrow"/>
          <w:color w:val="000000"/>
          <w:sz w:val="22"/>
          <w:szCs w:val="22"/>
        </w:rPr>
        <w:t>,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najmä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prí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jmy z reklamy, ktoré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tvoria 7,16 % z celkový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>ch prí</w:t>
      </w:r>
      <w:r w:rsidR="00061321"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jmov. </w:t>
      </w:r>
    </w:p>
    <w:p w:rsidR="0011731E" w:rsidP="0011731E">
      <w:pPr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ascii="Arial Narrow" w:eastAsia="Calibri" w:hAnsi="Arial Narrow" w:cs="Arial Narrow" w:hint="default"/>
          <w:color w:val="000000"/>
          <w:sz w:val="22"/>
          <w:szCs w:val="22"/>
        </w:rPr>
      </w:pP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Medziroč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ný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ná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rast prí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jmov v roku 2011 o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5,05 % je spô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sobený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najmä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ná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rastom tr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ansferu zo 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tneho 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tu, ktorý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sa v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roku 2010 nerozpoč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toval, ale je viditeľ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ný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až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v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te upravenom, resp. 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aká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vanej skutoč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nosti plnenia prí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jmov na rok 2010. Transfer zo 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tneho 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tu na zá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klade Zmluvy so 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tom medzi STV a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MKCR SR klesá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k upr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a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vené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mu 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tu roku 2010 o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20,5 %, 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o je dané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zníž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ení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m transferu zo strany MKCR SR na minimá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lnu mož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nú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sumu v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mci zmluvy. </w:t>
      </w:r>
    </w:p>
    <w:p w:rsidR="0011731E" w:rsidP="0011731E">
      <w:pPr>
        <w:bidi w:val="0"/>
        <w:jc w:val="both"/>
        <w:rPr>
          <w:rFonts w:ascii="Arial Narrow" w:eastAsia="Calibri" w:hAnsi="Arial Narrow" w:cs="Arial Narrow"/>
          <w:color w:val="000000"/>
          <w:sz w:val="22"/>
          <w:szCs w:val="22"/>
        </w:rPr>
      </w:pPr>
      <w:r>
        <w:rPr>
          <w:rFonts w:ascii="Arial Narrow" w:eastAsia="Calibri" w:hAnsi="Arial Narrow" w:cs="Arial Narrow"/>
          <w:color w:val="000000"/>
          <w:sz w:val="22"/>
          <w:szCs w:val="22"/>
        </w:rPr>
        <w:tab/>
      </w:r>
    </w:p>
    <w:p w:rsidR="0011731E" w:rsidP="0011731E">
      <w:pPr>
        <w:bidi w:val="0"/>
        <w:jc w:val="both"/>
        <w:rPr>
          <w:rFonts w:ascii="Arial Narrow" w:eastAsia="Calibri" w:hAnsi="Arial Narrow" w:cs="Arial Narrow"/>
          <w:color w:val="000000"/>
          <w:sz w:val="22"/>
          <w:szCs w:val="22"/>
        </w:rPr>
      </w:pPr>
      <w:r>
        <w:rPr>
          <w:rFonts w:ascii="Arial Narrow" w:eastAsia="Calibri" w:hAnsi="Arial Narrow" w:cs="Arial Narrow"/>
          <w:color w:val="000000"/>
          <w:sz w:val="22"/>
          <w:szCs w:val="22"/>
        </w:rPr>
        <w:tab/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Prí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jmy z reklamy vý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razne klesajú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ako oproti 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tu 2010 o 42,2 %,  tak aj k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aká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vanej skutoč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nosti 2010 o 15,6 %. Pokles je sp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ô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sobený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</w:t>
      </w:r>
      <w:r w:rsidRPr="000F715B">
        <w:rPr>
          <w:rFonts w:ascii="Arial Narrow" w:hAnsi="Arial Narrow"/>
          <w:sz w:val="22"/>
          <w:szCs w:val="22"/>
        </w:rPr>
        <w:t>legislatívn</w:t>
      </w:r>
      <w:r>
        <w:rPr>
          <w:rFonts w:ascii="Arial Narrow" w:hAnsi="Arial Narrow"/>
          <w:sz w:val="22"/>
          <w:szCs w:val="22"/>
        </w:rPr>
        <w:t>ou zmenou dotýkajúcou sa</w:t>
      </w:r>
      <w:r w:rsidRPr="000F715B">
        <w:rPr>
          <w:rFonts w:ascii="Arial Narrow" w:hAnsi="Arial Narrow"/>
          <w:sz w:val="22"/>
          <w:szCs w:val="22"/>
        </w:rPr>
        <w:t xml:space="preserve"> príjmov z reklamy, ktoré boli zákonom č. 516/2008 Z. z. o Audiovizuálnom fonde upravené tak, aby časový rozsah reklamy vo vysielaní nepresiahol v roku 2009 2,5 % denného vysielacieho času, v roku 2010 menej ako 1,5 % denného vysielacieho času, v roku 2011 menej ako 1 % denného vysielacieho času. Vzhľadom na vyššie uvedené ako aj vonkajším vplyvom (ceny reklamy na trhu z dôvodu finančnej krízy výrazne klesli), bol v návrhu príjmov zohľadnený pokles v kategórii </w:t>
      </w:r>
      <w:r>
        <w:rPr>
          <w:rFonts w:ascii="Arial Narrow" w:hAnsi="Arial Narrow"/>
          <w:sz w:val="22"/>
          <w:szCs w:val="22"/>
        </w:rPr>
        <w:t>a</w:t>
      </w:r>
      <w:r w:rsidRPr="000F715B">
        <w:rPr>
          <w:rFonts w:ascii="Arial Narrow" w:hAnsi="Arial Narrow"/>
          <w:sz w:val="22"/>
          <w:szCs w:val="22"/>
        </w:rPr>
        <w:t xml:space="preserve">dministratívne a iné poplatky. </w:t>
      </w:r>
    </w:p>
    <w:p w:rsidR="0011731E" w:rsidRPr="00723F95" w:rsidP="0011731E">
      <w:pPr>
        <w:bidi w:val="0"/>
        <w:jc w:val="both"/>
        <w:rPr>
          <w:rFonts w:ascii="Arial Narrow" w:hAnsi="Arial Narrow"/>
        </w:rPr>
      </w:pPr>
    </w:p>
    <w:p w:rsidR="0011731E" w:rsidRPr="00723F95" w:rsidP="0011731E">
      <w:pPr>
        <w:bidi w:val="0"/>
        <w:jc w:val="both"/>
        <w:rPr>
          <w:rFonts w:ascii="Arial Narrow" w:hAnsi="Arial Narrow"/>
        </w:rPr>
      </w:pPr>
      <w:r w:rsidRPr="00723F95">
        <w:rPr>
          <w:rFonts w:ascii="Arial Narrow" w:hAnsi="Arial Narrow"/>
          <w:b/>
        </w:rPr>
        <w:t>12.</w:t>
      </w:r>
      <w:r w:rsidRPr="00723F95">
        <w:rPr>
          <w:rFonts w:ascii="Arial Narrow" w:hAnsi="Arial Narrow"/>
        </w:rPr>
        <w:t xml:space="preserve"> </w:t>
      </w:r>
      <w:r w:rsidRPr="00723F95">
        <w:rPr>
          <w:rFonts w:ascii="Arial Narrow" w:hAnsi="Arial Narrow"/>
          <w:b/>
        </w:rPr>
        <w:t>Slovenský rozhlas</w:t>
      </w:r>
    </w:p>
    <w:p w:rsidR="0011731E" w:rsidP="0011731E">
      <w:pPr>
        <w:bidi w:val="0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11731E" w:rsidP="0011731E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Vývoj príjmovej a výdavkovej časti rozpočtu Slovenského rozhlasu (ďalej len „SRo“) na roky 2011 až 2013 je nasledovný:</w:t>
      </w:r>
    </w:p>
    <w:p w:rsidR="0011731E" w:rsidP="0011731E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4899" w:type="pct"/>
        <w:jc w:val="center"/>
        <w:tblInd w:w="-272" w:type="dxa"/>
        <w:tblCellMar>
          <w:left w:w="70" w:type="dxa"/>
          <w:right w:w="70" w:type="dxa"/>
        </w:tblCellMar>
        <w:tblLook w:val="04A0"/>
      </w:tblPr>
      <w:tblGrid>
        <w:gridCol w:w="4297"/>
        <w:gridCol w:w="827"/>
        <w:gridCol w:w="817"/>
        <w:gridCol w:w="815"/>
        <w:gridCol w:w="815"/>
        <w:gridCol w:w="782"/>
        <w:gridCol w:w="826"/>
      </w:tblGrid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2008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2009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2011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ind w:right="-14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2012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2013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Príjmy SRo spolu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28 86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33 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980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31 808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30 972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26 975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27 001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 xml:space="preserve">▪   daňové príjmy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22 49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23 38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22 966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22 946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nedaňové príjmy, z toho: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3 70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3 189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2 950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2 950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2 975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3 001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 xml:space="preserve">         príjmy z podnikania a z vlastníctva majetku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36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338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332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 xml:space="preserve">         administratívne a iné poplatky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3 04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2 745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2 400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2 529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2 548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2 567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 xml:space="preserve">         kapitálové príjmy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 xml:space="preserve">         úroky z tuzemských úverov, pôžičiek, vkladov...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transfer zo štátneho rozpočtu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1 85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6 011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4 500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4 000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24 000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24 000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zostatok z pred. rokov (FO)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79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1 392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1 391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1 076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prijaté úvery, pôžičky a návratné finančné výpomoci</w:t>
            </w:r>
            <w:r>
              <w:rPr>
                <w:rFonts w:ascii="Arial Narrow" w:hAnsi="Arial Narrow"/>
                <w:sz w:val="16"/>
                <w:szCs w:val="16"/>
              </w:rPr>
              <w:t xml:space="preserve"> (FO)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C529B2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Výdavky SRo spolu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28 11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31 992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30 732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30 972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26 975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27 001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mzdy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6 40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6 886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7 531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7 766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7 999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8 239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odvody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2 260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2 403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2 683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2 783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2 865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2 950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tovary a služby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14 4</w:t>
            </w:r>
            <w:r>
              <w:rPr>
                <w:rFonts w:ascii="Arial Narrow" w:hAnsi="Arial Narrow"/>
                <w:sz w:val="16"/>
                <w:szCs w:val="16"/>
              </w:rPr>
              <w:t>39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16 274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16 630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17 220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14 902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14 623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bežné transfery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2 82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3 658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2 012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2 003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188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kapitálové výdavky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1 83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2 67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1 776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1 000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1 000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1 000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splácanie úrokov súvisiacich s úvermi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▪   výdavky z transakcií s fin. akt. a</w:t>
            </w:r>
            <w:r>
              <w:rPr>
                <w:rFonts w:ascii="Arial Narrow" w:hAnsi="Arial Narrow"/>
                <w:sz w:val="16"/>
                <w:szCs w:val="16"/>
              </w:rPr>
              <w:t> </w:t>
            </w:r>
            <w:r w:rsidRPr="00C529B2">
              <w:rPr>
                <w:rFonts w:ascii="Arial Narrow" w:hAnsi="Arial Narrow"/>
                <w:sz w:val="16"/>
                <w:szCs w:val="16"/>
              </w:rPr>
              <w:t>pas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Pr="00C529B2">
              <w:rPr>
                <w:rFonts w:ascii="Arial Narrow" w:hAnsi="Arial Narrow"/>
                <w:sz w:val="16"/>
                <w:szCs w:val="16"/>
              </w:rPr>
              <w:t xml:space="preserve"> (FO)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Celková bilancia SRo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74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 988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1 076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vylúčenie finančných operácií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-46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-1 292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-1 291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-876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 xml:space="preserve">▪   vylúčenie príjmových </w:t>
            </w:r>
            <w:r>
              <w:rPr>
                <w:rFonts w:ascii="Arial Narrow" w:hAnsi="Arial Narrow"/>
                <w:sz w:val="16"/>
                <w:szCs w:val="16"/>
              </w:rPr>
              <w:t>FO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>1 392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-1 391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-1 076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 xml:space="preserve">▪   vylúčenie výdavkových </w:t>
            </w:r>
            <w:r>
              <w:rPr>
                <w:rFonts w:ascii="Arial Narrow" w:hAnsi="Arial Narrow"/>
                <w:sz w:val="16"/>
                <w:szCs w:val="16"/>
              </w:rPr>
              <w:t>FO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332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529B2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82C22" w:rsidP="00705E13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82C22">
              <w:rPr>
                <w:rFonts w:ascii="Arial Narrow" w:hAnsi="Arial Narrow"/>
                <w:b/>
                <w:i/>
                <w:sz w:val="16"/>
                <w:szCs w:val="16"/>
              </w:rPr>
              <w:t>ostatné úpravy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82C22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-199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82C22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1 521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82C22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82C22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82C22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C82C22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  <w:tr>
        <w:tblPrEx>
          <w:tblW w:w="4899" w:type="pct"/>
          <w:jc w:val="center"/>
          <w:tblInd w:w="-272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Prebytok / schodok SRo (ESA 95)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2 217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-215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-876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C529B2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C529B2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</w:tbl>
    <w:p w:rsidR="0011731E" w:rsidP="0011731E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11731E" w:rsidP="0011731E">
      <w:pPr>
        <w:autoSpaceDE w:val="0"/>
        <w:autoSpaceDN w:val="0"/>
        <w:bidi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Príjmová časť rozpočtu je tvorená daňovými príjmami, a to úhradami za služby verejnosti poskytované SRo dané zákonom č. 68/2008 Z. z</w:t>
      </w:r>
      <w:r w:rsidRPr="00C52C24">
        <w:rPr>
          <w:rFonts w:ascii="Arial Narrow" w:hAnsi="Arial Narrow"/>
          <w:sz w:val="22"/>
          <w:szCs w:val="22"/>
        </w:rPr>
        <w:t xml:space="preserve">. </w:t>
      </w:r>
      <w:r w:rsidRPr="00C52C24">
        <w:rPr>
          <w:rFonts w:ascii="Arial Narrow" w:hAnsi="Arial Narrow" w:cs="Arial"/>
          <w:bCs/>
          <w:sz w:val="22"/>
          <w:szCs w:val="22"/>
        </w:rPr>
        <w:t>o úhrade za služby verejnosti poskytované Slovenskou televíziou a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Pr="00C52C24">
        <w:rPr>
          <w:rFonts w:ascii="Arial Narrow" w:hAnsi="Arial Narrow" w:cs="Arial"/>
          <w:bCs/>
          <w:sz w:val="22"/>
          <w:szCs w:val="22"/>
        </w:rPr>
        <w:t>Slovenským rozhlasom a o zmene a doplnení niektorých zákonov</w:t>
      </w:r>
      <w:r>
        <w:rPr>
          <w:rFonts w:ascii="Arial Narrow" w:hAnsi="Arial Narrow"/>
          <w:sz w:val="22"/>
          <w:szCs w:val="22"/>
        </w:rPr>
        <w:t xml:space="preserve">, ktorých výška  tvorí 74,1 % z celkových príjmov v roku 2011. Ďalej sú to nedaňové príjmy, najmä príjmy z reklamy, ktoré tvoria 8,16 % z celkových príjmov. </w:t>
      </w:r>
    </w:p>
    <w:p w:rsidR="0011731E" w:rsidP="0011731E">
      <w:pPr>
        <w:autoSpaceDE w:val="0"/>
        <w:autoSpaceDN w:val="0"/>
        <w:bidi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11731E" w:rsidP="0011731E">
      <w:pPr>
        <w:autoSpaceDE w:val="0"/>
        <w:autoSpaceDN w:val="0"/>
        <w:bidi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Pokles celkových príjmov medzi rokom 2011 a očakávaním plnením príjmov v roku 2010 o 2,63 % je spôsobený miernym poklesom v časti daňové príjmy, ale najmä poklesom t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ransferu zo 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tneho 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tu na zá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klade Zmluvy so 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tom medzi SRo a MKCR SR, k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torý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klesá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oproti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upravené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mu 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tu roku 2010 o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11,1 %, 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o je dané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zníž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ení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m transferu zo strany MKCR SR na minimá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lnu mož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nú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sumu v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mci zmluvy. </w:t>
      </w:r>
    </w:p>
    <w:p w:rsidR="0011731E" w:rsidP="0011731E">
      <w:pPr>
        <w:autoSpaceDE w:val="0"/>
        <w:autoSpaceDN w:val="0"/>
        <w:bidi w:val="0"/>
        <w:adjustRightInd w:val="0"/>
        <w:ind w:firstLine="708"/>
        <w:jc w:val="both"/>
        <w:rPr>
          <w:rFonts w:ascii="Arial Narrow" w:eastAsia="Calibri" w:hAnsi="Arial Narrow" w:cs="Arial Narrow"/>
          <w:color w:val="000000"/>
          <w:sz w:val="22"/>
          <w:szCs w:val="22"/>
        </w:rPr>
      </w:pPr>
    </w:p>
    <w:p w:rsidR="0011731E" w:rsidRPr="00772FBF" w:rsidP="0011731E">
      <w:pPr>
        <w:autoSpaceDE w:val="0"/>
        <w:autoSpaceDN w:val="0"/>
        <w:bidi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Rozpoč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tované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prí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jmy sú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premietnuté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do vý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davkov a 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celková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 bilancia hospodá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>renia SRo je nulová</w:t>
      </w:r>
      <w:r>
        <w:rPr>
          <w:rFonts w:ascii="Arial Narrow" w:eastAsia="Calibri" w:hAnsi="Arial Narrow" w:cs="Arial Narrow" w:hint="default"/>
          <w:color w:val="000000"/>
          <w:sz w:val="22"/>
          <w:szCs w:val="22"/>
        </w:rPr>
        <w:t xml:space="preserve">. </w:t>
      </w:r>
    </w:p>
    <w:p w:rsidR="0011731E" w:rsidRPr="00575ED0" w:rsidP="0011731E">
      <w:pPr>
        <w:bidi w:val="0"/>
        <w:rPr>
          <w:rFonts w:ascii="Arial Narrow" w:hAnsi="Arial Narrow"/>
          <w:sz w:val="22"/>
          <w:szCs w:val="22"/>
        </w:rPr>
      </w:pPr>
    </w:p>
    <w:p w:rsidR="0011731E" w:rsidRPr="00723F95" w:rsidP="0011731E">
      <w:pPr>
        <w:bidi w:val="0"/>
        <w:jc w:val="both"/>
        <w:rPr>
          <w:rFonts w:ascii="Arial Narrow" w:hAnsi="Arial Narrow"/>
        </w:rPr>
      </w:pPr>
      <w:r w:rsidRPr="00723F95">
        <w:rPr>
          <w:rFonts w:ascii="Arial Narrow" w:hAnsi="Arial Narrow"/>
          <w:b/>
        </w:rPr>
        <w:t>13.</w:t>
      </w:r>
      <w:r w:rsidRPr="00723F95">
        <w:rPr>
          <w:rFonts w:ascii="Arial Narrow" w:hAnsi="Arial Narrow"/>
        </w:rPr>
        <w:t xml:space="preserve">  </w:t>
      </w:r>
      <w:r w:rsidRPr="00723F95">
        <w:rPr>
          <w:rFonts w:ascii="Arial Narrow" w:hAnsi="Arial Narrow"/>
          <w:b/>
        </w:rPr>
        <w:t>Rozhlasová a televízna spoločnosť, s.</w:t>
      </w:r>
      <w:r w:rsidR="000004B7">
        <w:rPr>
          <w:rFonts w:ascii="Arial Narrow" w:hAnsi="Arial Narrow"/>
          <w:b/>
        </w:rPr>
        <w:t xml:space="preserve"> </w:t>
      </w:r>
      <w:r w:rsidRPr="00723F95">
        <w:rPr>
          <w:rFonts w:ascii="Arial Narrow" w:hAnsi="Arial Narrow"/>
          <w:b/>
        </w:rPr>
        <w:t>r.</w:t>
      </w:r>
      <w:r w:rsidR="000004B7">
        <w:rPr>
          <w:rFonts w:ascii="Arial Narrow" w:hAnsi="Arial Narrow"/>
          <w:b/>
        </w:rPr>
        <w:t xml:space="preserve"> </w:t>
      </w:r>
      <w:r w:rsidRPr="00723F95">
        <w:rPr>
          <w:rFonts w:ascii="Arial Narrow" w:hAnsi="Arial Narrow"/>
          <w:b/>
        </w:rPr>
        <w:t>o.</w:t>
      </w:r>
    </w:p>
    <w:p w:rsidR="0011731E" w:rsidP="0011731E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11731E" w:rsidP="0011731E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Vývoj príjmovej a výdavkovej časti rozpočtu Rozhlasovej a televíznej spoločnosti (ďalej len „RTVS“) na roky 2011 až 2013 je nasledovný:</w:t>
      </w:r>
    </w:p>
    <w:p w:rsidR="0011731E" w:rsidP="0011731E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4926" w:type="pct"/>
        <w:jc w:val="center"/>
        <w:tblInd w:w="-377" w:type="dxa"/>
        <w:tblCellMar>
          <w:left w:w="70" w:type="dxa"/>
          <w:right w:w="70" w:type="dxa"/>
        </w:tblCellMar>
        <w:tblLook w:val="04A0"/>
      </w:tblPr>
      <w:tblGrid>
        <w:gridCol w:w="3895"/>
        <w:gridCol w:w="913"/>
        <w:gridCol w:w="916"/>
        <w:gridCol w:w="916"/>
        <w:gridCol w:w="916"/>
        <w:gridCol w:w="831"/>
        <w:gridCol w:w="842"/>
      </w:tblGrid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Príjmy RTVS spolu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3 2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4 004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4 016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4 009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▪   úroky z účtov z finančného hospodárenia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▪   transfer od STV a SRo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2 728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3 669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3 609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3 609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▪   vklad do základného imania (FO)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531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293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280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▪  prevod prostriedkov z predch. rokov (FO)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41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127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Výdavky RTVS spolu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3 246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3 832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▪   mzdy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209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282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32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311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▪   odvody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66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109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10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▪   tovary a služby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2 971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3 468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3 580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3 590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Celková bilancia RTVS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172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vylúčenie finančných operácií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-531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-334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-407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-400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111"/>
          <w:jc w:val="center"/>
        </w:trPr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z toho</w:t>
            </w:r>
          </w:p>
        </w:tc>
        <w:tc>
          <w:tcPr>
            <w:tcW w:w="49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i/>
                <w:sz w:val="16"/>
                <w:szCs w:val="16"/>
              </w:rPr>
              <w:t>▪  vylúčenie príjmovýc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h  </w:t>
            </w:r>
            <w:r w:rsidRPr="001F5FDE">
              <w:rPr>
                <w:rFonts w:ascii="Arial Narrow" w:hAnsi="Arial Narrow"/>
                <w:i/>
                <w:sz w:val="16"/>
                <w:szCs w:val="16"/>
              </w:rPr>
              <w:t>FO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-531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-334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-407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-400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F5FD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ostatné úpravy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-199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376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</w:tr>
      <w:tr>
        <w:tblPrEx>
          <w:tblW w:w="4926" w:type="pct"/>
          <w:jc w:val="center"/>
          <w:tblInd w:w="-377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2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Prebytok / schodok RTVS  (ESA 95)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-717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214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-407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</w:tbl>
    <w:p w:rsidR="0011731E" w:rsidP="0011731E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11731E" w:rsidP="0011731E">
      <w:pPr>
        <w:autoSpaceDE w:val="0"/>
        <w:autoSpaceDN w:val="0"/>
        <w:bidi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Príjmová časť rozpočtu je tvorená najmä transferom od ostatných subjektov verejnej správy, a to transferom od STV vo výške 1,81 mil. eur, rovnako aj transferom od SRo vo výške 1,81 mil. eur na rok 2011. Výška transferu je daná zákonom č. 68/2008 Z. z</w:t>
      </w:r>
      <w:r w:rsidRPr="00C52C24">
        <w:rPr>
          <w:rFonts w:ascii="Arial Narrow" w:hAnsi="Arial Narrow"/>
          <w:sz w:val="22"/>
          <w:szCs w:val="22"/>
        </w:rPr>
        <w:t xml:space="preserve">. </w:t>
      </w:r>
      <w:r w:rsidRPr="00C52C24">
        <w:rPr>
          <w:rFonts w:ascii="Arial Narrow" w:hAnsi="Arial Narrow" w:cs="Arial"/>
          <w:bCs/>
          <w:sz w:val="22"/>
          <w:szCs w:val="22"/>
        </w:rPr>
        <w:t>o úhrade za služby verejnosti poskytované Slovenskou televíziou a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Pr="00C52C24">
        <w:rPr>
          <w:rFonts w:ascii="Arial Narrow" w:hAnsi="Arial Narrow" w:cs="Arial"/>
          <w:bCs/>
          <w:sz w:val="22"/>
          <w:szCs w:val="22"/>
        </w:rPr>
        <w:t>Slovenským rozhlasom a o zmene a doplnení niektorých zákonov</w:t>
      </w:r>
      <w:r>
        <w:rPr>
          <w:rFonts w:ascii="Arial Narrow" w:hAnsi="Arial Narrow"/>
          <w:sz w:val="22"/>
          <w:szCs w:val="22"/>
        </w:rPr>
        <w:t>.</w:t>
      </w:r>
    </w:p>
    <w:p w:rsidR="0011731E" w:rsidP="0011731E">
      <w:pPr>
        <w:autoSpaceDE w:val="0"/>
        <w:autoSpaceDN w:val="0"/>
        <w:bidi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11731E" w:rsidP="0011731E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Výdavková časť rozpočtu je tvorená výdavkami na mzdy, odvody, tovary a služby. Spoločnosť vznikla </w:t>
      </w:r>
      <w:r w:rsidRPr="00D8656E">
        <w:rPr>
          <w:rFonts w:ascii="Arial Narrow" w:hAnsi="Arial Narrow"/>
          <w:sz w:val="22"/>
          <w:szCs w:val="22"/>
        </w:rPr>
        <w:t>v apríli</w:t>
      </w:r>
      <w:r>
        <w:rPr>
          <w:rFonts w:ascii="Arial Narrow" w:hAnsi="Arial Narrow"/>
          <w:sz w:val="22"/>
          <w:szCs w:val="22"/>
        </w:rPr>
        <w:t xml:space="preserve"> roku 2008 ako vyberateľ úhrady za službu verejnosti poskytovanú STV a SRo na základe vyššie spomínaného zákona. Náklady súvisiace s výberom a vymáhaním úhrad podľa tohto zákona uhrádza STV a SRo rovným dielom z príjmov z úhrad a pokút, najviac však do sumy 4 % z príjmov z úhrad a pokút. </w:t>
      </w:r>
    </w:p>
    <w:p w:rsidR="0011731E" w:rsidP="0011731E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1731E" w:rsidRPr="00B776FC" w:rsidP="0011731E">
      <w:pPr>
        <w:bidi w:val="0"/>
        <w:jc w:val="both"/>
        <w:rPr>
          <w:rFonts w:ascii="Arial Narrow" w:eastAsia="Calibri" w:hAnsi="Arial Narrow" w:cs="Helv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776FC">
        <w:rPr>
          <w:rFonts w:ascii="Arial Narrow" w:hAnsi="Arial Narrow"/>
          <w:sz w:val="22"/>
          <w:szCs w:val="22"/>
        </w:rPr>
        <w:t xml:space="preserve">V nadväznosti na Programové vyhlásenie vlády SR </w:t>
      </w:r>
      <w:r>
        <w:rPr>
          <w:rFonts w:ascii="Arial Narrow" w:hAnsi="Arial Narrow"/>
          <w:sz w:val="22"/>
          <w:szCs w:val="22"/>
        </w:rPr>
        <w:t>sa pripravuje</w:t>
      </w:r>
      <w:r w:rsidRPr="00B776FC">
        <w:rPr>
          <w:rFonts w:ascii="Arial Narrow" w:eastAsia="Calibri" w:hAnsi="Arial Narrow" w:cs="Helv"/>
          <w:color w:val="000000"/>
          <w:sz w:val="22"/>
          <w:szCs w:val="22"/>
        </w:rPr>
        <w:t> 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vykonanie legislatí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vnych ú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prav, k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toré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by zabezpeč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ili financovanie STV a 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SRo tak, aby poplatky za služ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by verejnosti poskytované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STV a SRo neboli vyberané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a 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boli nahradené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iba transferom zo š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tá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tneho rozpoč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tu. 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Vzhľ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adom na č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asovú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ná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roč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nosť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zavedenia legislatí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vnej zmeny sa predpokladá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úč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innosť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zá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kona až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 od 1. j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>anuá</w:t>
      </w:r>
      <w:r w:rsidRPr="00B776FC">
        <w:rPr>
          <w:rFonts w:ascii="Arial Narrow" w:eastAsia="Calibri" w:hAnsi="Arial Narrow" w:cs="Helv" w:hint="default"/>
          <w:color w:val="000000"/>
          <w:sz w:val="22"/>
          <w:szCs w:val="22"/>
        </w:rPr>
        <w:t xml:space="preserve">ra 2012, preto 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rozpoč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et RTVS na roky 2012 a </w:t>
      </w:r>
      <w:r>
        <w:rPr>
          <w:rFonts w:ascii="Arial Narrow" w:eastAsia="Calibri" w:hAnsi="Arial Narrow" w:cs="Helv" w:hint="default"/>
          <w:color w:val="000000"/>
          <w:sz w:val="22"/>
          <w:szCs w:val="22"/>
        </w:rPr>
        <w:t>2013 je nulový.</w:t>
      </w: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P="0011731E">
      <w:pPr>
        <w:bidi w:val="0"/>
        <w:jc w:val="both"/>
        <w:rPr>
          <w:rFonts w:ascii="Arial Narrow" w:hAnsi="Arial Narrow"/>
        </w:rPr>
      </w:pPr>
    </w:p>
    <w:p w:rsidR="0011731E" w:rsidRPr="00BC60D1" w:rsidP="0011731E">
      <w:pPr>
        <w:bidi w:val="0"/>
        <w:jc w:val="both"/>
        <w:rPr>
          <w:rFonts w:ascii="Arial Narrow" w:hAnsi="Arial Narrow"/>
        </w:rPr>
      </w:pPr>
    </w:p>
    <w:p w:rsidR="0011731E" w:rsidRPr="00BC60D1" w:rsidP="0011731E">
      <w:pPr>
        <w:bidi w:val="0"/>
        <w:jc w:val="both"/>
        <w:rPr>
          <w:rFonts w:ascii="Arial Narrow" w:hAnsi="Arial Narrow"/>
        </w:rPr>
      </w:pPr>
      <w:r w:rsidRPr="00BC60D1">
        <w:rPr>
          <w:rFonts w:ascii="Arial Narrow" w:hAnsi="Arial Narrow"/>
          <w:b/>
        </w:rPr>
        <w:t>14. Tlačová agentúra SR</w:t>
      </w:r>
    </w:p>
    <w:p w:rsidR="0011731E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1731E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6E29FC">
        <w:rPr>
          <w:rFonts w:ascii="Arial Narrow" w:hAnsi="Arial Narrow" w:cs="Arial"/>
          <w:sz w:val="22"/>
          <w:szCs w:val="22"/>
        </w:rPr>
        <w:t>Tlačová agentúra SR (ďalej len „TASR“) zmenila formu hospodárenia od 1. januára 2009 z príspevkovej organizácie mimo sektora verejnej správy rezo</w:t>
      </w:r>
      <w:r w:rsidR="000004B7">
        <w:rPr>
          <w:rFonts w:ascii="Arial Narrow" w:hAnsi="Arial Narrow" w:cs="Arial"/>
          <w:sz w:val="22"/>
          <w:szCs w:val="22"/>
        </w:rPr>
        <w:t>rtu MK</w:t>
      </w:r>
      <w:r w:rsidR="000C3FFC">
        <w:rPr>
          <w:rFonts w:ascii="Arial Narrow" w:hAnsi="Arial Narrow" w:cs="Arial"/>
          <w:sz w:val="22"/>
          <w:szCs w:val="22"/>
        </w:rPr>
        <w:t>CR</w:t>
      </w:r>
      <w:r w:rsidR="000004B7">
        <w:rPr>
          <w:rFonts w:ascii="Arial Narrow" w:hAnsi="Arial Narrow" w:cs="Arial"/>
          <w:sz w:val="22"/>
          <w:szCs w:val="22"/>
        </w:rPr>
        <w:t xml:space="preserve"> SR na samostatnú verejno</w:t>
      </w:r>
      <w:r w:rsidRPr="006E29FC">
        <w:rPr>
          <w:rFonts w:ascii="Arial Narrow" w:hAnsi="Arial Narrow" w:cs="Arial"/>
          <w:sz w:val="22"/>
          <w:szCs w:val="22"/>
        </w:rPr>
        <w:t xml:space="preserve">právnu inštitúciu. </w:t>
      </w:r>
    </w:p>
    <w:p w:rsidR="0011731E" w:rsidP="0011731E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9137" w:type="dxa"/>
        <w:jc w:val="center"/>
        <w:tblInd w:w="-596" w:type="dxa"/>
        <w:tblCellMar>
          <w:left w:w="70" w:type="dxa"/>
          <w:right w:w="70" w:type="dxa"/>
        </w:tblCellMar>
        <w:tblLook w:val="04A0"/>
      </w:tblPr>
      <w:tblGrid>
        <w:gridCol w:w="4151"/>
        <w:gridCol w:w="906"/>
        <w:gridCol w:w="840"/>
        <w:gridCol w:w="883"/>
        <w:gridCol w:w="779"/>
        <w:gridCol w:w="758"/>
        <w:gridCol w:w="820"/>
      </w:tblGrid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sz w:val="16"/>
                <w:szCs w:val="16"/>
              </w:rPr>
              <w:t>(v tis. eur)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Príjmy spolu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4 226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4 619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4 386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3 498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2 599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2 69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▪   daňové príjmy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3F451A" w:rsidP="00705E13">
            <w:pPr>
              <w:bidi w:val="0"/>
              <w:jc w:val="right"/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3F451A">
              <w:rPr>
                <w:rFonts w:ascii="Arial Narrow" w:hAnsi="Arial Narrow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3F451A" w:rsidP="00705E13">
            <w:pPr>
              <w:bidi w:val="0"/>
              <w:jc w:val="right"/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3F451A">
              <w:rPr>
                <w:rFonts w:ascii="Arial Narrow" w:hAnsi="Arial Narrow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3F451A" w:rsidP="00705E13">
            <w:pPr>
              <w:bidi w:val="0"/>
              <w:jc w:val="right"/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3F451A">
              <w:rPr>
                <w:rFonts w:ascii="Arial Narrow" w:hAnsi="Arial Narrow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3F451A" w:rsidP="00705E13">
            <w:pPr>
              <w:bidi w:val="0"/>
              <w:jc w:val="right"/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3F451A">
              <w:rPr>
                <w:rFonts w:ascii="Arial Narrow" w:hAnsi="Arial Narrow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3F451A" w:rsidP="00705E13">
            <w:pPr>
              <w:bidi w:val="0"/>
              <w:jc w:val="right"/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3F451A">
              <w:rPr>
                <w:rFonts w:ascii="Arial Narrow" w:hAnsi="Arial Narrow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3F451A" w:rsidP="00705E13">
            <w:pPr>
              <w:bidi w:val="0"/>
              <w:jc w:val="right"/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3F451A">
              <w:rPr>
                <w:rFonts w:ascii="Arial Narrow" w:hAnsi="Arial Narrow"/>
                <w:bCs/>
                <w:iCs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▪   nedaňové príjmy, z toho: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1 619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2 276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2 446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2 547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2 638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  príjmy z podnikania a z vlastníctva majetku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  admini</w:t>
            </w:r>
            <w:r>
              <w:rPr>
                <w:rFonts w:ascii="Arial Narrow" w:hAnsi="Arial Narrow"/>
                <w:sz w:val="16"/>
                <w:szCs w:val="16"/>
              </w:rPr>
              <w:t>stratívne a iné poplatky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1 563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2 247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2 4</w:t>
            </w: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2 527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2 628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  kapitálové príjmy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  ostatné nedaňové príjmy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▪   granty a transfery, z toho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2 326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2 105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1 886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  tuzemské bežné transfery a granty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2 127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1 809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1 886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ind w:firstLine="320" w:firstLineChars="20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zo štátneho rozpočtu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2 127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1 886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ind w:firstLine="320" w:firstLineChars="20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zo štátneho účelového fondu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1 804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ind w:firstLine="320" w:firstLineChars="20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zo štátneho rozpočtu-kapitálový transfer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ind w:firstLine="320" w:firstLineChars="20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 z prostriedkov EU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296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▪   prevod prostriedkov z predch. </w:t>
            </w:r>
            <w:r>
              <w:rPr>
                <w:rFonts w:ascii="Arial Narrow" w:hAnsi="Arial Narrow"/>
                <w:sz w:val="16"/>
                <w:szCs w:val="16"/>
              </w:rPr>
              <w:t>r</w:t>
            </w:r>
            <w:r w:rsidRPr="00E74849">
              <w:rPr>
                <w:rFonts w:ascii="Arial Narrow" w:hAnsi="Arial Narrow"/>
                <w:sz w:val="16"/>
                <w:szCs w:val="16"/>
              </w:rPr>
              <w:t>okov</w:t>
            </w:r>
            <w:r>
              <w:rPr>
                <w:rFonts w:ascii="Arial Narrow" w:hAnsi="Arial Narrow"/>
                <w:sz w:val="16"/>
                <w:szCs w:val="16"/>
              </w:rPr>
              <w:t xml:space="preserve"> (FO)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52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Výdavky spolu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3 988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4 379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4 334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3 446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2 547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2 63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▪   bežné výdavky, z toho: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3 766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3 89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4 25</w:t>
            </w: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3 391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2 507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2 598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ind w:firstLine="160" w:firstLineChars="10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mzdy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1 689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1 723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1 788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1 466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1 064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1 081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ind w:firstLine="160" w:firstLineChars="10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odvody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615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370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ind w:firstLine="160" w:firstLineChars="10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tovary a služby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1 488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1 554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1 778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1 415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1 074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1 142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ind w:firstLine="160" w:firstLineChars="10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  bežné transfery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77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▪   kapitálové výdavky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222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483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77,00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40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Celkový prebytok/schodok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238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240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52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v</w:t>
            </w: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ylúčenie finančných operácií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-281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-238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-52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 xml:space="preserve">    ▪   vylúčenie príjmových</w:t>
            </w:r>
            <w:r>
              <w:rPr>
                <w:rFonts w:ascii="Arial Narrow" w:hAnsi="Arial Narrow"/>
                <w:sz w:val="16"/>
                <w:szCs w:val="16"/>
              </w:rPr>
              <w:t xml:space="preserve"> FO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-281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-238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-240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-52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-52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74849">
              <w:rPr>
                <w:rFonts w:ascii="Arial Narrow" w:hAnsi="Arial Narrow"/>
                <w:sz w:val="16"/>
                <w:szCs w:val="16"/>
              </w:rPr>
              <w:t>-52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01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ostatné úpravy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-399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</w:tr>
      <w:tr>
        <w:tblPrEx>
          <w:tblW w:w="9137" w:type="dxa"/>
          <w:jc w:val="center"/>
          <w:tblInd w:w="-596" w:type="dxa"/>
          <w:tblCellMar>
            <w:left w:w="70" w:type="dxa"/>
            <w:right w:w="70" w:type="dxa"/>
          </w:tblCellMar>
          <w:tblLook w:val="04A0"/>
        </w:tblPrEx>
        <w:trPr>
          <w:trHeight w:val="316"/>
          <w:jc w:val="center"/>
        </w:trPr>
        <w:tc>
          <w:tcPr>
            <w:tcW w:w="41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Prebytok / schodok úradu   (ESA 95)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-397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-188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E74849" w:rsidP="00705E13">
            <w:pPr>
              <w:bidi w:val="0"/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7484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</w:tbl>
    <w:p w:rsidR="0011731E" w:rsidP="0011731E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11731E" w:rsidRPr="006E29FC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6E29FC">
        <w:rPr>
          <w:rFonts w:ascii="Arial Narrow" w:hAnsi="Arial Narrow" w:cs="Arial"/>
          <w:sz w:val="22"/>
          <w:szCs w:val="22"/>
        </w:rPr>
        <w:t>Príjmová časť rozpočtu je tvorená najmä príjmami z administratívnych poplatkov (predaj spravodajského servisu), ktorých výška tvorí 69,5</w:t>
      </w:r>
      <w:r w:rsidR="000004B7">
        <w:rPr>
          <w:rFonts w:ascii="Arial Narrow" w:hAnsi="Arial Narrow" w:cs="Arial"/>
          <w:sz w:val="22"/>
          <w:szCs w:val="22"/>
        </w:rPr>
        <w:t xml:space="preserve"> </w:t>
      </w:r>
      <w:r w:rsidRPr="006E29FC">
        <w:rPr>
          <w:rFonts w:ascii="Arial Narrow" w:hAnsi="Arial Narrow" w:cs="Arial"/>
          <w:sz w:val="22"/>
          <w:szCs w:val="22"/>
        </w:rPr>
        <w:t xml:space="preserve">% z celkových príjmov v roku 2011 a transferom zo štátneho rozpočtu z Ministerstva kultúry </w:t>
      </w:r>
      <w:r>
        <w:rPr>
          <w:rFonts w:ascii="Arial Narrow" w:hAnsi="Arial Narrow" w:cs="Arial"/>
          <w:sz w:val="22"/>
          <w:szCs w:val="22"/>
        </w:rPr>
        <w:t xml:space="preserve">a cestovného ruchu </w:t>
      </w:r>
      <w:r w:rsidRPr="006E29FC">
        <w:rPr>
          <w:rFonts w:ascii="Arial Narrow" w:hAnsi="Arial Narrow" w:cs="Arial"/>
          <w:sz w:val="22"/>
          <w:szCs w:val="22"/>
        </w:rPr>
        <w:t xml:space="preserve">SR, ktorého výška predstavuje 28,6 % z celkových príjmov v roku 2011. </w:t>
      </w:r>
    </w:p>
    <w:p w:rsidR="0011731E" w:rsidRPr="006E29FC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1731E" w:rsidRPr="006E29FC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6E29FC">
        <w:rPr>
          <w:rFonts w:ascii="Arial Narrow" w:hAnsi="Arial Narrow" w:cs="Arial"/>
          <w:sz w:val="22"/>
          <w:szCs w:val="22"/>
        </w:rPr>
        <w:t>Rozpočet celkových príjmov tlačovej agentúry SR na rok 2011 predstavuje 3,50 mil. eur a medziročne v porovnaní s očakávanou skutočnosťou v roku 2010 klesá o 20,2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E29FC">
        <w:rPr>
          <w:rFonts w:ascii="Arial Narrow" w:hAnsi="Arial Narrow" w:cs="Arial"/>
          <w:sz w:val="22"/>
          <w:szCs w:val="22"/>
        </w:rPr>
        <w:t>%. Jeho úroveň ovplyvňuje najmä predpok</w:t>
      </w:r>
      <w:r>
        <w:rPr>
          <w:rFonts w:ascii="Arial Narrow" w:hAnsi="Arial Narrow" w:cs="Arial"/>
          <w:sz w:val="22"/>
          <w:szCs w:val="22"/>
        </w:rPr>
        <w:t>l</w:t>
      </w:r>
      <w:r w:rsidRPr="006E29FC">
        <w:rPr>
          <w:rFonts w:ascii="Arial Narrow" w:hAnsi="Arial Narrow" w:cs="Arial"/>
          <w:sz w:val="22"/>
          <w:szCs w:val="22"/>
        </w:rPr>
        <w:t>adané zvýšenie príjmov agentúry za predaj služieb o 7,98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E29FC">
        <w:rPr>
          <w:rFonts w:ascii="Arial Narrow" w:hAnsi="Arial Narrow" w:cs="Arial"/>
          <w:sz w:val="22"/>
          <w:szCs w:val="22"/>
        </w:rPr>
        <w:t>% a zníženie transferu zo štátneho rozpočtu o 47,0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E29FC">
        <w:rPr>
          <w:rFonts w:ascii="Arial Narrow" w:hAnsi="Arial Narrow" w:cs="Arial"/>
          <w:sz w:val="22"/>
          <w:szCs w:val="22"/>
        </w:rPr>
        <w:t>%.</w:t>
      </w:r>
    </w:p>
    <w:p w:rsidR="0011731E" w:rsidRPr="006E29FC" w:rsidP="0011731E">
      <w:pPr>
        <w:autoSpaceDE w:val="0"/>
        <w:autoSpaceDN w:val="0"/>
        <w:bidi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11731E" w:rsidRPr="006E29FC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6E29FC">
        <w:rPr>
          <w:rFonts w:ascii="Arial Narrow" w:hAnsi="Arial Narrow" w:cs="Arial"/>
          <w:sz w:val="22"/>
          <w:szCs w:val="22"/>
        </w:rPr>
        <w:t>Výdavková časť rozpočtu TASR odzrkadľuje v celkovej výške príjmovú časť rozpočtu.</w:t>
      </w:r>
      <w:r>
        <w:rPr>
          <w:rFonts w:ascii="Arial Narrow" w:hAnsi="Arial Narrow" w:cs="Arial"/>
          <w:sz w:val="22"/>
          <w:szCs w:val="22"/>
        </w:rPr>
        <w:t xml:space="preserve"> Celkové výdavky klesajú v porovnaní s očakávanou skutočnosťou roku 2010 o 20,5 %. Na poklese bežných výdavkov o 20,3 % sa podieľajú mzdy znížením ich rozpočtovanej úrovne oproti očakávanej skutočnosti roku 2010 o18,0 %, výdavky na poistné klesajú o 18,4</w:t>
      </w:r>
      <w:r w:rsidR="000004B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% a výdavky na tovary služby klesajú o 20,4 %. Pokles sa premieta i v rozpočtovanej úrovni transferov</w:t>
      </w:r>
      <w:r w:rsidR="000004B7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a to o 90,0</w:t>
      </w:r>
      <w:r w:rsidR="000004B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% v porovnaní s očakávanou skutočnosťou roku 2010.</w:t>
      </w:r>
    </w:p>
    <w:p w:rsidR="0011731E" w:rsidRPr="006E29FC" w:rsidP="0011731E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1731E" w:rsidRPr="00BB1FCB" w:rsidP="0011731E">
      <w:pPr>
        <w:pStyle w:val="BodyTextIndent2"/>
        <w:tabs>
          <w:tab w:val="left" w:pos="0"/>
        </w:tabs>
        <w:bidi w:val="0"/>
        <w:spacing w:after="0" w:line="240" w:lineRule="auto"/>
        <w:ind w:left="0" w:firstLine="709"/>
        <w:jc w:val="both"/>
        <w:rPr>
          <w:rFonts w:ascii="Arial Narrow" w:hAnsi="Arial Narrow" w:cs="Arial"/>
          <w:sz w:val="22"/>
          <w:szCs w:val="22"/>
        </w:rPr>
      </w:pPr>
      <w:r w:rsidRPr="00FC5A71">
        <w:rPr>
          <w:rFonts w:ascii="Arial Narrow" w:hAnsi="Arial Narrow" w:cs="Arial"/>
          <w:sz w:val="22"/>
          <w:szCs w:val="22"/>
        </w:rPr>
        <w:t xml:space="preserve">Celkový hotovostný prebytok </w:t>
      </w:r>
      <w:r>
        <w:rPr>
          <w:rFonts w:ascii="Arial Narrow" w:hAnsi="Arial Narrow" w:cs="Arial"/>
          <w:sz w:val="22"/>
          <w:szCs w:val="22"/>
        </w:rPr>
        <w:t xml:space="preserve">TASR </w:t>
      </w:r>
      <w:r w:rsidRPr="00FC5A71">
        <w:rPr>
          <w:rFonts w:ascii="Arial Narrow" w:hAnsi="Arial Narrow" w:cs="Arial"/>
          <w:sz w:val="22"/>
          <w:szCs w:val="22"/>
        </w:rPr>
        <w:t xml:space="preserve">sa v roku 2011 predpokladá vo výške </w:t>
      </w:r>
      <w:r>
        <w:rPr>
          <w:rFonts w:ascii="Arial Narrow" w:hAnsi="Arial Narrow" w:cs="Arial"/>
          <w:sz w:val="22"/>
          <w:szCs w:val="22"/>
        </w:rPr>
        <w:t>52 tis</w:t>
      </w:r>
      <w:r w:rsidRPr="00FC5A71">
        <w:rPr>
          <w:rFonts w:ascii="Arial Narrow" w:hAnsi="Arial Narrow" w:cs="Arial"/>
          <w:sz w:val="22"/>
          <w:szCs w:val="22"/>
        </w:rPr>
        <w:t>. eur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6E29FC">
        <w:rPr>
          <w:rFonts w:ascii="Arial Narrow" w:hAnsi="Arial Narrow" w:cs="Arial"/>
          <w:sz w:val="22"/>
          <w:szCs w:val="22"/>
        </w:rPr>
        <w:t xml:space="preserve">Saldo hospodárenia </w:t>
      </w:r>
      <w:r>
        <w:rPr>
          <w:rFonts w:ascii="Arial Narrow" w:hAnsi="Arial Narrow" w:cs="Arial"/>
          <w:sz w:val="22"/>
          <w:szCs w:val="22"/>
        </w:rPr>
        <w:t xml:space="preserve">vyjadrené v metodike ESA 95 sa </w:t>
      </w:r>
      <w:r w:rsidRPr="006E29FC">
        <w:rPr>
          <w:rFonts w:ascii="Arial Narrow" w:hAnsi="Arial Narrow" w:cs="Arial"/>
          <w:sz w:val="22"/>
          <w:szCs w:val="22"/>
        </w:rPr>
        <w:t>predpokladá vyrovnané.</w:t>
      </w:r>
    </w:p>
    <w:p w:rsidR="0011731E" w:rsidRPr="00BC60D1" w:rsidP="0011731E">
      <w:pPr>
        <w:bidi w:val="0"/>
        <w:jc w:val="both"/>
        <w:rPr>
          <w:rFonts w:ascii="Arial Narrow" w:hAnsi="Arial Narrow"/>
        </w:rPr>
      </w:pPr>
    </w:p>
    <w:p w:rsidR="0011731E" w:rsidRPr="00BC60D1" w:rsidP="0011731E">
      <w:pPr>
        <w:bidi w:val="0"/>
        <w:rPr>
          <w:rFonts w:ascii="Arial Narrow" w:hAnsi="Arial Narrow" w:cs="Arial"/>
          <w:b/>
          <w:bCs/>
        </w:rPr>
      </w:pPr>
      <w:r w:rsidRPr="00BC60D1">
        <w:rPr>
          <w:rFonts w:ascii="Arial Narrow" w:hAnsi="Arial Narrow" w:cs="Arial"/>
          <w:b/>
          <w:bCs/>
        </w:rPr>
        <w:t>15. Úrad pre dohľad nad výkonom auditu</w:t>
      </w:r>
    </w:p>
    <w:p w:rsidR="0011731E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1731E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774616">
        <w:rPr>
          <w:rFonts w:ascii="Arial Narrow" w:hAnsi="Arial Narrow" w:cs="Arial"/>
          <w:sz w:val="22"/>
          <w:szCs w:val="22"/>
        </w:rPr>
        <w:t>Vývoj príjmovej a výdavkovej časti rozpočtu úradu na roky 201</w:t>
      </w:r>
      <w:r>
        <w:rPr>
          <w:rFonts w:ascii="Arial Narrow" w:hAnsi="Arial Narrow" w:cs="Arial"/>
          <w:sz w:val="22"/>
          <w:szCs w:val="22"/>
        </w:rPr>
        <w:t>1</w:t>
      </w:r>
      <w:r w:rsidRPr="00774616">
        <w:rPr>
          <w:rFonts w:ascii="Arial Narrow" w:hAnsi="Arial Narrow" w:cs="Arial"/>
          <w:sz w:val="22"/>
          <w:szCs w:val="22"/>
        </w:rPr>
        <w:t xml:space="preserve"> až 201</w:t>
      </w:r>
      <w:r>
        <w:rPr>
          <w:rFonts w:ascii="Arial Narrow" w:hAnsi="Arial Narrow" w:cs="Arial"/>
          <w:sz w:val="22"/>
          <w:szCs w:val="22"/>
        </w:rPr>
        <w:t>3 j</w:t>
      </w:r>
      <w:r w:rsidRPr="00774616">
        <w:rPr>
          <w:rFonts w:ascii="Arial Narrow" w:hAnsi="Arial Narrow" w:cs="Arial"/>
          <w:sz w:val="22"/>
          <w:szCs w:val="22"/>
        </w:rPr>
        <w:t>e nasle</w:t>
      </w:r>
      <w:r>
        <w:rPr>
          <w:rFonts w:ascii="Arial Narrow" w:hAnsi="Arial Narrow" w:cs="Arial"/>
          <w:sz w:val="22"/>
          <w:szCs w:val="22"/>
        </w:rPr>
        <w:t>dovný:</w:t>
      </w:r>
    </w:p>
    <w:tbl>
      <w:tblPr>
        <w:tblStyle w:val="TableNormal"/>
        <w:tblpPr w:leftFromText="141" w:rightFromText="141" w:vertAnchor="text" w:horzAnchor="margin" w:tblpXSpec="center" w:tblpY="192"/>
        <w:tblW w:w="4895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790"/>
        <w:gridCol w:w="974"/>
        <w:gridCol w:w="926"/>
        <w:gridCol w:w="961"/>
        <w:gridCol w:w="842"/>
        <w:gridCol w:w="842"/>
        <w:gridCol w:w="836"/>
      </w:tblGrid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004B7" w:rsidP="00705E13">
            <w:pPr>
              <w:bidi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004B7" w:rsidR="000004B7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Pr="000004B7">
              <w:rPr>
                <w:rFonts w:ascii="Arial Narrow" w:hAnsi="Arial Narrow" w:cs="Arial"/>
                <w:b/>
                <w:sz w:val="16"/>
                <w:szCs w:val="16"/>
              </w:rPr>
              <w:t>v tis. eur)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sz w:val="16"/>
                <w:szCs w:val="16"/>
              </w:rPr>
              <w:t>2008 S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sz w:val="16"/>
                <w:szCs w:val="16"/>
              </w:rPr>
              <w:t>2009 S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sz w:val="16"/>
                <w:szCs w:val="16"/>
              </w:rPr>
              <w:t>2010 OS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sz w:val="16"/>
                <w:szCs w:val="16"/>
              </w:rPr>
              <w:t>2011 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sz w:val="16"/>
                <w:szCs w:val="16"/>
              </w:rPr>
              <w:t>2012 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sz w:val="16"/>
                <w:szCs w:val="16"/>
              </w:rPr>
              <w:t>2013 N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Príjmy UDVA spolu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69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1 0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1 070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987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817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▪   nedaňové príjmy, z toho: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44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47</w:t>
            </w: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461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         administratívne a iné poplatky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5</w:t>
            </w: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38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         ostatné nedaňové príjmy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412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▪   granty a transfery, z toho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249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268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ind w:firstLine="320" w:firstLineChars="20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       zo štátneho rozpočtu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249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268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▪    prevod prostriedkov z predchádzajúcich rokov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(FO)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347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184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Výdavky UDVA spolu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398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710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80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803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803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▪   bežné výdavky, z toho: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305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80</w:t>
            </w: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799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799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799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      mzdy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14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32</w:t>
            </w: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439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481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481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481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      odvody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</w:tcPr>
          <w:p w:rsidR="0011731E" w:rsidRPr="00070B27" w:rsidP="00705E13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      tovary a služby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13</w:t>
            </w: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</w:rPr>
              <w:t>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224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▪   kapitálové výdavky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9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</w:rPr>
              <w:t>18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▪   výdavky z transakcií s fin. akt. a pas., z toho: (FO)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BD1BCA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D1BCA">
              <w:rPr>
                <w:rFonts w:ascii="Arial Narrow" w:hAnsi="Arial Narrow" w:cs="Arial"/>
                <w:sz w:val="16"/>
                <w:szCs w:val="16"/>
              </w:rPr>
              <w:t> 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BD1BCA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D1BCA"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BD1BCA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D1BCA">
              <w:rPr>
                <w:rFonts w:ascii="Arial Narrow" w:hAnsi="Arial Narrow" w:cs="Arial"/>
                <w:sz w:val="16"/>
                <w:szCs w:val="16"/>
              </w:rPr>
              <w:t> 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BD1BCA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D1BCA">
              <w:rPr>
                <w:rFonts w:ascii="Arial Narrow" w:hAnsi="Arial Narrow" w:cs="Arial"/>
                <w:sz w:val="16"/>
                <w:szCs w:val="16"/>
              </w:rPr>
              <w:t> 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BD1BCA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D1BCA">
              <w:rPr>
                <w:rFonts w:ascii="Arial Narrow" w:hAnsi="Arial Narrow" w:cs="Arial"/>
                <w:sz w:val="16"/>
                <w:szCs w:val="16"/>
              </w:rPr>
              <w:t> 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BD1BCA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BD1BCA">
              <w:rPr>
                <w:rFonts w:ascii="Arial Narrow" w:hAnsi="Arial Narrow" w:cs="Arial"/>
                <w:sz w:val="16"/>
                <w:szCs w:val="16"/>
              </w:rPr>
              <w:t> 0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Celkový prebytok UDVA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292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269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184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-295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</w:t>
            </w: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347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269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99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    ▪   vylúčenie príjmových </w:t>
            </w:r>
            <w:r>
              <w:rPr>
                <w:rFonts w:ascii="Arial Narrow" w:hAnsi="Arial Narrow" w:cs="Arial"/>
                <w:sz w:val="16"/>
                <w:szCs w:val="16"/>
              </w:rPr>
              <w:t>FO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-317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070B27">
              <w:rPr>
                <w:rFonts w:ascii="Arial Narrow" w:hAnsi="Arial Narrow" w:cs="Arial"/>
                <w:sz w:val="16"/>
                <w:szCs w:val="16"/>
              </w:rPr>
              <w:t>347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269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184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 xml:space="preserve">    ▪   vylúčenie výdavkových </w:t>
            </w:r>
            <w:r>
              <w:rPr>
                <w:rFonts w:ascii="Arial Narrow" w:hAnsi="Arial Narrow" w:cs="Arial"/>
                <w:sz w:val="16"/>
                <w:szCs w:val="16"/>
              </w:rPr>
              <w:t>FO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F5FDE" w:rsidP="00705E13">
            <w:pPr>
              <w:bidi w:val="0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F5FDE">
              <w:rPr>
                <w:rFonts w:ascii="Arial Narrow" w:hAnsi="Arial Narrow"/>
                <w:b/>
                <w:i/>
                <w:sz w:val="16"/>
                <w:szCs w:val="16"/>
              </w:rPr>
              <w:t>ostatné úpravy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-66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F5FDE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A5D85" w:rsidP="00705E13">
            <w:pPr>
              <w:bidi w:val="0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0A5D85">
              <w:rPr>
                <w:rFonts w:ascii="Arial Narrow" w:hAnsi="Arial Narrow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A5D85" w:rsidP="00705E13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0A5D85">
              <w:rPr>
                <w:rFonts w:ascii="Arial Narrow" w:hAnsi="Arial Narrow" w:cs="Arial"/>
                <w:b/>
                <w:i/>
                <w:sz w:val="16"/>
                <w:szCs w:val="16"/>
              </w:rPr>
              <w:t> 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0A5D85" w:rsidP="00705E13">
            <w:pPr>
              <w:bidi w:val="0"/>
              <w:jc w:val="right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0A5D85">
              <w:rPr>
                <w:rFonts w:ascii="Arial Narrow" w:hAnsi="Arial Narrow" w:cs="Arial"/>
                <w:b/>
                <w:i/>
                <w:sz w:val="16"/>
                <w:szCs w:val="16"/>
              </w:rPr>
              <w:t> 0</w:t>
            </w:r>
          </w:p>
        </w:tc>
      </w:tr>
      <w:tr>
        <w:tblPrEx>
          <w:tblW w:w="4895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Prebytok 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/ schodok </w:t>
            </w: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UDVA (ESA 95)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226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-7</w:t>
            </w: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070B27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070B2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-85</w:t>
            </w:r>
          </w:p>
        </w:tc>
      </w:tr>
    </w:tbl>
    <w:p w:rsidR="0011731E" w:rsidP="0011731E">
      <w:pPr>
        <w:bidi w:val="0"/>
        <w:ind w:firstLine="708"/>
        <w:jc w:val="both"/>
        <w:rPr>
          <w:rFonts w:ascii="Arial Narrow" w:hAnsi="Arial Narrow" w:cs="Arial"/>
          <w:b/>
          <w:bCs/>
        </w:rPr>
      </w:pPr>
    </w:p>
    <w:p w:rsidR="0011731E" w:rsidRPr="00246A7B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246A7B">
        <w:rPr>
          <w:rFonts w:ascii="Arial Narrow" w:hAnsi="Arial Narrow" w:cs="Arial"/>
          <w:sz w:val="22"/>
          <w:szCs w:val="22"/>
        </w:rPr>
        <w:t xml:space="preserve">Úrad </w:t>
      </w:r>
      <w:r>
        <w:rPr>
          <w:rFonts w:ascii="Arial Narrow" w:hAnsi="Arial Narrow" w:cs="Arial"/>
          <w:sz w:val="22"/>
          <w:szCs w:val="22"/>
        </w:rPr>
        <w:t xml:space="preserve">pre dohľad nad výkonom auditu (ďalej len „Úrad“) </w:t>
      </w:r>
      <w:r w:rsidRPr="00246A7B">
        <w:rPr>
          <w:rFonts w:ascii="Arial Narrow" w:hAnsi="Arial Narrow" w:cs="Arial"/>
          <w:sz w:val="22"/>
          <w:szCs w:val="22"/>
        </w:rPr>
        <w:t>je verejnopráv</w:t>
      </w:r>
      <w:r>
        <w:rPr>
          <w:rFonts w:ascii="Arial Narrow" w:hAnsi="Arial Narrow" w:cs="Arial"/>
          <w:sz w:val="22"/>
          <w:szCs w:val="22"/>
        </w:rPr>
        <w:t>na inštitúcia a je klasifikovaný ako subjekt ústrednej štátnej správy</w:t>
      </w:r>
      <w:r w:rsidRPr="00246A7B">
        <w:rPr>
          <w:rFonts w:ascii="Arial Narrow" w:hAnsi="Arial Narrow" w:cs="Arial"/>
          <w:sz w:val="22"/>
          <w:szCs w:val="22"/>
        </w:rPr>
        <w:t>. Pri zo</w:t>
      </w:r>
      <w:r>
        <w:rPr>
          <w:rFonts w:ascii="Arial Narrow" w:hAnsi="Arial Narrow" w:cs="Arial"/>
          <w:sz w:val="22"/>
          <w:szCs w:val="22"/>
        </w:rPr>
        <w:t>stavovaní rozpočtu Úradu sa vychádza hlavne zo z</w:t>
      </w:r>
      <w:r w:rsidRPr="00246A7B">
        <w:rPr>
          <w:rFonts w:ascii="Arial Narrow" w:hAnsi="Arial Narrow" w:cs="Arial"/>
          <w:sz w:val="22"/>
          <w:szCs w:val="22"/>
        </w:rPr>
        <w:t>ákona č. 540/2007 Z. z. o audítoroch, audite a dohľade nad výkonom auditu a o zmene a doplnení zákona č. 431/2002 Z. z o účtovníctve v znení nesko</w:t>
      </w:r>
      <w:r>
        <w:rPr>
          <w:rFonts w:ascii="Arial Narrow" w:hAnsi="Arial Narrow" w:cs="Arial"/>
          <w:sz w:val="22"/>
          <w:szCs w:val="22"/>
        </w:rPr>
        <w:t>rších predpisov (ďalej len „zákon“). V súlade s týmto zákonom Ú</w:t>
      </w:r>
      <w:r w:rsidRPr="00246A7B">
        <w:rPr>
          <w:rFonts w:ascii="Arial Narrow" w:hAnsi="Arial Narrow" w:cs="Arial"/>
          <w:sz w:val="22"/>
          <w:szCs w:val="22"/>
        </w:rPr>
        <w:t>rad zostavuje rozpočet výnosov a nákladov na príslušný rozpočtový rok. V rozpočte Úradu sa osobitne rozpočtujú náklady na činnosť Rady, správy Úradu, Dozorného výboru a jednotlivých výborov.</w:t>
      </w:r>
    </w:p>
    <w:p w:rsidR="0011731E" w:rsidRPr="00246A7B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1731E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Hlavnými cieľmi</w:t>
      </w:r>
      <w:r w:rsidRPr="00AD1C6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a činnosťami</w:t>
      </w:r>
      <w:r w:rsidRPr="00AD1C62">
        <w:rPr>
          <w:rFonts w:ascii="Arial Narrow" w:hAnsi="Arial Narrow" w:cs="Arial"/>
          <w:sz w:val="22"/>
          <w:szCs w:val="22"/>
        </w:rPr>
        <w:t xml:space="preserve"> Úradu</w:t>
      </w:r>
      <w:r w:rsidRPr="009E63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je p</w:t>
      </w:r>
      <w:r w:rsidR="000004B7">
        <w:rPr>
          <w:rFonts w:ascii="Arial Narrow" w:hAnsi="Arial Narrow" w:cs="Arial"/>
          <w:sz w:val="22"/>
          <w:szCs w:val="22"/>
        </w:rPr>
        <w:t>rispievať k</w:t>
      </w:r>
      <w:r w:rsidRPr="00246A7B">
        <w:rPr>
          <w:rFonts w:ascii="Arial Narrow" w:hAnsi="Arial Narrow" w:cs="Arial"/>
          <w:sz w:val="22"/>
          <w:szCs w:val="22"/>
        </w:rPr>
        <w:t xml:space="preserve"> zvyšovaniu dôvery investorov a širokej verejnosti v audit účtovných závierok a v audit súladu výročných správ s účtovnými závierkami</w:t>
      </w:r>
      <w:r>
        <w:rPr>
          <w:rFonts w:ascii="Arial Narrow" w:hAnsi="Arial Narrow" w:cs="Arial"/>
          <w:sz w:val="22"/>
          <w:szCs w:val="22"/>
        </w:rPr>
        <w:t>, v</w:t>
      </w:r>
      <w:r w:rsidRPr="00246A7B">
        <w:rPr>
          <w:rFonts w:ascii="Arial Narrow" w:hAnsi="Arial Narrow" w:cs="Arial"/>
          <w:sz w:val="22"/>
          <w:szCs w:val="22"/>
        </w:rPr>
        <w:t>ytvoriť efektívny systém verejného dohľadu nad výkonom auditu, pričom dohliadanými subjektmi sú Slovenská komora audítorov, audítori a audítorské spoločnosti</w:t>
      </w:r>
      <w:r>
        <w:rPr>
          <w:rFonts w:ascii="Arial Narrow" w:hAnsi="Arial Narrow" w:cs="Arial"/>
          <w:sz w:val="22"/>
          <w:szCs w:val="22"/>
        </w:rPr>
        <w:t>, v</w:t>
      </w:r>
      <w:r w:rsidRPr="00246A7B">
        <w:rPr>
          <w:rFonts w:ascii="Arial Narrow" w:hAnsi="Arial Narrow" w:cs="Arial"/>
          <w:sz w:val="22"/>
          <w:szCs w:val="22"/>
        </w:rPr>
        <w:t>ykonávať tento dohľad nestranne a nezávisle od štátnych orgánov, orgánov územnej samosprávy, iných orgánov verejnej moci a od ďalších právnických alebo fyzických osôb</w:t>
      </w:r>
      <w:r>
        <w:rPr>
          <w:rFonts w:ascii="Arial Narrow" w:hAnsi="Arial Narrow" w:cs="Arial"/>
          <w:sz w:val="22"/>
          <w:szCs w:val="22"/>
        </w:rPr>
        <w:t>, s</w:t>
      </w:r>
      <w:r w:rsidRPr="00246A7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</w:t>
      </w:r>
      <w:r w:rsidRPr="00246A7B">
        <w:rPr>
          <w:rFonts w:ascii="Arial Narrow" w:hAnsi="Arial Narrow" w:cs="Arial"/>
          <w:sz w:val="22"/>
          <w:szCs w:val="22"/>
        </w:rPr>
        <w:t>sobitný</w:t>
      </w:r>
      <w:r>
        <w:rPr>
          <w:rFonts w:ascii="Arial Narrow" w:hAnsi="Arial Narrow" w:cs="Arial"/>
          <w:sz w:val="22"/>
          <w:szCs w:val="22"/>
        </w:rPr>
        <w:t>m</w:t>
      </w:r>
      <w:r w:rsidRPr="00246A7B">
        <w:rPr>
          <w:rFonts w:ascii="Arial Narrow" w:hAnsi="Arial Narrow" w:cs="Arial"/>
          <w:sz w:val="22"/>
          <w:szCs w:val="22"/>
        </w:rPr>
        <w:t xml:space="preserve"> dôraz</w:t>
      </w:r>
      <w:r>
        <w:rPr>
          <w:rFonts w:ascii="Arial Narrow" w:hAnsi="Arial Narrow" w:cs="Arial"/>
          <w:sz w:val="22"/>
          <w:szCs w:val="22"/>
        </w:rPr>
        <w:t>om</w:t>
      </w:r>
      <w:r w:rsidRPr="00246A7B">
        <w:rPr>
          <w:rFonts w:ascii="Arial Narrow" w:hAnsi="Arial Narrow" w:cs="Arial"/>
          <w:sz w:val="22"/>
          <w:szCs w:val="22"/>
        </w:rPr>
        <w:t xml:space="preserve"> na výkon auditu v subjektoch verejného záujmu</w:t>
      </w:r>
      <w:r>
        <w:rPr>
          <w:rFonts w:ascii="Arial Narrow" w:hAnsi="Arial Narrow" w:cs="Arial"/>
          <w:sz w:val="22"/>
          <w:szCs w:val="22"/>
        </w:rPr>
        <w:t>, s</w:t>
      </w:r>
      <w:r w:rsidRPr="00246A7B">
        <w:rPr>
          <w:rFonts w:ascii="Arial Narrow" w:hAnsi="Arial Narrow" w:cs="Arial"/>
          <w:sz w:val="22"/>
          <w:szCs w:val="22"/>
        </w:rPr>
        <w:t>polupracovať s príslušnými orgánmi dohľadu členských krajín Európskej únie a tretích krajín</w:t>
      </w:r>
      <w:r>
        <w:rPr>
          <w:rFonts w:ascii="Arial Narrow" w:hAnsi="Arial Narrow" w:cs="Arial"/>
          <w:sz w:val="22"/>
          <w:szCs w:val="22"/>
        </w:rPr>
        <w:t>, s</w:t>
      </w:r>
      <w:r w:rsidRPr="00246A7B">
        <w:rPr>
          <w:rFonts w:ascii="Arial Narrow" w:hAnsi="Arial Narrow" w:cs="Arial"/>
          <w:sz w:val="22"/>
          <w:szCs w:val="22"/>
        </w:rPr>
        <w:t>polupracovať s orgánmi Európskej únie pri tvorbe medzinárodných účtovných štandardov a medzinárodných audítorských štandardov a zabezpečovať ich prístupnosť pre používateľov v Slovenskej republike v štátnom jazyku</w:t>
      </w:r>
      <w:r>
        <w:rPr>
          <w:rFonts w:ascii="Arial Narrow" w:hAnsi="Arial Narrow" w:cs="Arial"/>
          <w:sz w:val="22"/>
          <w:szCs w:val="22"/>
        </w:rPr>
        <w:t>, s</w:t>
      </w:r>
      <w:r w:rsidRPr="00246A7B">
        <w:rPr>
          <w:rFonts w:ascii="Arial Narrow" w:hAnsi="Arial Narrow" w:cs="Arial"/>
          <w:sz w:val="22"/>
          <w:szCs w:val="22"/>
        </w:rPr>
        <w:t xml:space="preserve">polupracovať s Ministerstvom financií </w:t>
      </w:r>
      <w:r>
        <w:rPr>
          <w:rFonts w:ascii="Arial Narrow" w:hAnsi="Arial Narrow" w:cs="Arial"/>
          <w:sz w:val="22"/>
          <w:szCs w:val="22"/>
        </w:rPr>
        <w:t xml:space="preserve">SR </w:t>
      </w:r>
      <w:r w:rsidRPr="00246A7B">
        <w:rPr>
          <w:rFonts w:ascii="Arial Narrow" w:hAnsi="Arial Narrow" w:cs="Arial"/>
          <w:sz w:val="22"/>
          <w:szCs w:val="22"/>
        </w:rPr>
        <w:t>na príprave právnych predpisov v oblasti účtovníctva a</w:t>
      </w:r>
      <w:r>
        <w:rPr>
          <w:rFonts w:ascii="Arial Narrow" w:hAnsi="Arial Narrow" w:cs="Arial"/>
          <w:sz w:val="22"/>
          <w:szCs w:val="22"/>
        </w:rPr>
        <w:t> </w:t>
      </w:r>
      <w:r w:rsidRPr="00246A7B">
        <w:rPr>
          <w:rFonts w:ascii="Arial Narrow" w:hAnsi="Arial Narrow" w:cs="Arial"/>
          <w:sz w:val="22"/>
          <w:szCs w:val="22"/>
        </w:rPr>
        <w:t>auditu</w:t>
      </w:r>
      <w:r>
        <w:rPr>
          <w:rFonts w:ascii="Arial Narrow" w:hAnsi="Arial Narrow" w:cs="Arial"/>
          <w:sz w:val="22"/>
          <w:szCs w:val="22"/>
        </w:rPr>
        <w:t>.</w:t>
      </w:r>
      <w:r w:rsidRPr="00D676BB">
        <w:rPr>
          <w:rFonts w:ascii="Arial Narrow" w:hAnsi="Arial Narrow" w:cs="Arial"/>
          <w:sz w:val="22"/>
          <w:szCs w:val="22"/>
        </w:rPr>
        <w:t xml:space="preserve"> </w:t>
      </w:r>
    </w:p>
    <w:p w:rsidR="0011731E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1731E" w:rsidRPr="00246A7B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Príjmy</w:t>
      </w:r>
      <w:r w:rsidRPr="00246A7B">
        <w:rPr>
          <w:rFonts w:ascii="Arial Narrow" w:hAnsi="Arial Narrow" w:cs="Arial"/>
          <w:sz w:val="22"/>
          <w:szCs w:val="22"/>
        </w:rPr>
        <w:t xml:space="preserve"> Úradu </w:t>
      </w:r>
      <w:r>
        <w:rPr>
          <w:rFonts w:ascii="Arial Narrow" w:hAnsi="Arial Narrow" w:cs="Arial"/>
          <w:sz w:val="22"/>
          <w:szCs w:val="22"/>
        </w:rPr>
        <w:t xml:space="preserve">na rok 2011 sú rozpočtované vo výške 987 tis. eur a tvorí ich najmä </w:t>
      </w:r>
      <w:r w:rsidRPr="00246A7B">
        <w:rPr>
          <w:rFonts w:ascii="Arial Narrow" w:hAnsi="Arial Narrow" w:cs="Arial"/>
          <w:sz w:val="22"/>
          <w:szCs w:val="22"/>
        </w:rPr>
        <w:t>príspevok zo štátneho rozpočtu</w:t>
      </w:r>
      <w:r>
        <w:rPr>
          <w:rFonts w:ascii="Arial Narrow" w:hAnsi="Arial Narrow" w:cs="Arial"/>
          <w:sz w:val="22"/>
          <w:szCs w:val="22"/>
        </w:rPr>
        <w:t xml:space="preserve"> prostredníctvom</w:t>
      </w:r>
      <w:r w:rsidRPr="00246A7B">
        <w:rPr>
          <w:rFonts w:ascii="Arial Narrow" w:hAnsi="Arial Narrow" w:cs="Arial"/>
          <w:sz w:val="22"/>
          <w:szCs w:val="22"/>
        </w:rPr>
        <w:t xml:space="preserve"> kapitoly Ministerstva financií Slovenskej republiky</w:t>
      </w:r>
      <w:r>
        <w:rPr>
          <w:rFonts w:ascii="Arial Narrow" w:hAnsi="Arial Narrow" w:cs="Arial"/>
          <w:sz w:val="22"/>
          <w:szCs w:val="22"/>
        </w:rPr>
        <w:t xml:space="preserve"> vo výške 268 tis. eur. Ďalšími príjmami sú </w:t>
      </w:r>
      <w:r w:rsidRPr="00246A7B">
        <w:rPr>
          <w:rFonts w:ascii="Arial Narrow" w:hAnsi="Arial Narrow" w:cs="Arial"/>
          <w:sz w:val="22"/>
          <w:szCs w:val="22"/>
        </w:rPr>
        <w:t>ročné príspevky subjektov verejného záujmu</w:t>
      </w:r>
      <w:r>
        <w:rPr>
          <w:rFonts w:ascii="Arial Narrow" w:hAnsi="Arial Narrow" w:cs="Arial"/>
          <w:sz w:val="22"/>
          <w:szCs w:val="22"/>
        </w:rPr>
        <w:t xml:space="preserve"> rozpočtované v roku 2011 vo výške 418 tis. eur a ostatné (napr. príjmy</w:t>
      </w:r>
      <w:r w:rsidRPr="00246A7B">
        <w:rPr>
          <w:rFonts w:ascii="Arial Narrow" w:hAnsi="Arial Narrow" w:cs="Arial"/>
          <w:sz w:val="22"/>
          <w:szCs w:val="22"/>
        </w:rPr>
        <w:t xml:space="preserve"> z</w:t>
      </w:r>
      <w:r>
        <w:rPr>
          <w:rFonts w:ascii="Arial Narrow" w:hAnsi="Arial Narrow" w:cs="Arial"/>
          <w:sz w:val="22"/>
          <w:szCs w:val="22"/>
        </w:rPr>
        <w:t> </w:t>
      </w:r>
      <w:r w:rsidRPr="00246A7B">
        <w:rPr>
          <w:rFonts w:ascii="Arial Narrow" w:hAnsi="Arial Narrow" w:cs="Arial"/>
          <w:sz w:val="22"/>
          <w:szCs w:val="22"/>
        </w:rPr>
        <w:t>pokút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246A7B">
        <w:rPr>
          <w:rFonts w:ascii="Arial Narrow" w:hAnsi="Arial Narrow" w:cs="Arial"/>
          <w:sz w:val="22"/>
          <w:szCs w:val="22"/>
        </w:rPr>
        <w:t>náhrady za trovy konania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246A7B">
        <w:rPr>
          <w:rFonts w:ascii="Arial Narrow" w:hAnsi="Arial Narrow" w:cs="Arial"/>
          <w:sz w:val="22"/>
          <w:szCs w:val="22"/>
        </w:rPr>
        <w:t>úrok z</w:t>
      </w:r>
      <w:r>
        <w:rPr>
          <w:rFonts w:ascii="Arial Narrow" w:hAnsi="Arial Narrow" w:cs="Arial"/>
          <w:sz w:val="22"/>
          <w:szCs w:val="22"/>
        </w:rPr>
        <w:t> </w:t>
      </w:r>
      <w:r w:rsidRPr="00246A7B">
        <w:rPr>
          <w:rFonts w:ascii="Arial Narrow" w:hAnsi="Arial Narrow" w:cs="Arial"/>
          <w:sz w:val="22"/>
          <w:szCs w:val="22"/>
        </w:rPr>
        <w:t>omeškania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246A7B">
        <w:rPr>
          <w:rFonts w:ascii="Arial Narrow" w:hAnsi="Arial Narrow" w:cs="Arial"/>
          <w:sz w:val="22"/>
          <w:szCs w:val="22"/>
        </w:rPr>
        <w:t>poplatky za skúšky a</w:t>
      </w:r>
      <w:r>
        <w:rPr>
          <w:rFonts w:ascii="Arial Narrow" w:hAnsi="Arial Narrow" w:cs="Arial"/>
          <w:sz w:val="22"/>
          <w:szCs w:val="22"/>
        </w:rPr>
        <w:t> </w:t>
      </w:r>
      <w:r w:rsidRPr="00246A7B">
        <w:rPr>
          <w:rFonts w:ascii="Arial Narrow" w:hAnsi="Arial Narrow" w:cs="Arial"/>
          <w:sz w:val="22"/>
          <w:szCs w:val="22"/>
        </w:rPr>
        <w:t>preskúšanie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246A7B">
        <w:rPr>
          <w:rFonts w:ascii="Arial Narrow" w:hAnsi="Arial Narrow" w:cs="Arial"/>
          <w:sz w:val="22"/>
          <w:szCs w:val="22"/>
        </w:rPr>
        <w:t>poplatky za úkony na úrade</w:t>
      </w:r>
      <w:r>
        <w:rPr>
          <w:rFonts w:ascii="Arial Narrow" w:hAnsi="Arial Narrow" w:cs="Arial"/>
          <w:sz w:val="22"/>
          <w:szCs w:val="22"/>
        </w:rPr>
        <w:t>) v celkovej výške 32 tis. eur. Súčasťou príjmov Úradu sú aj prostriedky z predchádzajúcich rokov vo výške 269 tis. eur, ktoré budú použité na výkon dohľadov. Príjmy Úradu v roku 2011 v porovnaní s očakávanou skutočnosťou ku koncu roka 2010 klesajú o 7,8 % najmä z dôvodu poklesu prostriedkov z predchádzajúcich rokov.</w:t>
      </w:r>
    </w:p>
    <w:p w:rsidR="0011731E" w:rsidRPr="00246A7B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1731E" w:rsidP="00CA6585">
      <w:pPr>
        <w:bidi w:val="0"/>
        <w:spacing w:after="120"/>
        <w:ind w:firstLine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Výdavková</w:t>
      </w:r>
      <w:r w:rsidRPr="00246A7B">
        <w:rPr>
          <w:rFonts w:ascii="Arial Narrow" w:hAnsi="Arial Narrow" w:cs="Arial"/>
          <w:sz w:val="22"/>
          <w:szCs w:val="22"/>
        </w:rPr>
        <w:t xml:space="preserve"> časť rozpočtu predstavuje </w:t>
      </w:r>
      <w:r>
        <w:rPr>
          <w:rFonts w:ascii="Arial Narrow" w:hAnsi="Arial Narrow" w:cs="Arial"/>
          <w:sz w:val="22"/>
          <w:szCs w:val="22"/>
        </w:rPr>
        <w:t>výdavky</w:t>
      </w:r>
      <w:r w:rsidRPr="00246A7B">
        <w:rPr>
          <w:rFonts w:ascii="Arial Narrow" w:hAnsi="Arial Narrow" w:cs="Arial"/>
          <w:sz w:val="22"/>
          <w:szCs w:val="22"/>
        </w:rPr>
        <w:t xml:space="preserve"> spojené so zabezpečením činnosti Úradu. </w:t>
      </w:r>
      <w:r>
        <w:rPr>
          <w:rFonts w:ascii="Arial Narrow" w:hAnsi="Arial Narrow" w:cs="Arial"/>
          <w:sz w:val="22"/>
          <w:szCs w:val="22"/>
        </w:rPr>
        <w:t>Medzi objemovo významné časti nákladov rozpočtu patria mzdy, v ktorých sú zahrnuté aj odmeny externým spolupracovníkom zabezpečujúcich základné úlohy Úradu (hlavne dohľady) a s tým súvisiace odvody, nájomné, náklady na preklady relevantné ISA, náklady na audítorské skúšky, cestovné, kancelárske potreby a iné. Výdavky Úradu v roku 2011 sú rozpočtované vo výške 803 tis. eur, čo predstavuje v porovnaní s očakávanou skutočnosťou ku koncu roka 2010 rast o 0,2 %.</w:t>
      </w:r>
    </w:p>
    <w:p w:rsidR="0011731E" w:rsidRPr="00C572D3" w:rsidP="0011731E">
      <w:pPr>
        <w:bidi w:val="0"/>
        <w:rPr>
          <w:rFonts w:ascii="Arial Narrow" w:hAnsi="Arial Narrow" w:cs="Arial"/>
          <w:b/>
          <w:bCs/>
        </w:rPr>
      </w:pPr>
      <w:r w:rsidRPr="00C572D3">
        <w:rPr>
          <w:rFonts w:ascii="Arial Narrow" w:hAnsi="Arial Narrow" w:cs="Arial"/>
          <w:b/>
          <w:bCs/>
        </w:rPr>
        <w:t>16. Audiovizuálny fond</w:t>
      </w:r>
    </w:p>
    <w:p w:rsidR="0011731E" w:rsidRPr="00534F8F" w:rsidP="0011731E">
      <w:pPr>
        <w:bidi w:val="0"/>
        <w:jc w:val="both"/>
        <w:rPr>
          <w:rFonts w:ascii="Arial Narrow" w:hAnsi="Arial Narrow" w:cs="Arial"/>
          <w:b/>
          <w:spacing w:val="-20"/>
          <w:sz w:val="22"/>
          <w:szCs w:val="22"/>
        </w:rPr>
      </w:pPr>
    </w:p>
    <w:p w:rsidR="00CA6585" w:rsidP="00CA6585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="0011731E">
        <w:rPr>
          <w:rFonts w:ascii="Arial Narrow" w:hAnsi="Arial Narrow" w:cs="Arial"/>
          <w:sz w:val="22"/>
          <w:szCs w:val="22"/>
        </w:rPr>
        <w:tab/>
      </w:r>
      <w:r w:rsidRPr="002A156A" w:rsidR="0011731E">
        <w:rPr>
          <w:rFonts w:ascii="Arial Narrow" w:hAnsi="Arial Narrow" w:cs="Arial"/>
          <w:sz w:val="22"/>
          <w:szCs w:val="22"/>
        </w:rPr>
        <w:t xml:space="preserve">Audiovizuálny fond (ďalej len </w:t>
      </w:r>
      <w:r w:rsidR="0011731E">
        <w:rPr>
          <w:rFonts w:ascii="Arial Narrow" w:hAnsi="Arial Narrow" w:cs="Arial"/>
          <w:sz w:val="22"/>
          <w:szCs w:val="22"/>
        </w:rPr>
        <w:t>„fond</w:t>
      </w:r>
      <w:r w:rsidR="000C3FFC">
        <w:rPr>
          <w:rFonts w:ascii="Arial Narrow" w:hAnsi="Arial Narrow" w:cs="Arial"/>
          <w:sz w:val="22"/>
          <w:szCs w:val="22"/>
        </w:rPr>
        <w:t>“</w:t>
      </w:r>
      <w:r w:rsidR="0011731E">
        <w:rPr>
          <w:rFonts w:ascii="Arial Narrow" w:hAnsi="Arial Narrow" w:cs="Arial"/>
          <w:sz w:val="22"/>
          <w:szCs w:val="22"/>
        </w:rPr>
        <w:t>)</w:t>
      </w:r>
      <w:r w:rsidRPr="002A156A" w:rsidR="0011731E">
        <w:rPr>
          <w:rFonts w:ascii="Arial Narrow" w:hAnsi="Arial Narrow" w:cs="Arial"/>
          <w:sz w:val="22"/>
          <w:szCs w:val="22"/>
        </w:rPr>
        <w:t xml:space="preserve"> bol zriadený ako verejnoprávna inštitúcia zákonom č. 516/2008 Z.</w:t>
      </w:r>
      <w:r w:rsidR="0011731E">
        <w:rPr>
          <w:rFonts w:ascii="Arial Narrow" w:hAnsi="Arial Narrow" w:cs="Arial"/>
          <w:sz w:val="22"/>
          <w:szCs w:val="22"/>
        </w:rPr>
        <w:t xml:space="preserve"> </w:t>
      </w:r>
      <w:r w:rsidRPr="002A156A" w:rsidR="0011731E">
        <w:rPr>
          <w:rFonts w:ascii="Arial Narrow" w:hAnsi="Arial Narrow" w:cs="Arial"/>
          <w:sz w:val="22"/>
          <w:szCs w:val="22"/>
        </w:rPr>
        <w:t>z.</w:t>
      </w:r>
    </w:p>
    <w:p w:rsidR="00CA6585" w:rsidP="00CA6585">
      <w:pPr>
        <w:pStyle w:val="BodyTextIndent2"/>
        <w:tabs>
          <w:tab w:val="left" w:pos="0"/>
        </w:tabs>
        <w:bidi w:val="0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11731E" w:rsidRPr="00370E53" w:rsidP="00534F8F">
      <w:pPr>
        <w:pStyle w:val="BodyTextIndent2"/>
        <w:tabs>
          <w:tab w:val="left" w:pos="0"/>
        </w:tabs>
        <w:bidi w:val="0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="00CA6585">
        <w:rPr>
          <w:rFonts w:ascii="Arial Narrow" w:hAnsi="Arial Narrow" w:cs="Arial"/>
          <w:sz w:val="22"/>
          <w:szCs w:val="22"/>
        </w:rPr>
        <w:tab/>
      </w:r>
      <w:r w:rsidRPr="002A156A">
        <w:rPr>
          <w:rFonts w:ascii="Arial Narrow" w:hAnsi="Arial Narrow" w:cs="Arial"/>
          <w:sz w:val="22"/>
          <w:szCs w:val="22"/>
        </w:rPr>
        <w:t xml:space="preserve">Vývoj príjmovej a výdavkovej časti rozpočtu </w:t>
      </w:r>
      <w:r>
        <w:rPr>
          <w:rFonts w:ascii="Arial Narrow" w:hAnsi="Arial Narrow" w:cs="Arial"/>
          <w:sz w:val="22"/>
          <w:szCs w:val="22"/>
        </w:rPr>
        <w:t>fondu</w:t>
      </w:r>
      <w:r w:rsidRPr="002A156A">
        <w:rPr>
          <w:rFonts w:ascii="Arial Narrow" w:hAnsi="Arial Narrow" w:cs="Arial"/>
          <w:sz w:val="22"/>
          <w:szCs w:val="22"/>
        </w:rPr>
        <w:t xml:space="preserve"> na roky 2011 až 2013 je v porovnaní s predchádzajúcimi rokmi nasledovný:</w:t>
      </w:r>
    </w:p>
    <w:tbl>
      <w:tblPr>
        <w:tblStyle w:val="TableNormal"/>
        <w:tblW w:w="9183" w:type="dxa"/>
        <w:jc w:val="center"/>
        <w:tblInd w:w="-548" w:type="dxa"/>
        <w:tblCellMar>
          <w:left w:w="70" w:type="dxa"/>
          <w:right w:w="70" w:type="dxa"/>
        </w:tblCellMar>
        <w:tblLook w:val="04A0"/>
      </w:tblPr>
      <w:tblGrid>
        <w:gridCol w:w="4983"/>
        <w:gridCol w:w="840"/>
        <w:gridCol w:w="840"/>
        <w:gridCol w:w="840"/>
        <w:gridCol w:w="840"/>
        <w:gridCol w:w="840"/>
      </w:tblGrid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85"/>
          <w:jc w:val="center"/>
        </w:trPr>
        <w:tc>
          <w:tcPr>
            <w:tcW w:w="4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lrTb"/>
            <w:vAlign w:val="center"/>
          </w:tcPr>
          <w:p w:rsidR="0011731E" w:rsidRPr="002A156A" w:rsidP="00705E13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56A" w:rsidR="00534F8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2A156A">
              <w:rPr>
                <w:rFonts w:ascii="Arial Narrow" w:hAnsi="Arial Narrow" w:cs="Arial"/>
                <w:b/>
                <w:bCs/>
                <w:sz w:val="16"/>
                <w:szCs w:val="16"/>
              </w:rPr>
              <w:t>(v tis. eur)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center"/>
          </w:tcPr>
          <w:p w:rsidR="0011731E" w:rsidRPr="002A156A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56A">
              <w:rPr>
                <w:rFonts w:ascii="Arial Narrow" w:hAnsi="Arial Narrow" w:cs="Arial"/>
                <w:b/>
                <w:bCs/>
                <w:sz w:val="16"/>
                <w:szCs w:val="16"/>
              </w:rPr>
              <w:t>2009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center"/>
          </w:tcPr>
          <w:p w:rsidR="0011731E" w:rsidRPr="002A156A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56A">
              <w:rPr>
                <w:rFonts w:ascii="Arial Narrow" w:hAnsi="Arial Narrow" w:cs="Arial"/>
                <w:b/>
                <w:bCs/>
                <w:sz w:val="16"/>
                <w:szCs w:val="16"/>
              </w:rPr>
              <w:t>2010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OS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center"/>
          </w:tcPr>
          <w:p w:rsidR="0011731E" w:rsidRPr="002A156A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56A">
              <w:rPr>
                <w:rFonts w:ascii="Arial Narrow" w:hAnsi="Arial Narrow" w:cs="Arial"/>
                <w:b/>
                <w:bCs/>
                <w:sz w:val="16"/>
                <w:szCs w:val="16"/>
              </w:rPr>
              <w:t>2011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center"/>
          </w:tcPr>
          <w:p w:rsidR="0011731E" w:rsidRPr="002A156A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56A">
              <w:rPr>
                <w:rFonts w:ascii="Arial Narrow" w:hAnsi="Arial Narrow" w:cs="Arial"/>
                <w:b/>
                <w:bCs/>
                <w:sz w:val="16"/>
                <w:szCs w:val="16"/>
              </w:rPr>
              <w:t>2012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center"/>
          </w:tcPr>
          <w:p w:rsidR="0011731E" w:rsidRPr="002A156A" w:rsidP="00705E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A156A">
              <w:rPr>
                <w:rFonts w:ascii="Arial Narrow" w:hAnsi="Arial Narrow" w:cs="Arial"/>
                <w:b/>
                <w:bCs/>
                <w:sz w:val="16"/>
                <w:szCs w:val="16"/>
              </w:rPr>
              <w:t>2013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N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Príjmy spolu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7 528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7 025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8 025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9 025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▪   daňové príjmy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AE00C3" w:rsidP="00705E13">
            <w:pPr>
              <w:bidi w:val="0"/>
              <w:jc w:val="right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AE00C3">
              <w:rPr>
                <w:rFonts w:ascii="Arial Narrow" w:hAnsi="Arial Narrow" w:cs="Arial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AE00C3" w:rsidP="00705E13">
            <w:pPr>
              <w:bidi w:val="0"/>
              <w:jc w:val="right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AE00C3">
              <w:rPr>
                <w:rFonts w:ascii="Arial Narrow" w:hAnsi="Arial Narrow" w:cs="Arial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AE00C3" w:rsidP="00705E13">
            <w:pPr>
              <w:bidi w:val="0"/>
              <w:jc w:val="right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AE00C3">
              <w:rPr>
                <w:rFonts w:ascii="Arial Narrow" w:hAnsi="Arial Narrow" w:cs="Arial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AE00C3" w:rsidP="00705E13">
            <w:pPr>
              <w:bidi w:val="0"/>
              <w:jc w:val="right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AE00C3">
              <w:rPr>
                <w:rFonts w:ascii="Arial Narrow" w:hAnsi="Arial Narrow" w:cs="Arial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RPr="00AE00C3" w:rsidP="00705E13">
            <w:pPr>
              <w:bidi w:val="0"/>
              <w:jc w:val="right"/>
              <w:rPr>
                <w:rFonts w:ascii="Arial Narrow" w:hAnsi="Arial Narrow" w:cs="Arial"/>
                <w:bCs/>
                <w:iCs/>
                <w:sz w:val="16"/>
                <w:szCs w:val="16"/>
              </w:rPr>
            </w:pPr>
            <w:r w:rsidRPr="00AE00C3">
              <w:rPr>
                <w:rFonts w:ascii="Arial Narrow" w:hAnsi="Arial Narrow" w:cs="Arial"/>
                <w:bCs/>
                <w:iCs/>
                <w:sz w:val="16"/>
                <w:szCs w:val="16"/>
              </w:rPr>
              <w:t>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>▪   nedaňové príjmy, z toho: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2 824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3 765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4 265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administratívne a iné poplatky, z toho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ost. poplatky - administratívne úhrady podľa § 21 zákona 516/2008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ostatné nedaňové príjmy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2 799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3 225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3 740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4 240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iné -  príspevky podľa § 2</w:t>
            </w: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- 28 zákona 516/2009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2 799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3 225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3 740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4 240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                       § 25 (vysielatelia s licenciou)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2 300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2 575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3 490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                       § 26 (kiná)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                       § 27 (retransmisia)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                       § 28 (distribúcia)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>▪   granty a transfery, z toho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4 700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3 775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4 260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4 760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ind w:firstLine="320" w:firstLineChars="20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 zo štátneho rozpočtu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4 500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4 500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ind w:firstLine="320" w:firstLineChars="20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>od ostatných subjektov verejnej správy (§24 STV)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>▪   prevod prostriedkov z predchádzajúcich rokov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(FO)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Výdavky spolu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150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7 528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7 025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8 025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9 025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>▪   bežné výdavky, z toho: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7 513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7 010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8 005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9 005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mzdy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135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odvody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tovary a služby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ind w:firstLine="160" w:firstLineChars="10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  bežné transfery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7 144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6 674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7 624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8 574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>▪   kapitálové výdavky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Celkový prebytok/schodok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  vylúčenie finančných operácií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sz w:val="16"/>
                <w:szCs w:val="16"/>
              </w:rPr>
              <w:t xml:space="preserve">    ▪   vylúčenie príjmových </w:t>
            </w:r>
            <w:r>
              <w:rPr>
                <w:rFonts w:ascii="Arial Narrow" w:hAnsi="Arial Narrow" w:cs="Arial"/>
                <w:sz w:val="16"/>
                <w:szCs w:val="16"/>
              </w:rPr>
              <w:t>FO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>
        <w:tblPrEx>
          <w:tblW w:w="9183" w:type="dxa"/>
          <w:jc w:val="center"/>
          <w:tblInd w:w="-548" w:type="dxa"/>
          <w:tblCellMar>
            <w:left w:w="70" w:type="dxa"/>
            <w:right w:w="70" w:type="dxa"/>
          </w:tblCellMar>
          <w:tblLook w:val="04A0"/>
        </w:tblPrEx>
        <w:trPr>
          <w:trHeight w:val="270"/>
          <w:jc w:val="center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RPr="00191541" w:rsidP="00705E13">
            <w:pPr>
              <w:bidi w:val="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191541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Prebytok / schodok úradu   (ESA 95)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-4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</w:tcPr>
          <w:p w:rsidR="0011731E" w:rsidP="00705E13">
            <w:pPr>
              <w:bidi w:val="0"/>
              <w:jc w:val="right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</w:tbl>
    <w:p w:rsidR="0011731E" w:rsidRPr="002A156A" w:rsidP="00534F8F">
      <w:pPr>
        <w:autoSpaceDE w:val="0"/>
        <w:autoSpaceDN w:val="0"/>
        <w:bidi w:val="0"/>
        <w:adjustRightInd w:val="0"/>
        <w:spacing w:before="120" w:after="120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2A156A">
        <w:rPr>
          <w:rFonts w:ascii="Arial Narrow" w:hAnsi="Arial Narrow" w:cs="Arial"/>
          <w:sz w:val="22"/>
          <w:szCs w:val="22"/>
        </w:rPr>
        <w:t>Príjmy fondu v roku 2011 sa navrhujú v celkovej výške 7,03 mil. eur, čo oproti očakávanej skutočnosti pre rok 2010 predstavuje pokles o 6,68</w:t>
      </w:r>
      <w:r w:rsidR="00534F8F">
        <w:rPr>
          <w:rFonts w:ascii="Arial Narrow" w:hAnsi="Arial Narrow" w:cs="Arial"/>
          <w:sz w:val="22"/>
          <w:szCs w:val="22"/>
        </w:rPr>
        <w:t xml:space="preserve"> </w:t>
      </w:r>
      <w:r w:rsidRPr="002A156A">
        <w:rPr>
          <w:rFonts w:ascii="Arial Narrow" w:hAnsi="Arial Narrow" w:cs="Arial"/>
          <w:sz w:val="22"/>
          <w:szCs w:val="22"/>
        </w:rPr>
        <w:t>%</w:t>
      </w:r>
      <w:r>
        <w:rPr>
          <w:rFonts w:ascii="Arial Narrow" w:hAnsi="Arial Narrow" w:cs="Arial"/>
          <w:sz w:val="22"/>
          <w:szCs w:val="22"/>
        </w:rPr>
        <w:t>,</w:t>
      </w:r>
      <w:r w:rsidRPr="002A156A">
        <w:rPr>
          <w:rFonts w:ascii="Arial Narrow" w:hAnsi="Arial Narrow" w:cs="Arial"/>
          <w:sz w:val="22"/>
          <w:szCs w:val="22"/>
        </w:rPr>
        <w:t xml:space="preserve"> a to v dôsledku zreálnenia príspevku zo štátneho rozpočtu na základe vývoja príjmovej časti v oblasti príspevkov od STV, vysielateľov s licenciou, prevádzkovateľov audiovizuálnych technických zariadení, prevádzkovateľov retransmisií a distribútorov audiovizuálnych diel v doterajšom priebehu roka 2010.</w:t>
      </w:r>
    </w:p>
    <w:p w:rsidR="0011731E" w:rsidRPr="002A156A" w:rsidP="0011731E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2A156A">
        <w:rPr>
          <w:rFonts w:ascii="Arial Narrow" w:hAnsi="Arial Narrow" w:cs="Arial"/>
          <w:sz w:val="22"/>
          <w:szCs w:val="22"/>
        </w:rPr>
        <w:t xml:space="preserve">Príspevok zo štátneho rozpočtu sa v  rámci schválených limitov Ministerstva kultúry </w:t>
      </w:r>
      <w:r>
        <w:rPr>
          <w:rFonts w:ascii="Arial Narrow" w:hAnsi="Arial Narrow" w:cs="Arial"/>
          <w:sz w:val="22"/>
          <w:szCs w:val="22"/>
        </w:rPr>
        <w:t xml:space="preserve">a cestovného ruchu </w:t>
      </w:r>
      <w:r w:rsidRPr="002A156A">
        <w:rPr>
          <w:rFonts w:ascii="Arial Narrow" w:hAnsi="Arial Narrow" w:cs="Arial"/>
          <w:sz w:val="22"/>
          <w:szCs w:val="22"/>
        </w:rPr>
        <w:t>SR poskytuje fondu na základe zmluvy medzi MK</w:t>
      </w:r>
      <w:r>
        <w:rPr>
          <w:rFonts w:ascii="Arial Narrow" w:hAnsi="Arial Narrow" w:cs="Arial"/>
          <w:sz w:val="22"/>
          <w:szCs w:val="22"/>
        </w:rPr>
        <w:t>CR</w:t>
      </w:r>
      <w:r w:rsidRPr="002A156A">
        <w:rPr>
          <w:rFonts w:ascii="Arial Narrow" w:hAnsi="Arial Narrow" w:cs="Arial"/>
          <w:sz w:val="22"/>
          <w:szCs w:val="22"/>
        </w:rPr>
        <w:t xml:space="preserve"> SR a fondom a nesmie byť menší ako celková suma vyššie spomínaných príspevkov. V roku 2011 sa príspevok zo štátneho rozpočtu navrhuje poskytnúť v sume 3,50 mil. eur, oproti roku 2010 to predstavuje pokles o 23,3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A156A">
        <w:rPr>
          <w:rFonts w:ascii="Arial Narrow" w:hAnsi="Arial Narrow" w:cs="Arial"/>
          <w:sz w:val="22"/>
          <w:szCs w:val="22"/>
        </w:rPr>
        <w:t>%.</w:t>
      </w:r>
    </w:p>
    <w:p w:rsidR="0011731E" w:rsidRPr="002A156A" w:rsidP="0011731E">
      <w:pPr>
        <w:autoSpaceDE w:val="0"/>
        <w:autoSpaceDN w:val="0"/>
        <w:bidi w:val="0"/>
        <w:adjustRightInd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1731E" w:rsidRPr="00231151" w:rsidP="0011731E">
      <w:pPr>
        <w:autoSpaceDE w:val="0"/>
        <w:autoSpaceDN w:val="0"/>
        <w:bidi w:val="0"/>
        <w:adjustRightInd w:val="0"/>
        <w:ind w:firstLine="708"/>
        <w:jc w:val="both"/>
        <w:rPr>
          <w:rFonts w:ascii="Arial Narrow" w:hAnsi="Arial Narrow"/>
        </w:rPr>
      </w:pPr>
      <w:r w:rsidRPr="002A156A">
        <w:rPr>
          <w:rFonts w:ascii="Arial Narrow" w:hAnsi="Arial Narrow" w:cs="Arial"/>
          <w:sz w:val="22"/>
          <w:szCs w:val="22"/>
        </w:rPr>
        <w:t xml:space="preserve">Výdavky fondu v roku 2011 sa navrhujú v celkovej výške 7,03 mil. eur, čo oproti očakávanej skutočnosti pre rok 2010 predstavuje pokles o 6,68 %. Tvoria ich najmä bežné transfery určené na podpornú činnosť pre autorov slovenských audiovizuálnych diel a výrobcov audiovizuálnych diel, na vytváranie materiálnych podmienok na rozvoj audiovizuálnej kultúry a priemyslu, na uskutočňovanie verejných kultúrnych podujatí a na poskytovanie štipendií pre fyzické osoby, ktoré sa tvorivo alebo výskumne podieľajú na rozvoji audiovizuálnej kultúry a priemyslu. Na uvedené je fond povinný použiť 95 % svojich príjmov, na vlastnú prevádzku je fond oprávnený  použiť najviac 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Pr="002A156A">
        <w:rPr>
          <w:rFonts w:ascii="Arial Narrow" w:hAnsi="Arial Narrow" w:cs="Arial"/>
          <w:sz w:val="22"/>
          <w:szCs w:val="22"/>
        </w:rPr>
        <w:t>5 % z celkovej sumy svojich príjmov.</w:t>
      </w:r>
    </w:p>
    <w:sectPr w:rsidSect="00D01AB6">
      <w:headerReference w:type="default" r:id="rId4"/>
      <w:footerReference w:type="even" r:id="rId5"/>
      <w:footerReference w:type="default" r:id="rId6"/>
      <w:pgSz w:w="11906" w:h="16838"/>
      <w:pgMar w:top="1077" w:right="1418" w:bottom="1077" w:left="1260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·s˛Ó©úĹé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Latha">
    <w:panose1 w:val="02000400000000000000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1010600010101010101"/>
    <w:charset w:val="01"/>
    <w:family w:val="roman"/>
    <w:pitch w:val="variable"/>
    <w:sig w:usb0="00000000" w:usb1="00000000" w:usb2="00000000" w:usb3="00000000" w:csb0="00000000" w:csb1="00000000"/>
  </w:font>
  <w:font w:name="Raavi">
    <w:panose1 w:val="02000500000000000000"/>
    <w:charset w:val="01"/>
    <w:family w:val="roman"/>
    <w:pitch w:val="variable"/>
    <w:sig w:usb0="00000000" w:usb1="00000000" w:usb2="00000000" w:usb3="00000000" w:csb0="00000000" w:csb1="00000000"/>
  </w:font>
  <w:font w:name="Shruti">
    <w:panose1 w:val="02000500000000000000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1"/>
    <w:family w:val="roman"/>
    <w:pitch w:val="variable"/>
    <w:sig w:usb0="00000000" w:usb1="00000000" w:usb2="00000000" w:usb3="00000000" w:csb0="00000000" w:csb1="00000000"/>
  </w:font>
  <w:font w:name="Tung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CA" w:rsidP="00802EB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D1BC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CA" w:rsidP="00802EB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505FE">
      <w:rPr>
        <w:rStyle w:val="PageNumber"/>
        <w:rFonts w:ascii="Times New Roman" w:hAnsi="Times New Roman"/>
        <w:noProof/>
      </w:rPr>
      <w:t>23</w:t>
    </w:r>
    <w:r>
      <w:rPr>
        <w:rStyle w:val="PageNumber"/>
        <w:rFonts w:ascii="Times New Roman" w:hAnsi="Times New Roman"/>
      </w:rPr>
      <w:fldChar w:fldCharType="end"/>
    </w:r>
  </w:p>
  <w:p w:rsidR="00BD1BCA" w:rsidRPr="00CB581B">
    <w:pPr>
      <w:pStyle w:val="Footer"/>
      <w:bidi w:val="0"/>
      <w:rPr>
        <w:rFonts w:ascii="Arial Narrow" w:hAnsi="Arial Narrow"/>
        <w:b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CA" w:rsidRPr="00CB581B" w:rsidP="00CB581B">
    <w:pPr>
      <w:pStyle w:val="Header"/>
      <w:bidi w:val="0"/>
      <w:ind w:firstLine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2F66"/>
    <w:multiLevelType w:val="hybridMultilevel"/>
    <w:tmpl w:val="0DF82F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993547"/>
    <w:multiLevelType w:val="hybridMultilevel"/>
    <w:tmpl w:val="ECEC9A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A6565C"/>
    <w:multiLevelType w:val="hybridMultilevel"/>
    <w:tmpl w:val="CEECB7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F6A2EF4"/>
    <w:multiLevelType w:val="hybridMultilevel"/>
    <w:tmpl w:val="D32004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2E0EE7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5">
    <w:nsid w:val="4F581C1B"/>
    <w:multiLevelType w:val="hybridMultilevel"/>
    <w:tmpl w:val="879AA0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2E901BA"/>
    <w:multiLevelType w:val="multilevel"/>
    <w:tmpl w:val="CED4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tl3"/>
      <w:lvlText w:val="%1.%2.%3.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7">
    <w:nsid w:val="579075F5"/>
    <w:multiLevelType w:val="hybridMultilevel"/>
    <w:tmpl w:val="CB342EB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67FF6A13"/>
    <w:multiLevelType w:val="hybridMultilevel"/>
    <w:tmpl w:val="B58A21FE"/>
    <w:lvl w:ilvl="0">
      <w:start w:val="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9D133A4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  <w:rtl w:val="0"/>
        <w:cs w:val="0"/>
      </w:rPr>
    </w:lvl>
  </w:abstractNum>
  <w:abstractNum w:abstractNumId="10">
    <w:nsid w:val="6D6E74A5"/>
    <w:multiLevelType w:val="hybridMultilevel"/>
    <w:tmpl w:val="6E9A9BE6"/>
    <w:lvl w:ilvl="0">
      <w:start w:val="1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037323"/>
    <w:multiLevelType w:val="hybridMultilevel"/>
    <w:tmpl w:val="F87C61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F652CAB"/>
    <w:multiLevelType w:val="hybridMultilevel"/>
    <w:tmpl w:val="C9426D80"/>
    <w:lvl w:ilvl="0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424FB"/>
    <w:rsid w:val="000004B7"/>
    <w:rsid w:val="00003E4A"/>
    <w:rsid w:val="00004863"/>
    <w:rsid w:val="0000564F"/>
    <w:rsid w:val="00005901"/>
    <w:rsid w:val="00007B99"/>
    <w:rsid w:val="00012287"/>
    <w:rsid w:val="000127DD"/>
    <w:rsid w:val="0001529B"/>
    <w:rsid w:val="000159C4"/>
    <w:rsid w:val="00017207"/>
    <w:rsid w:val="00017653"/>
    <w:rsid w:val="00022F7C"/>
    <w:rsid w:val="00025C4F"/>
    <w:rsid w:val="00026C72"/>
    <w:rsid w:val="000337A0"/>
    <w:rsid w:val="00035090"/>
    <w:rsid w:val="000404FD"/>
    <w:rsid w:val="0004106E"/>
    <w:rsid w:val="0004309B"/>
    <w:rsid w:val="00043DD8"/>
    <w:rsid w:val="00044350"/>
    <w:rsid w:val="00052970"/>
    <w:rsid w:val="000545AE"/>
    <w:rsid w:val="00056F9F"/>
    <w:rsid w:val="00057273"/>
    <w:rsid w:val="00061321"/>
    <w:rsid w:val="00061C46"/>
    <w:rsid w:val="00070B27"/>
    <w:rsid w:val="000729CF"/>
    <w:rsid w:val="00074098"/>
    <w:rsid w:val="000744C6"/>
    <w:rsid w:val="000802DE"/>
    <w:rsid w:val="00080B83"/>
    <w:rsid w:val="00083D09"/>
    <w:rsid w:val="00085DF5"/>
    <w:rsid w:val="0008724D"/>
    <w:rsid w:val="00093E79"/>
    <w:rsid w:val="00094C51"/>
    <w:rsid w:val="000A2A6A"/>
    <w:rsid w:val="000A4EF0"/>
    <w:rsid w:val="000A5D85"/>
    <w:rsid w:val="000C262C"/>
    <w:rsid w:val="000C2F5B"/>
    <w:rsid w:val="000C3FFC"/>
    <w:rsid w:val="000C44FA"/>
    <w:rsid w:val="000D0E77"/>
    <w:rsid w:val="000D4D85"/>
    <w:rsid w:val="000D6623"/>
    <w:rsid w:val="000E0547"/>
    <w:rsid w:val="000E4601"/>
    <w:rsid w:val="000E5CB7"/>
    <w:rsid w:val="000F715B"/>
    <w:rsid w:val="001001E7"/>
    <w:rsid w:val="00102ECD"/>
    <w:rsid w:val="00104010"/>
    <w:rsid w:val="00106BC8"/>
    <w:rsid w:val="0011160A"/>
    <w:rsid w:val="0011215C"/>
    <w:rsid w:val="00113D09"/>
    <w:rsid w:val="00115721"/>
    <w:rsid w:val="0011731E"/>
    <w:rsid w:val="0012351A"/>
    <w:rsid w:val="0012421E"/>
    <w:rsid w:val="001333B9"/>
    <w:rsid w:val="001339BF"/>
    <w:rsid w:val="00135653"/>
    <w:rsid w:val="00140F74"/>
    <w:rsid w:val="00141277"/>
    <w:rsid w:val="001424FB"/>
    <w:rsid w:val="00151A19"/>
    <w:rsid w:val="0015221C"/>
    <w:rsid w:val="001553E1"/>
    <w:rsid w:val="001564C9"/>
    <w:rsid w:val="00157628"/>
    <w:rsid w:val="00162110"/>
    <w:rsid w:val="00162D3C"/>
    <w:rsid w:val="00163281"/>
    <w:rsid w:val="00167136"/>
    <w:rsid w:val="001835E4"/>
    <w:rsid w:val="00186B42"/>
    <w:rsid w:val="001877DB"/>
    <w:rsid w:val="00191541"/>
    <w:rsid w:val="00191A1C"/>
    <w:rsid w:val="00194601"/>
    <w:rsid w:val="001974A0"/>
    <w:rsid w:val="001A26B4"/>
    <w:rsid w:val="001C38C3"/>
    <w:rsid w:val="001C61D8"/>
    <w:rsid w:val="001D52F9"/>
    <w:rsid w:val="001D5EB1"/>
    <w:rsid w:val="001E1A90"/>
    <w:rsid w:val="001E53C8"/>
    <w:rsid w:val="001F0278"/>
    <w:rsid w:val="001F2CA3"/>
    <w:rsid w:val="001F3DBE"/>
    <w:rsid w:val="001F5FDE"/>
    <w:rsid w:val="002029ED"/>
    <w:rsid w:val="002049B8"/>
    <w:rsid w:val="00205EB8"/>
    <w:rsid w:val="00207E64"/>
    <w:rsid w:val="002136DC"/>
    <w:rsid w:val="00214007"/>
    <w:rsid w:val="00220573"/>
    <w:rsid w:val="0022093F"/>
    <w:rsid w:val="00223B82"/>
    <w:rsid w:val="00227DED"/>
    <w:rsid w:val="00231151"/>
    <w:rsid w:val="002406F8"/>
    <w:rsid w:val="0024101F"/>
    <w:rsid w:val="00243386"/>
    <w:rsid w:val="0024343E"/>
    <w:rsid w:val="00243C06"/>
    <w:rsid w:val="00246A7B"/>
    <w:rsid w:val="00247563"/>
    <w:rsid w:val="00250D09"/>
    <w:rsid w:val="0025344A"/>
    <w:rsid w:val="00254436"/>
    <w:rsid w:val="00255520"/>
    <w:rsid w:val="00273857"/>
    <w:rsid w:val="00276325"/>
    <w:rsid w:val="00277B5B"/>
    <w:rsid w:val="00277D9F"/>
    <w:rsid w:val="002830C1"/>
    <w:rsid w:val="0028490A"/>
    <w:rsid w:val="00285272"/>
    <w:rsid w:val="00290120"/>
    <w:rsid w:val="0029528A"/>
    <w:rsid w:val="002A1456"/>
    <w:rsid w:val="002A156A"/>
    <w:rsid w:val="002A195F"/>
    <w:rsid w:val="002A23A2"/>
    <w:rsid w:val="002A27C8"/>
    <w:rsid w:val="002A32CE"/>
    <w:rsid w:val="002A361E"/>
    <w:rsid w:val="002A38B2"/>
    <w:rsid w:val="002A4AD8"/>
    <w:rsid w:val="002B1759"/>
    <w:rsid w:val="002B51F5"/>
    <w:rsid w:val="002B713C"/>
    <w:rsid w:val="002C1192"/>
    <w:rsid w:val="002C4192"/>
    <w:rsid w:val="002C6FCA"/>
    <w:rsid w:val="002D1ADB"/>
    <w:rsid w:val="002D1C8C"/>
    <w:rsid w:val="002D4ACA"/>
    <w:rsid w:val="002D6C95"/>
    <w:rsid w:val="002E5A49"/>
    <w:rsid w:val="002E6351"/>
    <w:rsid w:val="002E7391"/>
    <w:rsid w:val="002E7FF7"/>
    <w:rsid w:val="002F1A14"/>
    <w:rsid w:val="002F3FD9"/>
    <w:rsid w:val="002F4C9B"/>
    <w:rsid w:val="002F5A98"/>
    <w:rsid w:val="002F6B02"/>
    <w:rsid w:val="002F7C96"/>
    <w:rsid w:val="00304AA7"/>
    <w:rsid w:val="00305A41"/>
    <w:rsid w:val="00314F16"/>
    <w:rsid w:val="00315417"/>
    <w:rsid w:val="003159FA"/>
    <w:rsid w:val="00320540"/>
    <w:rsid w:val="0032660B"/>
    <w:rsid w:val="003300B1"/>
    <w:rsid w:val="00330D6C"/>
    <w:rsid w:val="00332591"/>
    <w:rsid w:val="00346D5A"/>
    <w:rsid w:val="00347B4E"/>
    <w:rsid w:val="00350A54"/>
    <w:rsid w:val="003529A8"/>
    <w:rsid w:val="003540D3"/>
    <w:rsid w:val="00356B8C"/>
    <w:rsid w:val="00357999"/>
    <w:rsid w:val="0036016A"/>
    <w:rsid w:val="003615D7"/>
    <w:rsid w:val="003632E1"/>
    <w:rsid w:val="00370164"/>
    <w:rsid w:val="00370E53"/>
    <w:rsid w:val="00372512"/>
    <w:rsid w:val="003826BD"/>
    <w:rsid w:val="00383AEB"/>
    <w:rsid w:val="003854EA"/>
    <w:rsid w:val="00385DF8"/>
    <w:rsid w:val="003913BD"/>
    <w:rsid w:val="00393ABC"/>
    <w:rsid w:val="00394528"/>
    <w:rsid w:val="00397902"/>
    <w:rsid w:val="00397C5E"/>
    <w:rsid w:val="003A0801"/>
    <w:rsid w:val="003A1739"/>
    <w:rsid w:val="003B0F78"/>
    <w:rsid w:val="003B1BD1"/>
    <w:rsid w:val="003B4054"/>
    <w:rsid w:val="003C41AA"/>
    <w:rsid w:val="003C7E26"/>
    <w:rsid w:val="003D56B9"/>
    <w:rsid w:val="003D6991"/>
    <w:rsid w:val="003E5CC2"/>
    <w:rsid w:val="003E5F9F"/>
    <w:rsid w:val="003E7783"/>
    <w:rsid w:val="003F0120"/>
    <w:rsid w:val="003F1C60"/>
    <w:rsid w:val="003F2599"/>
    <w:rsid w:val="003F4496"/>
    <w:rsid w:val="003F451A"/>
    <w:rsid w:val="00400A46"/>
    <w:rsid w:val="00403DCE"/>
    <w:rsid w:val="004064C1"/>
    <w:rsid w:val="004147DC"/>
    <w:rsid w:val="00423C4D"/>
    <w:rsid w:val="00423C9E"/>
    <w:rsid w:val="00424101"/>
    <w:rsid w:val="00424E52"/>
    <w:rsid w:val="00431A9E"/>
    <w:rsid w:val="00433527"/>
    <w:rsid w:val="00434041"/>
    <w:rsid w:val="0043555A"/>
    <w:rsid w:val="004439F0"/>
    <w:rsid w:val="00445E78"/>
    <w:rsid w:val="00447582"/>
    <w:rsid w:val="004542EE"/>
    <w:rsid w:val="004558BE"/>
    <w:rsid w:val="004617A5"/>
    <w:rsid w:val="00462BC9"/>
    <w:rsid w:val="00463685"/>
    <w:rsid w:val="004704A4"/>
    <w:rsid w:val="0047231D"/>
    <w:rsid w:val="004749BD"/>
    <w:rsid w:val="00487FEF"/>
    <w:rsid w:val="00490F4A"/>
    <w:rsid w:val="004965F7"/>
    <w:rsid w:val="00496BEF"/>
    <w:rsid w:val="004973EA"/>
    <w:rsid w:val="004A0946"/>
    <w:rsid w:val="004A29C8"/>
    <w:rsid w:val="004A6334"/>
    <w:rsid w:val="004B17FC"/>
    <w:rsid w:val="004B6A5F"/>
    <w:rsid w:val="004C231F"/>
    <w:rsid w:val="004C26A0"/>
    <w:rsid w:val="004C5BC7"/>
    <w:rsid w:val="004C5BC8"/>
    <w:rsid w:val="004C7407"/>
    <w:rsid w:val="004D17E7"/>
    <w:rsid w:val="004D743E"/>
    <w:rsid w:val="004E09DA"/>
    <w:rsid w:val="004E2E65"/>
    <w:rsid w:val="004E5E07"/>
    <w:rsid w:val="004E7D91"/>
    <w:rsid w:val="004F04DB"/>
    <w:rsid w:val="004F4646"/>
    <w:rsid w:val="00501448"/>
    <w:rsid w:val="005057BB"/>
    <w:rsid w:val="0050622B"/>
    <w:rsid w:val="00506EF6"/>
    <w:rsid w:val="005143EE"/>
    <w:rsid w:val="00514AF8"/>
    <w:rsid w:val="00516B18"/>
    <w:rsid w:val="005225F8"/>
    <w:rsid w:val="00524232"/>
    <w:rsid w:val="00525A90"/>
    <w:rsid w:val="005276AC"/>
    <w:rsid w:val="00531523"/>
    <w:rsid w:val="00534F8F"/>
    <w:rsid w:val="00540A56"/>
    <w:rsid w:val="00540F89"/>
    <w:rsid w:val="00541FC2"/>
    <w:rsid w:val="0054202F"/>
    <w:rsid w:val="00551D3C"/>
    <w:rsid w:val="00555E99"/>
    <w:rsid w:val="00557277"/>
    <w:rsid w:val="0056256F"/>
    <w:rsid w:val="00564ADD"/>
    <w:rsid w:val="00575ED0"/>
    <w:rsid w:val="00583ED8"/>
    <w:rsid w:val="00590EEF"/>
    <w:rsid w:val="00592112"/>
    <w:rsid w:val="005A005C"/>
    <w:rsid w:val="005A1D8D"/>
    <w:rsid w:val="005A52B2"/>
    <w:rsid w:val="005A5600"/>
    <w:rsid w:val="005B379D"/>
    <w:rsid w:val="005B489C"/>
    <w:rsid w:val="005B48B6"/>
    <w:rsid w:val="005B5775"/>
    <w:rsid w:val="005B5C42"/>
    <w:rsid w:val="005C06C1"/>
    <w:rsid w:val="005C260C"/>
    <w:rsid w:val="005C626B"/>
    <w:rsid w:val="005D1198"/>
    <w:rsid w:val="005D333F"/>
    <w:rsid w:val="005D7BAE"/>
    <w:rsid w:val="005E1424"/>
    <w:rsid w:val="005E3AC2"/>
    <w:rsid w:val="005E5260"/>
    <w:rsid w:val="005E5A78"/>
    <w:rsid w:val="005F0F78"/>
    <w:rsid w:val="005F11EE"/>
    <w:rsid w:val="005F12B1"/>
    <w:rsid w:val="005F3DE6"/>
    <w:rsid w:val="005F3E70"/>
    <w:rsid w:val="005F458A"/>
    <w:rsid w:val="005F4834"/>
    <w:rsid w:val="0060092C"/>
    <w:rsid w:val="006052E1"/>
    <w:rsid w:val="006076F5"/>
    <w:rsid w:val="0061094A"/>
    <w:rsid w:val="00614B93"/>
    <w:rsid w:val="006150CB"/>
    <w:rsid w:val="00617BD9"/>
    <w:rsid w:val="00621F2A"/>
    <w:rsid w:val="00630C2F"/>
    <w:rsid w:val="00636A48"/>
    <w:rsid w:val="0064177A"/>
    <w:rsid w:val="00642217"/>
    <w:rsid w:val="0065032F"/>
    <w:rsid w:val="006505FE"/>
    <w:rsid w:val="00651768"/>
    <w:rsid w:val="00651A66"/>
    <w:rsid w:val="00651ACF"/>
    <w:rsid w:val="00653705"/>
    <w:rsid w:val="00653FD6"/>
    <w:rsid w:val="006540E6"/>
    <w:rsid w:val="0065658F"/>
    <w:rsid w:val="00656700"/>
    <w:rsid w:val="00656F47"/>
    <w:rsid w:val="006576CE"/>
    <w:rsid w:val="00664D56"/>
    <w:rsid w:val="006654B2"/>
    <w:rsid w:val="00670D93"/>
    <w:rsid w:val="006733B6"/>
    <w:rsid w:val="0067377E"/>
    <w:rsid w:val="0067489B"/>
    <w:rsid w:val="00684939"/>
    <w:rsid w:val="00691024"/>
    <w:rsid w:val="006916A4"/>
    <w:rsid w:val="00692A34"/>
    <w:rsid w:val="00697326"/>
    <w:rsid w:val="006B0075"/>
    <w:rsid w:val="006B0874"/>
    <w:rsid w:val="006C2A17"/>
    <w:rsid w:val="006C3752"/>
    <w:rsid w:val="006C3BBD"/>
    <w:rsid w:val="006D2F36"/>
    <w:rsid w:val="006E29FC"/>
    <w:rsid w:val="006E3A43"/>
    <w:rsid w:val="006E4FA6"/>
    <w:rsid w:val="006E5F9D"/>
    <w:rsid w:val="006F33FF"/>
    <w:rsid w:val="007009B7"/>
    <w:rsid w:val="00700A7F"/>
    <w:rsid w:val="00702AB5"/>
    <w:rsid w:val="00705AB3"/>
    <w:rsid w:val="00705E13"/>
    <w:rsid w:val="00707028"/>
    <w:rsid w:val="007139CD"/>
    <w:rsid w:val="007143F3"/>
    <w:rsid w:val="00714B66"/>
    <w:rsid w:val="00717F25"/>
    <w:rsid w:val="007210A1"/>
    <w:rsid w:val="00722578"/>
    <w:rsid w:val="00723F05"/>
    <w:rsid w:val="00723F95"/>
    <w:rsid w:val="0072435C"/>
    <w:rsid w:val="00735062"/>
    <w:rsid w:val="007351D7"/>
    <w:rsid w:val="00741FFB"/>
    <w:rsid w:val="00744686"/>
    <w:rsid w:val="00745D50"/>
    <w:rsid w:val="00747B23"/>
    <w:rsid w:val="007511EA"/>
    <w:rsid w:val="00751613"/>
    <w:rsid w:val="00752703"/>
    <w:rsid w:val="00756D3F"/>
    <w:rsid w:val="00757BC9"/>
    <w:rsid w:val="007615D2"/>
    <w:rsid w:val="00761DA1"/>
    <w:rsid w:val="007674BE"/>
    <w:rsid w:val="00771456"/>
    <w:rsid w:val="00771E88"/>
    <w:rsid w:val="007723F8"/>
    <w:rsid w:val="00772916"/>
    <w:rsid w:val="00772FBF"/>
    <w:rsid w:val="00773BA2"/>
    <w:rsid w:val="00774616"/>
    <w:rsid w:val="00776F24"/>
    <w:rsid w:val="007805D0"/>
    <w:rsid w:val="00784BA0"/>
    <w:rsid w:val="007868CD"/>
    <w:rsid w:val="00787E70"/>
    <w:rsid w:val="0079033F"/>
    <w:rsid w:val="00792548"/>
    <w:rsid w:val="00793C5D"/>
    <w:rsid w:val="00796598"/>
    <w:rsid w:val="007A23E8"/>
    <w:rsid w:val="007A5B36"/>
    <w:rsid w:val="007A68CF"/>
    <w:rsid w:val="007B4E50"/>
    <w:rsid w:val="007C112F"/>
    <w:rsid w:val="007C173E"/>
    <w:rsid w:val="007D1217"/>
    <w:rsid w:val="007E03A9"/>
    <w:rsid w:val="007E3EAE"/>
    <w:rsid w:val="007E472F"/>
    <w:rsid w:val="007E5F4B"/>
    <w:rsid w:val="007E6883"/>
    <w:rsid w:val="007F1C3E"/>
    <w:rsid w:val="00800488"/>
    <w:rsid w:val="00802EBC"/>
    <w:rsid w:val="00804143"/>
    <w:rsid w:val="00810575"/>
    <w:rsid w:val="00815618"/>
    <w:rsid w:val="00820467"/>
    <w:rsid w:val="008229E2"/>
    <w:rsid w:val="00823B18"/>
    <w:rsid w:val="00823F1D"/>
    <w:rsid w:val="008323C3"/>
    <w:rsid w:val="008327A6"/>
    <w:rsid w:val="0083457E"/>
    <w:rsid w:val="0084507A"/>
    <w:rsid w:val="0084667A"/>
    <w:rsid w:val="00867FB3"/>
    <w:rsid w:val="00871889"/>
    <w:rsid w:val="008721C3"/>
    <w:rsid w:val="00873B79"/>
    <w:rsid w:val="008743C3"/>
    <w:rsid w:val="008775C1"/>
    <w:rsid w:val="0088196B"/>
    <w:rsid w:val="0088354D"/>
    <w:rsid w:val="008841F8"/>
    <w:rsid w:val="008856B1"/>
    <w:rsid w:val="00885B24"/>
    <w:rsid w:val="0088753D"/>
    <w:rsid w:val="00892CD3"/>
    <w:rsid w:val="008A1314"/>
    <w:rsid w:val="008A270D"/>
    <w:rsid w:val="008A599C"/>
    <w:rsid w:val="008A728F"/>
    <w:rsid w:val="008C28F8"/>
    <w:rsid w:val="008C4C98"/>
    <w:rsid w:val="008E2CBF"/>
    <w:rsid w:val="008E5030"/>
    <w:rsid w:val="008F0509"/>
    <w:rsid w:val="008F0677"/>
    <w:rsid w:val="008F06E0"/>
    <w:rsid w:val="008F125B"/>
    <w:rsid w:val="00910370"/>
    <w:rsid w:val="009145D1"/>
    <w:rsid w:val="0092219D"/>
    <w:rsid w:val="00926158"/>
    <w:rsid w:val="009275CB"/>
    <w:rsid w:val="0093383C"/>
    <w:rsid w:val="00936425"/>
    <w:rsid w:val="00945563"/>
    <w:rsid w:val="00952031"/>
    <w:rsid w:val="0095217B"/>
    <w:rsid w:val="0095723F"/>
    <w:rsid w:val="00957474"/>
    <w:rsid w:val="00961D8F"/>
    <w:rsid w:val="0096576B"/>
    <w:rsid w:val="00967058"/>
    <w:rsid w:val="009675DD"/>
    <w:rsid w:val="00973B96"/>
    <w:rsid w:val="009741C6"/>
    <w:rsid w:val="00976F12"/>
    <w:rsid w:val="0099045B"/>
    <w:rsid w:val="00990BB2"/>
    <w:rsid w:val="00991CC5"/>
    <w:rsid w:val="00995302"/>
    <w:rsid w:val="009A0B92"/>
    <w:rsid w:val="009A4C46"/>
    <w:rsid w:val="009A79B5"/>
    <w:rsid w:val="009B4FDB"/>
    <w:rsid w:val="009B52CF"/>
    <w:rsid w:val="009B5A07"/>
    <w:rsid w:val="009B792E"/>
    <w:rsid w:val="009C1046"/>
    <w:rsid w:val="009C3CC1"/>
    <w:rsid w:val="009C4AE5"/>
    <w:rsid w:val="009E0042"/>
    <w:rsid w:val="009E077B"/>
    <w:rsid w:val="009E1FEB"/>
    <w:rsid w:val="009E4B36"/>
    <w:rsid w:val="009E630D"/>
    <w:rsid w:val="009E7B66"/>
    <w:rsid w:val="009F1C9C"/>
    <w:rsid w:val="009F3B5B"/>
    <w:rsid w:val="00A04B61"/>
    <w:rsid w:val="00A0651F"/>
    <w:rsid w:val="00A10A06"/>
    <w:rsid w:val="00A142DC"/>
    <w:rsid w:val="00A1448E"/>
    <w:rsid w:val="00A20E9F"/>
    <w:rsid w:val="00A21508"/>
    <w:rsid w:val="00A23EB5"/>
    <w:rsid w:val="00A31FFC"/>
    <w:rsid w:val="00A44DF2"/>
    <w:rsid w:val="00A46CD3"/>
    <w:rsid w:val="00A4720A"/>
    <w:rsid w:val="00A4790E"/>
    <w:rsid w:val="00A52E2A"/>
    <w:rsid w:val="00A53504"/>
    <w:rsid w:val="00A6158E"/>
    <w:rsid w:val="00A6335D"/>
    <w:rsid w:val="00A659BB"/>
    <w:rsid w:val="00A86F4E"/>
    <w:rsid w:val="00A872FF"/>
    <w:rsid w:val="00A959E2"/>
    <w:rsid w:val="00A96DBA"/>
    <w:rsid w:val="00AA67CC"/>
    <w:rsid w:val="00AB3CF6"/>
    <w:rsid w:val="00AB5E07"/>
    <w:rsid w:val="00AC0017"/>
    <w:rsid w:val="00AC11F5"/>
    <w:rsid w:val="00AC4D41"/>
    <w:rsid w:val="00AD1C62"/>
    <w:rsid w:val="00AD316A"/>
    <w:rsid w:val="00AD32C2"/>
    <w:rsid w:val="00AD722C"/>
    <w:rsid w:val="00AD783D"/>
    <w:rsid w:val="00AE00C3"/>
    <w:rsid w:val="00AE010C"/>
    <w:rsid w:val="00AE2D2A"/>
    <w:rsid w:val="00AF0359"/>
    <w:rsid w:val="00AF2F6B"/>
    <w:rsid w:val="00AF46CD"/>
    <w:rsid w:val="00AF667A"/>
    <w:rsid w:val="00B020A6"/>
    <w:rsid w:val="00B040ED"/>
    <w:rsid w:val="00B132AF"/>
    <w:rsid w:val="00B26E42"/>
    <w:rsid w:val="00B32062"/>
    <w:rsid w:val="00B3291C"/>
    <w:rsid w:val="00B34FF5"/>
    <w:rsid w:val="00B35EFD"/>
    <w:rsid w:val="00B40C5A"/>
    <w:rsid w:val="00B41E93"/>
    <w:rsid w:val="00B4585F"/>
    <w:rsid w:val="00B47F02"/>
    <w:rsid w:val="00B53BCC"/>
    <w:rsid w:val="00B56268"/>
    <w:rsid w:val="00B63940"/>
    <w:rsid w:val="00B63959"/>
    <w:rsid w:val="00B6795F"/>
    <w:rsid w:val="00B70914"/>
    <w:rsid w:val="00B7200A"/>
    <w:rsid w:val="00B76AB5"/>
    <w:rsid w:val="00B776FC"/>
    <w:rsid w:val="00B847FB"/>
    <w:rsid w:val="00B9332A"/>
    <w:rsid w:val="00BA1A02"/>
    <w:rsid w:val="00BA52D3"/>
    <w:rsid w:val="00BA63BB"/>
    <w:rsid w:val="00BB0E1E"/>
    <w:rsid w:val="00BB1FCB"/>
    <w:rsid w:val="00BB2602"/>
    <w:rsid w:val="00BB74A4"/>
    <w:rsid w:val="00BB783A"/>
    <w:rsid w:val="00BC60D1"/>
    <w:rsid w:val="00BD10F4"/>
    <w:rsid w:val="00BD1BCA"/>
    <w:rsid w:val="00BD5945"/>
    <w:rsid w:val="00BD64E3"/>
    <w:rsid w:val="00BE001A"/>
    <w:rsid w:val="00BE2617"/>
    <w:rsid w:val="00BE4C52"/>
    <w:rsid w:val="00BE4E7D"/>
    <w:rsid w:val="00BE4F9D"/>
    <w:rsid w:val="00BE65E6"/>
    <w:rsid w:val="00BF0654"/>
    <w:rsid w:val="00BF1745"/>
    <w:rsid w:val="00BF2FFB"/>
    <w:rsid w:val="00BF5A28"/>
    <w:rsid w:val="00BF5B15"/>
    <w:rsid w:val="00BF67D0"/>
    <w:rsid w:val="00C0031D"/>
    <w:rsid w:val="00C00B26"/>
    <w:rsid w:val="00C00EAB"/>
    <w:rsid w:val="00C050B2"/>
    <w:rsid w:val="00C10A97"/>
    <w:rsid w:val="00C11474"/>
    <w:rsid w:val="00C13372"/>
    <w:rsid w:val="00C23214"/>
    <w:rsid w:val="00C2486D"/>
    <w:rsid w:val="00C41B2F"/>
    <w:rsid w:val="00C44C68"/>
    <w:rsid w:val="00C45CC3"/>
    <w:rsid w:val="00C47EBC"/>
    <w:rsid w:val="00C50FC0"/>
    <w:rsid w:val="00C529B2"/>
    <w:rsid w:val="00C52C24"/>
    <w:rsid w:val="00C572D3"/>
    <w:rsid w:val="00C60504"/>
    <w:rsid w:val="00C60A2B"/>
    <w:rsid w:val="00C64AB0"/>
    <w:rsid w:val="00C726E4"/>
    <w:rsid w:val="00C768B4"/>
    <w:rsid w:val="00C82C22"/>
    <w:rsid w:val="00C932AF"/>
    <w:rsid w:val="00C93422"/>
    <w:rsid w:val="00C93F32"/>
    <w:rsid w:val="00C957E6"/>
    <w:rsid w:val="00C970F1"/>
    <w:rsid w:val="00CA1A92"/>
    <w:rsid w:val="00CA6585"/>
    <w:rsid w:val="00CA7D09"/>
    <w:rsid w:val="00CB1E8E"/>
    <w:rsid w:val="00CB408C"/>
    <w:rsid w:val="00CB581B"/>
    <w:rsid w:val="00CB66CB"/>
    <w:rsid w:val="00CC2D45"/>
    <w:rsid w:val="00CC6E08"/>
    <w:rsid w:val="00CD1D1A"/>
    <w:rsid w:val="00CD1E16"/>
    <w:rsid w:val="00CD5BAC"/>
    <w:rsid w:val="00CE0D16"/>
    <w:rsid w:val="00CE3A37"/>
    <w:rsid w:val="00CE61FE"/>
    <w:rsid w:val="00CE6584"/>
    <w:rsid w:val="00CF0CE7"/>
    <w:rsid w:val="00CF2DED"/>
    <w:rsid w:val="00CF3496"/>
    <w:rsid w:val="00CF4632"/>
    <w:rsid w:val="00CF53AE"/>
    <w:rsid w:val="00CF7D93"/>
    <w:rsid w:val="00D017AF"/>
    <w:rsid w:val="00D01AB6"/>
    <w:rsid w:val="00D03894"/>
    <w:rsid w:val="00D15DF7"/>
    <w:rsid w:val="00D15E4B"/>
    <w:rsid w:val="00D23F64"/>
    <w:rsid w:val="00D30AAC"/>
    <w:rsid w:val="00D34860"/>
    <w:rsid w:val="00D357C8"/>
    <w:rsid w:val="00D40878"/>
    <w:rsid w:val="00D41674"/>
    <w:rsid w:val="00D43D37"/>
    <w:rsid w:val="00D50085"/>
    <w:rsid w:val="00D52CFB"/>
    <w:rsid w:val="00D5666C"/>
    <w:rsid w:val="00D57A45"/>
    <w:rsid w:val="00D64B3B"/>
    <w:rsid w:val="00D65C42"/>
    <w:rsid w:val="00D676BB"/>
    <w:rsid w:val="00D72379"/>
    <w:rsid w:val="00D80707"/>
    <w:rsid w:val="00D8656E"/>
    <w:rsid w:val="00D87D20"/>
    <w:rsid w:val="00D91119"/>
    <w:rsid w:val="00D92EC7"/>
    <w:rsid w:val="00D933C9"/>
    <w:rsid w:val="00DA0601"/>
    <w:rsid w:val="00DA56B4"/>
    <w:rsid w:val="00DA6D18"/>
    <w:rsid w:val="00DA7557"/>
    <w:rsid w:val="00DB1164"/>
    <w:rsid w:val="00DB5E33"/>
    <w:rsid w:val="00DC3E63"/>
    <w:rsid w:val="00DC6752"/>
    <w:rsid w:val="00DC73D1"/>
    <w:rsid w:val="00DC78F9"/>
    <w:rsid w:val="00DD12DC"/>
    <w:rsid w:val="00DD3AFB"/>
    <w:rsid w:val="00DD6EA0"/>
    <w:rsid w:val="00DD7832"/>
    <w:rsid w:val="00DE49E9"/>
    <w:rsid w:val="00DE603C"/>
    <w:rsid w:val="00DF084D"/>
    <w:rsid w:val="00DF672C"/>
    <w:rsid w:val="00DF725D"/>
    <w:rsid w:val="00E01CF6"/>
    <w:rsid w:val="00E04222"/>
    <w:rsid w:val="00E04287"/>
    <w:rsid w:val="00E050C7"/>
    <w:rsid w:val="00E12EB7"/>
    <w:rsid w:val="00E1565C"/>
    <w:rsid w:val="00E24E05"/>
    <w:rsid w:val="00E26482"/>
    <w:rsid w:val="00E2776C"/>
    <w:rsid w:val="00E27ECE"/>
    <w:rsid w:val="00E328CE"/>
    <w:rsid w:val="00E33F7D"/>
    <w:rsid w:val="00E401E5"/>
    <w:rsid w:val="00E405D3"/>
    <w:rsid w:val="00E42706"/>
    <w:rsid w:val="00E43368"/>
    <w:rsid w:val="00E4358A"/>
    <w:rsid w:val="00E458D8"/>
    <w:rsid w:val="00E461CA"/>
    <w:rsid w:val="00E542E9"/>
    <w:rsid w:val="00E600A9"/>
    <w:rsid w:val="00E61C92"/>
    <w:rsid w:val="00E664B7"/>
    <w:rsid w:val="00E74849"/>
    <w:rsid w:val="00E74920"/>
    <w:rsid w:val="00E80985"/>
    <w:rsid w:val="00E83419"/>
    <w:rsid w:val="00E83A02"/>
    <w:rsid w:val="00E86ACF"/>
    <w:rsid w:val="00E96F8A"/>
    <w:rsid w:val="00EA1F18"/>
    <w:rsid w:val="00EA3AAB"/>
    <w:rsid w:val="00EA4B70"/>
    <w:rsid w:val="00EA576E"/>
    <w:rsid w:val="00EA79AB"/>
    <w:rsid w:val="00EB11FA"/>
    <w:rsid w:val="00EC01D4"/>
    <w:rsid w:val="00EC229A"/>
    <w:rsid w:val="00EC3512"/>
    <w:rsid w:val="00EC7B02"/>
    <w:rsid w:val="00ED5E68"/>
    <w:rsid w:val="00ED637E"/>
    <w:rsid w:val="00EE12C1"/>
    <w:rsid w:val="00EE18F3"/>
    <w:rsid w:val="00EE3DF3"/>
    <w:rsid w:val="00EE521A"/>
    <w:rsid w:val="00EF0819"/>
    <w:rsid w:val="00EF1280"/>
    <w:rsid w:val="00EF1B85"/>
    <w:rsid w:val="00EF1FF6"/>
    <w:rsid w:val="00EF4767"/>
    <w:rsid w:val="00F008EE"/>
    <w:rsid w:val="00F02814"/>
    <w:rsid w:val="00F05275"/>
    <w:rsid w:val="00F062FC"/>
    <w:rsid w:val="00F15242"/>
    <w:rsid w:val="00F15631"/>
    <w:rsid w:val="00F1751A"/>
    <w:rsid w:val="00F21329"/>
    <w:rsid w:val="00F23E96"/>
    <w:rsid w:val="00F34DD2"/>
    <w:rsid w:val="00F358BC"/>
    <w:rsid w:val="00F415B5"/>
    <w:rsid w:val="00F45672"/>
    <w:rsid w:val="00F508D9"/>
    <w:rsid w:val="00F50F72"/>
    <w:rsid w:val="00F510C7"/>
    <w:rsid w:val="00F51699"/>
    <w:rsid w:val="00F60BC5"/>
    <w:rsid w:val="00F6178E"/>
    <w:rsid w:val="00F63915"/>
    <w:rsid w:val="00F643C9"/>
    <w:rsid w:val="00F64D62"/>
    <w:rsid w:val="00F76EEA"/>
    <w:rsid w:val="00F805DB"/>
    <w:rsid w:val="00F83B52"/>
    <w:rsid w:val="00F90DF1"/>
    <w:rsid w:val="00F93E36"/>
    <w:rsid w:val="00F9477E"/>
    <w:rsid w:val="00F96400"/>
    <w:rsid w:val="00FA766B"/>
    <w:rsid w:val="00FB3914"/>
    <w:rsid w:val="00FB5B77"/>
    <w:rsid w:val="00FB75DC"/>
    <w:rsid w:val="00FC074C"/>
    <w:rsid w:val="00FC2264"/>
    <w:rsid w:val="00FC48E7"/>
    <w:rsid w:val="00FC5A71"/>
    <w:rsid w:val="00FC5E6E"/>
    <w:rsid w:val="00FC6A14"/>
    <w:rsid w:val="00FD02F4"/>
    <w:rsid w:val="00FD27F7"/>
    <w:rsid w:val="00FD5F1E"/>
    <w:rsid w:val="00FD62A5"/>
    <w:rsid w:val="00FD6B28"/>
    <w:rsid w:val="00FE31BA"/>
    <w:rsid w:val="00FE336A"/>
    <w:rsid w:val="00FE63CB"/>
    <w:rsid w:val="00FE6621"/>
    <w:rsid w:val="00FF03EA"/>
    <w:rsid w:val="00FF19ED"/>
    <w:rsid w:val="00FF4687"/>
    <w:rsid w:val="00FF4E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83ED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1424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framePr w:wrap="auto"/>
      <w:widowControl/>
      <w:autoSpaceDE/>
      <w:autoSpaceDN/>
      <w:adjustRightInd/>
      <w:spacing w:before="240" w:after="60"/>
      <w:ind w:left="0" w:right="0"/>
      <w:jc w:val="left"/>
      <w:textAlignment w:val="auto"/>
      <w:outlineLvl w:val="2"/>
    </w:pPr>
    <w:rPr>
      <w:rFonts w:ascii="Arial" w:hAnsi="Arial" w:cs="Arial"/>
      <w:b/>
      <w:bCs/>
      <w:sz w:val="26"/>
      <w:szCs w:val="26"/>
      <w:rtl w:val="0"/>
      <w:cs w:val="0"/>
    </w:rPr>
  </w:style>
  <w:style w:type="character" w:default="1" w:styleId="DefaultParagraphFont">
    <w:name w:val="Default Paragraph Font"/>
    <w:aliases w:val="Štýl Char Char Char Char Char Char1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CharCharCharCharCharChar1">
    <w:name w:val="Štýl Char Char Char Char Char Char1"/>
    <w:basedOn w:val="Normal"/>
    <w:rsid w:val="004E09DA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rsid w:val="00FE6621"/>
    <w:pPr>
      <w:tabs>
        <w:tab w:val="center" w:pos="4536"/>
        <w:tab w:val="right" w:pos="9072"/>
      </w:tabs>
      <w:spacing w:after="240"/>
      <w:ind w:firstLine="284"/>
      <w:jc w:val="both"/>
    </w:pPr>
    <w:rPr>
      <w:rFonts w:ascii="Arial Narrow" w:hAnsi="Arial Narrow"/>
      <w:sz w:val="22"/>
      <w:szCs w:val="22"/>
    </w:rPr>
  </w:style>
  <w:style w:type="paragraph" w:styleId="TOC1">
    <w:name w:val="toc 1"/>
    <w:basedOn w:val="Normal"/>
    <w:next w:val="Normal"/>
    <w:autoRedefine/>
    <w:rsid w:val="00FE6621"/>
    <w:pPr>
      <w:jc w:val="left"/>
    </w:pPr>
  </w:style>
  <w:style w:type="paragraph" w:styleId="TOC3">
    <w:name w:val="toc 3"/>
    <w:basedOn w:val="Normal"/>
    <w:next w:val="Normal"/>
    <w:autoRedefine/>
    <w:rsid w:val="00FE6621"/>
    <w:pPr>
      <w:ind w:left="480"/>
      <w:jc w:val="left"/>
    </w:pPr>
  </w:style>
  <w:style w:type="character" w:styleId="Hyperlink">
    <w:name w:val="Hyperlink"/>
    <w:basedOn w:val="DefaultParagraphFont"/>
    <w:rsid w:val="00FE6621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rsid w:val="00CB581B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aliases w:val="Footnote Text Char Char1 Char Char Char Char,Footnote Text Char1,Footnote Text Char1 Char,Footnote Text Char1 Char Char Char,Footnote Text Char2,Footnote Text Char2 Char Char,Footnote Text Char2 Char Char Char Char"/>
    <w:basedOn w:val="Normal"/>
    <w:link w:val="TextpoznmkypodiarouChar"/>
    <w:semiHidden/>
    <w:rsid w:val="00F805DB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05DB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rsid w:val="00186B42"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86B42"/>
    <w:rPr>
      <w:rFonts w:cs="Times New Roman"/>
      <w:rtl w:val="0"/>
      <w:cs w:val="0"/>
    </w:rPr>
  </w:style>
  <w:style w:type="table" w:styleId="TableGrid">
    <w:name w:val="Table Grid"/>
    <w:basedOn w:val="TableNormal"/>
    <w:rsid w:val="0077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71456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8775C1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tlCharCharCharCharCharChar">
    <w:name w:val="Štýl Char Char Char Char Char Char"/>
    <w:basedOn w:val="Normal"/>
    <w:rsid w:val="008F0677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3A1739"/>
    <w:pPr>
      <w:spacing w:after="160" w:line="240" w:lineRule="exact"/>
      <w:jc w:val="left"/>
    </w:pPr>
    <w:rPr>
      <w:rFonts w:ascii="Arial Narrow" w:hAnsi="Arial Narrow"/>
      <w:sz w:val="22"/>
      <w:szCs w:val="20"/>
      <w:lang w:val="en-US" w:eastAsia="en-US"/>
    </w:rPr>
  </w:style>
  <w:style w:type="paragraph" w:customStyle="1" w:styleId="tlCharCharCharChar">
    <w:name w:val="Štýl Char Char Char Char"/>
    <w:basedOn w:val="Normal"/>
    <w:rsid w:val="00E401E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ZkladntextChar"/>
    <w:rsid w:val="00423C4D"/>
    <w:pPr>
      <w:jc w:val="both"/>
    </w:pPr>
  </w:style>
  <w:style w:type="character" w:customStyle="1" w:styleId="ZkladntextChar">
    <w:name w:val="Základný text Char"/>
    <w:basedOn w:val="DefaultParagraphFont"/>
    <w:link w:val="BodyText"/>
    <w:locked/>
    <w:rsid w:val="00423C4D"/>
    <w:rPr>
      <w:rFonts w:cs="Times New Roman"/>
      <w:sz w:val="24"/>
      <w:szCs w:val="24"/>
      <w:rtl w:val="0"/>
      <w:cs w:val="0"/>
    </w:rPr>
  </w:style>
  <w:style w:type="character" w:customStyle="1" w:styleId="TextpoznmkypodiarouChar">
    <w:name w:val="Text poznámky pod čiarou Char"/>
    <w:aliases w:val="Footnote Text Char1 Char Char,Footnote Text Char1 Char Char Char Char,Footnote Text Char1 Char1,Footnote Text Char2 Char,Footnote Text Char2 Char Char Char,Footnote Text Char2 Char Char Char Char Char"/>
    <w:basedOn w:val="DefaultParagraphFont"/>
    <w:link w:val="FootnoteText"/>
    <w:semiHidden/>
    <w:locked/>
    <w:rsid w:val="00D01AB6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nhideWhenUsed/>
    <w:rsid w:val="0084667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4667A"/>
    <w:rPr>
      <w:rFonts w:cs="Times New Roman"/>
      <w:sz w:val="24"/>
      <w:szCs w:val="24"/>
      <w:rtl w:val="0"/>
      <w:cs w:val="0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rsid w:val="0084667A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tl3">
    <w:name w:val="Štýl3"/>
    <w:basedOn w:val="Heading3"/>
    <w:autoRedefine/>
    <w:rsid w:val="0084667A"/>
    <w:pPr>
      <w:numPr>
        <w:ilvl w:val="2"/>
        <w:numId w:val="3"/>
      </w:numPr>
      <w:tabs>
        <w:tab w:val="num" w:pos="357"/>
      </w:tabs>
      <w:spacing w:before="100" w:beforeAutospacing="1" w:after="100" w:afterAutospacing="1"/>
      <w:ind w:left="357" w:hanging="357"/>
      <w:jc w:val="left"/>
    </w:pPr>
    <w:rPr>
      <w:rFonts w:ascii="Book Antiqua" w:hAnsi="Book Antiqua" w:cs="Times New Roman"/>
      <w:sz w:val="22"/>
      <w:szCs w:val="22"/>
      <w:lang w:val="sk-SK" w:eastAsia="cs-CZ" w:bidi="ar-SA"/>
    </w:rPr>
  </w:style>
  <w:style w:type="paragraph" w:customStyle="1" w:styleId="Zkladntext">
    <w:name w:val="Základní text"/>
    <w:rsid w:val="0084667A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Zarkazkladnhotextu2Char"/>
    <w:rsid w:val="0084667A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locked/>
    <w:rsid w:val="0084667A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aliases w:val="Char"/>
    <w:basedOn w:val="Normal"/>
    <w:link w:val="Zarkazkladnhotextu3Char"/>
    <w:rsid w:val="0084667A"/>
    <w:pPr>
      <w:ind w:firstLine="708"/>
      <w:jc w:val="both"/>
    </w:pPr>
    <w:rPr>
      <w:rFonts w:ascii="Arial Narrow" w:hAnsi="Arial Narrow"/>
      <w:sz w:val="22"/>
      <w:szCs w:val="22"/>
    </w:rPr>
  </w:style>
  <w:style w:type="character" w:customStyle="1" w:styleId="Zarkazkladnhotextu3Char">
    <w:name w:val="Zarážka základného textu 3 Char"/>
    <w:aliases w:val="Char Char3"/>
    <w:basedOn w:val="DefaultParagraphFont"/>
    <w:link w:val="BodyTextIndent3"/>
    <w:locked/>
    <w:rsid w:val="0084667A"/>
    <w:rPr>
      <w:rFonts w:ascii="Arial Narrow" w:hAnsi="Arial Narrow" w:cs="Times New Roman"/>
      <w:sz w:val="22"/>
      <w:szCs w:val="22"/>
      <w:rtl w:val="0"/>
      <w:cs w:val="0"/>
    </w:rPr>
  </w:style>
  <w:style w:type="paragraph" w:customStyle="1" w:styleId="CharCharCharCharCharCharCharCharCharCharCharCharCharCharCharCharCharCharCharCharCharCharCharCharCharChar0">
    <w:name w:val="Char Char Char Char Char Char Char Char Char Char Char Char Char Char Char Char Char Char Char Char Char Char Char Char Char Char_0"/>
    <w:basedOn w:val="Normal"/>
    <w:rsid w:val="0084667A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aliases w:val="Char_0"/>
    <w:basedOn w:val="Normal"/>
    <w:link w:val="ZarkazkladnhotextuChar"/>
    <w:rsid w:val="0084667A"/>
    <w:pPr>
      <w:spacing w:after="120"/>
      <w:ind w:left="283"/>
      <w:jc w:val="left"/>
    </w:pPr>
    <w:rPr>
      <w:rFonts w:ascii="Courier" w:hAnsi="Courier"/>
      <w:szCs w:val="20"/>
      <w:lang w:eastAsia="cs-CZ"/>
    </w:rPr>
  </w:style>
  <w:style w:type="character" w:customStyle="1" w:styleId="ZarkazkladnhotextuChar">
    <w:name w:val="Zarážka základného textu Char"/>
    <w:aliases w:val="Char Char2"/>
    <w:basedOn w:val="DefaultParagraphFont"/>
    <w:link w:val="BodyTextIndent"/>
    <w:locked/>
    <w:rsid w:val="0084667A"/>
    <w:rPr>
      <w:rFonts w:ascii="Courier" w:hAnsi="Courier" w:cs="Times New Roman"/>
      <w:sz w:val="24"/>
      <w:rtl w:val="0"/>
      <w:cs w:val="0"/>
      <w:lang w:val="x-none" w:eastAsia="cs-CZ"/>
    </w:rPr>
  </w:style>
  <w:style w:type="character" w:customStyle="1" w:styleId="Nadpis3Char">
    <w:name w:val="Nadpis 3 Char"/>
    <w:aliases w:val="Char Char Char"/>
    <w:basedOn w:val="DefaultParagraphFont"/>
    <w:link w:val="Heading3"/>
    <w:locked/>
    <w:rsid w:val="0084667A"/>
    <w:rPr>
      <w:rFonts w:ascii="Arial" w:hAnsi="Arial" w:cs="Arial"/>
      <w:b/>
      <w:bCs/>
      <w:sz w:val="26"/>
      <w:szCs w:val="26"/>
      <w:rtl w:val="0"/>
      <w:cs w:val="0"/>
    </w:rPr>
  </w:style>
  <w:style w:type="paragraph" w:styleId="ListParagraph">
    <w:name w:val="List Paragraph"/>
    <w:basedOn w:val="Normal"/>
    <w:qFormat/>
    <w:rsid w:val="00C572D3"/>
    <w:pPr>
      <w:ind w:left="708"/>
      <w:jc w:val="left"/>
    </w:pPr>
  </w:style>
  <w:style w:type="character" w:customStyle="1" w:styleId="Nadpis2Char">
    <w:name w:val="Nadpis 2 Char"/>
    <w:basedOn w:val="DefaultParagraphFont"/>
    <w:link w:val="Heading2"/>
    <w:locked/>
    <w:rsid w:val="00EC7B02"/>
    <w:rPr>
      <w:rFonts w:ascii="Arial" w:hAnsi="Arial" w:cs="Arial"/>
      <w:b/>
      <w:bCs/>
      <w:i/>
      <w:iCs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23</Pages>
  <Words>14192</Words>
  <Characters>80897</Characters>
  <Application>Microsoft Office Word</Application>
  <DocSecurity>0</DocSecurity>
  <Lines>0</Lines>
  <Paragraphs>0</Paragraphs>
  <ScaleCrop>false</ScaleCrop>
  <Company>MFSR</Company>
  <LinksUpToDate>false</LinksUpToDate>
  <CharactersWithSpaces>94900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Komentovaný návrh obsahu Aktualizácie stratégie riadenia štátneho dlhu</dc:title>
  <dc:creator>user</dc:creator>
  <cp:lastModifiedBy>GaspJarm</cp:lastModifiedBy>
  <cp:revision>2</cp:revision>
  <cp:lastPrinted>2010-09-29T16:07:00Z</cp:lastPrinted>
  <dcterms:created xsi:type="dcterms:W3CDTF">2010-11-26T18:34:00Z</dcterms:created>
  <dcterms:modified xsi:type="dcterms:W3CDTF">2010-11-26T18:34:00Z</dcterms:modified>
</cp:coreProperties>
</file>