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jc w:val="both"/>
        <w:rPr>
          <w:rStyle w:val="DefaultParagraphFont"/>
          <w:rFonts w:cs="Calibri"/>
          <w:b/>
          <w:color w:val="000000"/>
        </w:rPr>
      </w:pPr>
      <w:r w:rsidRPr="004B5AFB">
        <w:rPr>
          <w:rStyle w:val="DefaultParagraphFont"/>
          <w:rFonts w:cs="Calibri"/>
          <w:b/>
          <w:color w:val="000000"/>
        </w:rPr>
        <w:t>B. Osobitná časť</w:t>
      </w: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856250" w:rsidRPr="004B5AFB">
      <w:pPr>
        <w:spacing w:before="0" w:beforeAutospacing="0" w:after="0" w:afterAutospacing="0"/>
        <w:jc w:val="both"/>
        <w:rPr>
          <w:rStyle w:val="DefaultParagraphFont"/>
          <w:rFonts w:cs="Calibri"/>
          <w:color w:val="000000"/>
        </w:rPr>
      </w:pPr>
      <w:r w:rsidR="00C56F59">
        <w:rPr>
          <w:rStyle w:val="PlaceholderText"/>
          <w:rFonts w:cs="Calibri"/>
          <w:b/>
          <w:color w:val="000000"/>
          <w:lang w:val="en-US"/>
        </w:rPr>
        <w:t>Čl. I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 bodu 1: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Navrhovaná úprava súvisí s novelizáciou ustanovenia § 11, z dôvodu, že oblasť podpory sa rozširuje aj na športovanie počas školského vyučovania a na športovanie študentov. Školské športové súťaže a aktivity sa konajú aj v čase vyučovania. V nadväznosti na túto úpravu je potrebné spresnenie spočívajúce v terminologickej úprave.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 bodu 2: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Predmetné ustanovenie sa vypúšťa v súvislosti s jeho nadbytočným a duplicitným uvedením. Z ostatných úloh vymedzených v zákone vyplýva, že národný športový zväz sa podieľa na vytváraní podmienok pre športovanie, napr. prípravou športovej reprezentácie, starostlivosťou o talenty, organizovaním súťaží a pod, a to bez ohľadu na vek športovcov.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 bodu 3:</w:t>
      </w:r>
    </w:p>
    <w:p w:rsidR="00C56F59">
      <w:pPr>
        <w:spacing w:before="0" w:beforeAutospacing="0" w:after="0" w:afterAutospacing="0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V § 10 sa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 xml:space="preserve">uvádzajú možné zdroje financovania športu. Inými zdrojmi financovania športu sú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napríklad dedičstvo, výhra v lotérií a pod.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 bodu 4: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§ 11 odseku 1 sa ustanovujú činnosti a oblasti, na ktoré je možné poskytnúť dotáciu. Návrhom zákona sa rozširuje možnosť poskytnutia dotácie aj na zabezpečenie športovania detí, žiakov a študentov nielen mimo vyučovania, ale aj počas vyučovania, ďalej na vzdelávanie v športe, na odmeny športovcov a trénerov a podporu edičnej, muzeálnej a osvetovej činnosti v športe.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Navrhovaným ustanovením odseku 2 sa zabezpečuje, aby sa prostriedky štátneho rozpočtu, poskytnuté ako dotácia, nemohli poskytnúť ani použiť na účely vymedzené týmto odsekom s výnimkou dotácie v oblasti športovej infraštruktúry osobitného významu, kedy sa dotácia môže poskytnúť aj na výdavky z predchádzajúcich rokov, avšak len vtedy, ak tieto výdavky vznikli po podpise zmluvy o poskytnutí dotácie. </w:t>
      </w:r>
      <w:r>
        <w:rPr>
          <w:rStyle w:val="PlaceholderText"/>
          <w:rFonts w:cs="Calibri"/>
          <w:color w:val="000000"/>
          <w:lang w:val="en-US"/>
        </w:rPr>
        <w:t>Pôjde predovšetkým o prípady, v ktorých bude zmluva podpísaná na viacročné obdobie v súlade s uzneseniami vlády SR.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 bodu 5: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 § 11a:</w:t>
      </w:r>
      <w:r>
        <w:rPr>
          <w:rStyle w:val="PlaceholderText"/>
          <w:rFonts w:cs="Calibri"/>
          <w:color w:val="000000"/>
          <w:lang w:val="en-US"/>
        </w:rPr>
        <w:t xml:space="preserve">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Predmetné ustanovenie určuje kto môže požiadať o poskytnuitie dotácie. Žiadateľom môže byť právnická osoba, ktorá má sídlo na území Slovenskej republiky a plnoletá fyzická osoba.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 § 11b:</w:t>
      </w:r>
      <w:r>
        <w:rPr>
          <w:rStyle w:val="PlaceholderText"/>
          <w:rFonts w:cs="Calibri"/>
          <w:b/>
          <w:color w:val="000000"/>
          <w:lang w:val="en-US"/>
        </w:rPr>
        <w:t xml:space="preserve">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V odseku 1 sa určuje spôsob vyhlásenia výzvy na predkladanie žiadostí, a to prostredníctvom webového sídla ministerstva. V odseku 2 sú ustanovené povinné náležitosti, ktoré musí obsahovať výzva. Jednotlivé výzvy budú obsahovať aj presné výberové kritéria v závislosti od konkrétneho účelu poskytovanej dotácie, ktoré budú mať vplyv na poskytnutie dotácie a jej výšku, resp. neposkytnutie. Zároveň sa ustanovuje minimálna 30-dňová lehota na predkladanie žiadostí od zverejnenia výzvy na webovom sídle. Z odseku 3 vyplýva </w:t>
      </w:r>
      <w:r>
        <w:rPr>
          <w:rStyle w:val="PlaceholderText"/>
          <w:rFonts w:cs="Calibri"/>
          <w:color w:val="000000"/>
          <w:lang w:val="en-US"/>
        </w:rPr>
        <w:t xml:space="preserve">spôsob predkladania žiadosti a v odsekoch 4 a 5 je určený jej obsah.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 § 11c:</w:t>
      </w:r>
      <w:r>
        <w:rPr>
          <w:rStyle w:val="PlaceholderText"/>
          <w:rFonts w:cs="Calibri"/>
          <w:color w:val="000000"/>
          <w:lang w:val="en-US"/>
        </w:rPr>
        <w:t xml:space="preserve">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Návrh zákona ukladá ministerstvu povinnosť zverejniť na svojom webovom sídle informácie o predložených žiadostiach, poskytnutí, resp. neposkytnutí dotácie žiadateľom s uvedením dôvodu neposkytnutia dotácie a zmluvy uzatvorené so žiadateľmi, ktorým bude poskytnutá dotácia. Odsek 2 ustanovuje, že dotáciu nemožno poskytnúť v prípade, ak žiadateľ nepredložil žiadosť v určenom termíne a nesplnil všetky podmienky vyplývajúce z tohto zákona. Odsek 3 ustanovuje, že na poskytnutie dotácie nie je právny nárok.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 § 11d: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Odsek 1 určuje, že dotácia sa poskytne na základe zmluvy medzi ministerstvom a žiadateľom. V odseku 2 sú ustanovené povinné náležitosti obsahu zmluvy.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 § 11e: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tomto ustanovení sa určuje povinnosť ministerstva vykonávať kontrolu použitia poskytnutej dotácie. Žiadateľovi sa určuje povinnosť ministerstvu predložiť aj doklady o použití  prostriedkov určených na spolufinancovanie účelu dotácie, ak sa spolufinancovanie vyžaduje. Táto povinnosť sa ukladá z dôvodu, aby bolo možné vykonať kontrolu realizácie spolufinancovania. V odseku 3 sa odkazuje na zákon č. 523/2004 Z. z. v prípade porušenia finančnej disciplíny. Odsek 4 ustanovuje, že týmto návrhom zákona nie sú dotknuté predpisy o štátnej pomoci.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br/>
      </w:r>
      <w:r>
        <w:rPr>
          <w:rStyle w:val="PlaceholderText"/>
          <w:rFonts w:cs="Calibri"/>
          <w:b/>
          <w:color w:val="000000"/>
          <w:u w:val="single"/>
          <w:lang w:val="en-US"/>
        </w:rPr>
        <w:t>K bodu 6: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Legislatívnotechnická úprava v nadväznosti na novelizačné body 1 a 4 (§11 ods. 1 písm. d)).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 bodu 7: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Uvedené odseky sa vypúšťajú z dôvodu duplicity informačných povinností pre ministerstvo, ktoré sú uvedené v  § 11b ods. 1 a ods. 2 a § 11c ods. 1.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u w:val="single"/>
          <w:lang w:val="en-US"/>
        </w:rPr>
        <w:t>K bodu 8: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Prechodné ustanovenie, ktoré upravuje spôsob posudzovania žiadostí predložených do účinnosti tohto zákona.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br/>
      </w:r>
      <w:r>
        <w:rPr>
          <w:rStyle w:val="PlaceholderText"/>
          <w:rFonts w:cs="Calibri"/>
          <w:b/>
          <w:color w:val="000000"/>
          <w:u w:val="single"/>
          <w:lang w:val="en-US"/>
        </w:rPr>
        <w:t>K Čl. II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Ustanovuje sa účinnosť navrhovaného zákona.</w:t>
      </w:r>
    </w:p>
    <w:p w:rsidR="00C56F59">
      <w:pPr>
        <w:spacing w:before="0" w:beforeAutospacing="0" w:after="0" w:afterAutospacing="0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Bratislava 22. septembra 2010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Iveta Radičová v. 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predsedníčka vlády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Eugen Jurzyca</w:t>
      </w:r>
      <w:r>
        <w:rPr>
          <w:rStyle w:val="PlaceholderText"/>
          <w:rFonts w:cs="Calibri"/>
          <w:color w:val="000000"/>
          <w:lang w:val="en-US"/>
        </w:rPr>
        <w:t xml:space="preserve">   </w:t>
      </w:r>
      <w:r>
        <w:rPr>
          <w:rStyle w:val="PlaceholderText"/>
          <w:rFonts w:cs="Calibri"/>
          <w:color w:val="000000"/>
          <w:lang w:val="en-US"/>
        </w:rPr>
        <w:t>v.r.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minister školstva, vedy, výskumu a športu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before="0" w:beforeAutospacing="0" w:after="0" w:afterAutospacing="0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B5AFB"/>
    <w:rsid w:val="00856250"/>
    <w:rsid w:val="00C56F59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</Words>
  <Characters>51</Characters>
  <Application>Microsoft Office Word</Application>
  <DocSecurity>0</DocSecurity>
  <Lines>0</Lines>
  <Paragraphs>0</Paragraphs>
  <ScaleCrop>false</ScaleCrop>
  <Company>Abyss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2007-05-29T20:22:00Z</dcterms:created>
  <dcterms:modified xsi:type="dcterms:W3CDTF">2007-05-29T20:47:00Z</dcterms:modified>
</cp:coreProperties>
</file>