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A64D2D">
        <w:rPr>
          <w:rStyle w:val="DefaultParagraphFont"/>
          <w:rFonts w:cs="Calibri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b/>
          <w:color w:val="000000"/>
        </w:rPr>
      </w:pPr>
      <w:r w:rsidRPr="00A64D2D">
        <w:rPr>
          <w:rStyle w:val="DefaultParagraphFont"/>
          <w:rFonts w:cs="Calibri"/>
          <w:b/>
          <w:color w:val="000000"/>
        </w:rPr>
        <w:t>A. Všeobecná časť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>
      <w:pPr>
        <w:spacing w:before="0" w:beforeAutospacing="0" w:after="0" w:afterAutospacing="0"/>
        <w:jc w:val="both"/>
        <w:rPr>
          <w:rStyle w:val="DefaultParagraphFont"/>
          <w:rFonts w:cs="Calibri"/>
          <w:color w:val="000000"/>
        </w:rPr>
      </w:pPr>
      <w:r w:rsidR="00C0489E">
        <w:rPr>
          <w:rStyle w:val="PlaceholderText"/>
          <w:rFonts w:ascii="Arial" w:hAnsi="Arial" w:cs="Arial"/>
          <w:color w:val="000000"/>
        </w:rPr>
        <w:t>Ministerstvo školstva, vedy, výskumu a športu SR predkladá materiál do legislatívneho procesu na základe úlohy č. 8 v mesiaci september z Plánu legislatívnych úloh vlády Slovenskej republiky na rok 2010.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 xml:space="preserve">   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 xml:space="preserve">Účelom návrhu novely zákona č. 597/2003 Z. z. o financovaní základných škôl, stredných škôl a školských zariadení v znení neskorších predpisov je najmä upraviť podmienky poskytovania dotácií pre právnické osoby a fyzické osoby v oblasti regionálneho školstva. 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> 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>Na základe poznatkov z praxe sa navrhuje upraviť</w:t>
      </w:r>
      <w:r>
        <w:rPr>
          <w:rStyle w:val="PlaceholderText"/>
          <w:rFonts w:ascii="Arial" w:hAnsi="Arial" w:cs="Arial"/>
          <w:color w:val="000000"/>
        </w:rPr>
        <w:t xml:space="preserve">  </w:t>
      </w:r>
      <w:r>
        <w:rPr>
          <w:rStyle w:val="PlaceholderText"/>
          <w:rFonts w:ascii="Arial" w:hAnsi="Arial" w:cs="Arial"/>
          <w:color w:val="000000"/>
        </w:rPr>
        <w:t>poskytovanie</w:t>
      </w:r>
      <w:r>
        <w:rPr>
          <w:rStyle w:val="PlaceholderText"/>
          <w:rFonts w:ascii="Arial" w:hAnsi="Arial" w:cs="Arial"/>
          <w:color w:val="000000"/>
        </w:rPr>
        <w:t xml:space="preserve">  </w:t>
      </w:r>
      <w:r>
        <w:rPr>
          <w:rStyle w:val="PlaceholderText"/>
          <w:rFonts w:ascii="Arial" w:hAnsi="Arial" w:cs="Arial"/>
          <w:color w:val="000000"/>
        </w:rPr>
        <w:t>finančných prostriedkov</w:t>
      </w:r>
      <w:r>
        <w:rPr>
          <w:rStyle w:val="PlaceholderText"/>
          <w:rFonts w:ascii="Arial" w:hAnsi="Arial" w:cs="Arial"/>
          <w:color w:val="000000"/>
        </w:rPr>
        <w:t xml:space="preserve">  </w:t>
      </w:r>
      <w:r>
        <w:rPr>
          <w:rStyle w:val="PlaceholderText"/>
          <w:rFonts w:ascii="Arial" w:hAnsi="Arial" w:cs="Arial"/>
          <w:color w:val="000000"/>
        </w:rPr>
        <w:t>na skvalitnenie podmienok na výchovu a vzdelávanie žiakov základných škôl a základných škôl pre žiakov so špeciálnymi výchovno-vzdelávacími potrebami</w:t>
      </w:r>
      <w:r>
        <w:rPr>
          <w:rStyle w:val="PlaceholderText"/>
          <w:rFonts w:ascii="Arial" w:hAnsi="Arial" w:cs="Arial"/>
          <w:color w:val="000000"/>
        </w:rPr>
        <w:t xml:space="preserve">  </w:t>
      </w:r>
      <w:r>
        <w:rPr>
          <w:rStyle w:val="PlaceholderText"/>
          <w:rFonts w:ascii="Arial" w:hAnsi="Arial" w:cs="Arial"/>
          <w:color w:val="000000"/>
        </w:rPr>
        <w:t>zo sociálne znevýhodneného prostredia. V súvislosti so zákonom č. 317/2009 Z. z. o pedagogických zamestnancoch a odborných zamestnancoch a o zmene a doplnení niektorých zákonov sa navrhuje</w:t>
      </w:r>
      <w:r>
        <w:rPr>
          <w:rStyle w:val="PlaceholderText"/>
          <w:rFonts w:ascii="Arial" w:hAnsi="Arial" w:cs="Arial"/>
          <w:color w:val="000000"/>
        </w:rPr>
        <w:t xml:space="preserve">  </w:t>
      </w:r>
      <w:r>
        <w:rPr>
          <w:rStyle w:val="PlaceholderText"/>
          <w:rFonts w:ascii="Arial" w:hAnsi="Arial" w:cs="Arial"/>
          <w:color w:val="000000"/>
        </w:rPr>
        <w:t>poskytovanie finančných prostriedkov zriaďovateľom škôl, v ktorých sa žiaci pripravujú na povolanie, určených na starostlivosť o pedagogických a odborných zamestnancov škôl.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> 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>Ďalej sa navrhuje:</w:t>
      </w:r>
    </w:p>
    <w:p w:rsidR="00C0489E">
      <w:pPr>
        <w:spacing w:before="0" w:beforeAutospacing="0" w:after="0" w:afterAutospacing="0"/>
        <w:ind w:left="360" w:hanging="36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Calibri" w:hAnsi="Calibri" w:cs="Calibri"/>
          <w:color w:val="000000"/>
        </w:rPr>
        <w:t>-</w:t>
      </w:r>
      <w:r>
        <w:rPr>
          <w:rStyle w:val="PlaceholderText"/>
          <w:rFonts w:cs="Times New Roman"/>
          <w:color w:val="000000"/>
          <w:sz w:val="14"/>
        </w:rPr>
        <w:t xml:space="preserve">          </w:t>
      </w:r>
      <w:r>
        <w:rPr>
          <w:rStyle w:val="PlaceholderText"/>
          <w:rFonts w:ascii="Arial" w:hAnsi="Arial" w:cs="Arial"/>
          <w:color w:val="000000"/>
        </w:rPr>
        <w:t>vychádzajúc z praktických poznatkov doplniť účel použitia všetkých finančných prostriedkov poskytovaných z kapitoly Ministerstva školstva, vedy, výskumu a športu SR,</w:t>
      </w:r>
    </w:p>
    <w:p w:rsidR="00C0489E">
      <w:pPr>
        <w:spacing w:before="0" w:beforeAutospacing="0" w:after="0" w:afterAutospacing="0"/>
        <w:ind w:left="360" w:hanging="36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Calibri" w:hAnsi="Calibri" w:cs="Calibri"/>
          <w:color w:val="000000"/>
        </w:rPr>
        <w:t>-</w:t>
      </w:r>
      <w:r>
        <w:rPr>
          <w:rStyle w:val="PlaceholderText"/>
          <w:rFonts w:cs="Times New Roman"/>
          <w:color w:val="000000"/>
          <w:sz w:val="14"/>
        </w:rPr>
        <w:t xml:space="preserve">          </w:t>
      </w:r>
      <w:r>
        <w:rPr>
          <w:rStyle w:val="PlaceholderText"/>
          <w:rFonts w:ascii="Arial" w:hAnsi="Arial" w:cs="Arial"/>
          <w:color w:val="000000"/>
        </w:rPr>
        <w:t>zverejňovať zoznamy právnických osôb, fyzických osôb a výšky finančných objemov poskytnutých z kapitoly Ministerstva školstva, vedy, výskumu a športu SR s cieľom zvýšiť transparentnosť a verejnú kontrolu nad finančnými prostriedkami,</w:t>
      </w:r>
    </w:p>
    <w:p w:rsidR="00C0489E">
      <w:pPr>
        <w:spacing w:before="0" w:beforeAutospacing="0" w:after="0" w:afterAutospacing="0"/>
        <w:ind w:left="360" w:hanging="36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Calibri" w:hAnsi="Calibri" w:cs="Calibri"/>
          <w:color w:val="000000"/>
        </w:rPr>
        <w:t>-</w:t>
      </w:r>
      <w:r>
        <w:rPr>
          <w:rStyle w:val="PlaceholderText"/>
          <w:rFonts w:cs="Times New Roman"/>
          <w:color w:val="000000"/>
          <w:sz w:val="14"/>
        </w:rPr>
        <w:t xml:space="preserve">          </w:t>
      </w:r>
      <w:r>
        <w:rPr>
          <w:rStyle w:val="PlaceholderText"/>
          <w:rFonts w:ascii="Arial" w:hAnsi="Arial" w:cs="Arial"/>
          <w:color w:val="000000"/>
        </w:rPr>
        <w:t>v súvislosti so zberom údajov potrebných na rozdeľovanie a poukazovanie výnosu dane z príjmov obciam určiť kompetencie zriaďovateľom škôl, školských zariadení a obciam,</w:t>
      </w:r>
    </w:p>
    <w:p w:rsidR="00C0489E">
      <w:pPr>
        <w:spacing w:before="0" w:beforeAutospacing="0" w:after="0" w:afterAutospacing="0"/>
        <w:ind w:left="36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> 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>Návrh zákona nemá finančný, ekonomický a environmentálny vplyv, vplyv na zamestnanosť a podnikateľské prostredie.</w:t>
      </w:r>
      <w:r>
        <w:rPr>
          <w:rStyle w:val="PlaceholderText"/>
          <w:rFonts w:ascii="Arial" w:hAnsi="Arial" w:cs="Arial"/>
          <w:color w:val="000000"/>
        </w:rPr>
        <w:t xml:space="preserve">  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 xml:space="preserve">  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>Návrh zákona je v súlade s Ústavou, ústavnými zákonmi, medzinárodnými zmluvami, ktorými je Slovenská republika viazaná a zákonmi a súčasne je v súlade s právom Európskej únie.</w:t>
      </w:r>
      <w:r>
        <w:rPr>
          <w:rStyle w:val="PlaceholderText"/>
          <w:rFonts w:ascii="Arial" w:hAnsi="Arial" w:cs="Arial"/>
          <w:color w:val="000000"/>
        </w:rPr>
        <w:t xml:space="preserve">  </w:t>
      </w:r>
    </w:p>
    <w:p w:rsidR="00C0489E">
      <w:pPr>
        <w:spacing w:after="280" w:afterAutospacing="1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"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8B25A6"/>
    <w:rsid w:val="00A64D2D"/>
    <w:rsid w:val="00C048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</Words>
  <Characters>64</Characters>
  <Application>Microsoft Office Word</Application>
  <DocSecurity>0</DocSecurity>
  <Lines>0</Lines>
  <Paragraphs>0</Paragraphs>
  <ScaleCrop>false</ScaleCrop>
  <Company>Abyss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2007-05-29T20:23:00Z</dcterms:created>
  <dcterms:modified xsi:type="dcterms:W3CDTF">2007-05-29T20:48:00Z</dcterms:modified>
</cp:coreProperties>
</file>