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zákona, ktorým sa mení a dopĺňa zákon č. 245/2008 Z. z. o výchove a vzdelávaní (školský zákon) a o zmene a doplnení niektorých zákonov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18.8.2010-26.8.2010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 nemá vplyv na verejné financovanie.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 nemá vplyv na obyvateľov, hospodárenie podnikateľskej sféry a iných právnických osôb.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 nemá vplyv na životné prostredie.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