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6613">
      <w:pPr>
        <w:pStyle w:val="Title"/>
        <w:pBdr>
          <w:bottom w:val="single" w:sz="4" w:space="1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 Á R O D N Á   R A D A    S L O V E N S K E J   R E P U B L I K Y</w:t>
      </w:r>
    </w:p>
    <w:p w:rsidR="00D26613">
      <w:pPr>
        <w:bidi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66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D26613">
      <w:pPr>
        <w:pStyle w:val="Heading1"/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 á v r h </w:t>
      </w:r>
    </w:p>
    <w:p w:rsidR="00D26613">
      <w:pPr>
        <w:bidi w:val="0"/>
        <w:jc w:val="center"/>
        <w:rPr>
          <w:rFonts w:ascii="Times New Roman" w:hAnsi="Times New Roman"/>
          <w:b/>
        </w:rPr>
      </w:pPr>
    </w:p>
    <w:p w:rsidR="00D266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z ...................2010,</w:t>
      </w:r>
    </w:p>
    <w:p w:rsidR="00D26613">
      <w:pPr>
        <w:bidi w:val="0"/>
        <w:jc w:val="center"/>
        <w:rPr>
          <w:rFonts w:ascii="Times New Roman" w:hAnsi="Times New Roman"/>
          <w:b/>
        </w:rPr>
      </w:pPr>
    </w:p>
    <w:p w:rsidR="00D26613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ktorým sa mení a dopĺňa zákon č. 595/2003 Z. z. o dani z príjmov v znení neskorších predpisov</w:t>
      </w:r>
    </w:p>
    <w:p w:rsidR="00D26613">
      <w:pPr>
        <w:bidi w:val="0"/>
        <w:jc w:val="center"/>
        <w:rPr>
          <w:rFonts w:ascii="Times New Roman" w:hAnsi="Times New Roman"/>
        </w:rPr>
      </w:pPr>
    </w:p>
    <w:p w:rsidR="00D26613">
      <w:pPr>
        <w:bidi w:val="0"/>
        <w:jc w:val="center"/>
        <w:rPr>
          <w:rFonts w:ascii="Times New Roman" w:hAnsi="Times New Roman"/>
        </w:rPr>
      </w:pPr>
    </w:p>
    <w:p w:rsidR="00D26613">
      <w:pPr>
        <w:bidi w:val="0"/>
        <w:jc w:val="center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</w:p>
    <w:p w:rsidR="00D26613">
      <w:pPr>
        <w:pStyle w:val="BodyText2"/>
        <w:pBdr>
          <w:bottom w:val="none" w:sz="0" w:space="0" w:color="auto"/>
        </w:pBd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D26613">
      <w:pPr>
        <w:bidi w:val="0"/>
        <w:jc w:val="center"/>
        <w:rPr>
          <w:rFonts w:ascii="Times New Roman" w:hAnsi="Times New Roman"/>
          <w:b/>
        </w:rPr>
      </w:pPr>
    </w:p>
    <w:p w:rsidR="00D26613">
      <w:pPr>
        <w:pStyle w:val="Heading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Čl. I</w:t>
      </w:r>
    </w:p>
    <w:p w:rsidR="00D26613">
      <w:pPr>
        <w:bidi w:val="0"/>
        <w:rPr>
          <w:rFonts w:ascii="Times New Roman" w:hAnsi="Times New Roman"/>
        </w:rPr>
      </w:pPr>
    </w:p>
    <w:p w:rsidR="00D26613">
      <w:pPr>
        <w:pStyle w:val="BodyText2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 č. 595/2003 Z. z. o dani z príjmov v znení zákona č. 43/2004 Z. z., zákona č. 177/2004 Z. z., zákona č. 191/2004 Z. z., zákona č. 391/2004 Z. z., zákona č. 538/2004 Z. z., zákona     č. 539/2004 Z. z., zákona č. 659/2004 Z. z., zákona č. 68/2005 Z. z., zákona č. 314/2005 Z. z., zákona č. 534/2005 Z. z., zákona č. 660/2005 Z. z., zákona č. 688/2006 Z. z. a zákona            č. 76/2007 Z. z. sa mení a dopĺňa takto:</w:t>
      </w: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numPr>
          <w:numId w:val="14"/>
        </w:numPr>
        <w:tabs>
          <w:tab w:val="num" w:pos="540"/>
          <w:tab w:val="clear" w:pos="720"/>
        </w:tabs>
        <w:bidi w:val="0"/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52g v odsekoch 1 a 2 sa slová „ a 2010“ nahrádzajú slovami „až 2012“.</w:t>
      </w:r>
    </w:p>
    <w:p w:rsidR="00D26613">
      <w:pPr>
        <w:bidi w:val="0"/>
        <w:ind w:left="360"/>
        <w:rPr>
          <w:rFonts w:ascii="Times New Roman" w:hAnsi="Times New Roman"/>
          <w:bCs/>
        </w:rPr>
      </w:pPr>
    </w:p>
    <w:p w:rsidR="00D26613">
      <w:pPr>
        <w:numPr>
          <w:numId w:val="14"/>
        </w:numPr>
        <w:tabs>
          <w:tab w:val="clear" w:pos="720"/>
        </w:tabs>
        <w:bidi w:val="0"/>
        <w:ind w:left="540" w:hanging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§ 52h sa dopĺňa odsekom 15, ktorý znie: </w:t>
      </w:r>
    </w:p>
    <w:p w:rsidR="00D26613">
      <w:pPr>
        <w:bidi w:val="0"/>
        <w:rPr>
          <w:rFonts w:ascii="Times New Roman" w:hAnsi="Times New Roman"/>
        </w:rPr>
      </w:pPr>
    </w:p>
    <w:p w:rsidR="00D26613">
      <w:pPr>
        <w:pStyle w:val="BodyTextIndent"/>
        <w:bidi w:val="0"/>
        <w:ind w:left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„Na výpočet nezdaniteľných častí základu dane podľa § 52g ods. 1 sa za zdaňovacie obdobie rokov 2011 a 2012 použije životné minimum platné k 1. januáru predchádzajúceho roka.“.</w:t>
      </w: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dňom 31.decembra 2010.</w:t>
      </w: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  <w:b/>
        </w:rPr>
      </w:pPr>
    </w:p>
    <w:p w:rsidR="00D26613">
      <w:pPr>
        <w:bidi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D Ô V O D O V Á    S P R Á V A</w:t>
      </w:r>
    </w:p>
    <w:p w:rsidR="00D26613">
      <w:pPr>
        <w:bidi w:val="0"/>
        <w:jc w:val="center"/>
        <w:rPr>
          <w:rFonts w:ascii="Times New Roman" w:hAnsi="Times New Roman"/>
          <w:b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numPr>
          <w:numId w:val="1"/>
        </w:numPr>
        <w:bidi w:val="0"/>
        <w:ind w:hanging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Všeobecná časť:</w:t>
      </w: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Protikrízové opatrenie na zníženie základu dane o nezdaniteľné časti základu dane z 19,2- násobku na 22,5-násobku životného minima malo a má pozitívny vplyv hlavne pre nízkopríjmové skupiny obyvateľstva SR.</w:t>
      </w:r>
    </w:p>
    <w:p w:rsidR="00D266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zachovania tohto opatrenia aj v rokoch 2011 a 2012 vychádza z aktuálnej hospodárskej situácie v SR, ktorá je ešte stále ovplyvnená dôsledkami hospodárskej krízy. Aj napriek čiastočnej konsolidácii hospodárskych podmienok v SR respektíve vonkajšieho ekonomického prostredia, sú dôsledky hlavne pre najnižšie príjmové skupiny pretrvávajúce.</w:t>
      </w:r>
    </w:p>
    <w:p w:rsidR="00D266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Zvýšenie príjmov tejto skupiny obyvateľstva SR má aj pozitívny vplyv na rast spotreby domácností (rast HDP, zlepšenie podnikateľského prostredia) vzhľadom k tomu, že podstatná časť z úspory daňových príjmov u nízkopríjmového daňovníka je použitá na spotrebu t.j. na udržanie  životnej úrovne.</w:t>
      </w:r>
    </w:p>
    <w:p w:rsidR="00D26613">
      <w:pPr>
        <w:pStyle w:val="BodyText2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Ústavou, ústavnými zákonmi a inými zákonmi a medzinárodnými zmluvami a inými medzinárodnými dokumentmi, ktorými je Slovenská republika viazaná.</w:t>
      </w: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26613">
      <w:pPr>
        <w:bidi w:val="0"/>
        <w:ind w:left="720" w:hanging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B.       </w:t>
      </w:r>
      <w:r>
        <w:rPr>
          <w:rFonts w:ascii="Times New Roman" w:hAnsi="Times New Roman"/>
          <w:b/>
          <w:u w:val="single"/>
        </w:rPr>
        <w:t>Osobitná časť:</w:t>
      </w: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D2661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26613">
      <w:pPr>
        <w:bidi w:val="0"/>
        <w:jc w:val="both"/>
        <w:rPr>
          <w:rFonts w:ascii="Times New Roman" w:hAnsi="Times New Roman"/>
          <w:b/>
        </w:rPr>
      </w:pPr>
    </w:p>
    <w:p w:rsidR="00D26613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1  </w:t>
      </w:r>
      <w:r>
        <w:rPr>
          <w:rFonts w:ascii="Times New Roman" w:hAnsi="Times New Roman"/>
          <w:b w:val="0"/>
          <w:bCs/>
          <w:u w:val="none"/>
        </w:rPr>
        <w:t>- § 52g odseky 1 a 2</w:t>
      </w:r>
    </w:p>
    <w:p w:rsidR="00D26613">
      <w:pPr>
        <w:bidi w:val="0"/>
        <w:jc w:val="both"/>
        <w:rPr>
          <w:rFonts w:ascii="Times New Roman" w:hAnsi="Times New Roman"/>
          <w:b/>
        </w:rPr>
      </w:pPr>
    </w:p>
    <w:p w:rsidR="00D266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ponechanie zníženia nezdaniteľnej časti základu dane platné za obdobie 2009,2010 až do roku 2012 t.j. o 22,5 násobok životného minima.</w:t>
      </w:r>
    </w:p>
    <w:p w:rsidR="00D266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Upresnenie zdaňovacieho obdobia rokov 2011 a 2012,  na ktoré sa ustanovenie § 52g odseku  1 vzťahuje.</w:t>
      </w:r>
    </w:p>
    <w:p w:rsidR="00D26613">
      <w:pPr>
        <w:pStyle w:val="Heading2"/>
        <w:bidi w:val="0"/>
        <w:rPr>
          <w:rFonts w:ascii="Times New Roman" w:hAnsi="Times New Roman"/>
        </w:rPr>
      </w:pPr>
    </w:p>
    <w:p w:rsidR="00D26613">
      <w:pPr>
        <w:pStyle w:val="Heading2"/>
        <w:bidi w:val="0"/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</w:rPr>
        <w:t>K bodu  2</w:t>
      </w:r>
      <w:r>
        <w:rPr>
          <w:rFonts w:ascii="Times New Roman" w:hAnsi="Times New Roman"/>
          <w:b w:val="0"/>
          <w:bCs/>
          <w:u w:val="none"/>
        </w:rPr>
        <w:t xml:space="preserve"> - § 52h</w:t>
      </w:r>
    </w:p>
    <w:p w:rsidR="00D26613">
      <w:pPr>
        <w:bidi w:val="0"/>
        <w:jc w:val="both"/>
        <w:rPr>
          <w:rFonts w:ascii="Times New Roman" w:hAnsi="Times New Roman"/>
          <w:b/>
        </w:rPr>
      </w:pPr>
    </w:p>
    <w:p w:rsidR="00D26613">
      <w:pPr>
        <w:bidi w:val="0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Nový bod upresňuje výpočet životného minima na roky 2011 a 2012.</w:t>
      </w:r>
    </w:p>
    <w:p w:rsidR="00D26613">
      <w:pPr>
        <w:bidi w:val="0"/>
        <w:jc w:val="both"/>
        <w:rPr>
          <w:rFonts w:ascii="Times New Roman" w:hAnsi="Times New Roman"/>
          <w:b/>
        </w:rPr>
      </w:pPr>
    </w:p>
    <w:p w:rsidR="00D26613">
      <w:pPr>
        <w:bidi w:val="0"/>
        <w:jc w:val="both"/>
        <w:rPr>
          <w:rFonts w:ascii="Times New Roman" w:hAnsi="Times New Roman"/>
          <w:b/>
        </w:rPr>
      </w:pPr>
    </w:p>
    <w:p w:rsidR="00D26613">
      <w:p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Čl. II</w:t>
      </w:r>
    </w:p>
    <w:p w:rsidR="00D26613">
      <w:pPr>
        <w:bidi w:val="0"/>
        <w:spacing w:before="120"/>
        <w:jc w:val="both"/>
        <w:rPr>
          <w:rFonts w:ascii="Times New Roman" w:hAnsi="Times New Roman"/>
          <w:b/>
        </w:rPr>
      </w:pPr>
    </w:p>
    <w:p w:rsidR="00D26613">
      <w:pPr>
        <w:pStyle w:val="BodyText2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od 1. decembra 2010.</w:t>
      </w: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D2661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DOLOŽKA</w:t>
      </w:r>
    </w:p>
    <w:p w:rsidR="00D26613">
      <w:pPr>
        <w:bidi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finančných, ekonomických, environmentálnych vplyvov, vplyvov na zamestnanosť a podnikateľské prostredie </w:t>
      </w:r>
    </w:p>
    <w:p w:rsidR="00D26613">
      <w:pPr>
        <w:bidi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 </w:t>
      </w:r>
    </w:p>
    <w:p w:rsidR="00D26613">
      <w:pPr>
        <w:bidi w:val="0"/>
        <w:rPr>
          <w:rFonts w:ascii="Times New Roman" w:hAnsi="Times New Roman"/>
          <w:sz w:val="22"/>
        </w:rPr>
      </w:pPr>
    </w:p>
    <w:p w:rsidR="00D26613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1. Odhad vplyvu na verejné financie a zamestnanosť</w:t>
      </w:r>
    </w:p>
    <w:p w:rsidR="00D26613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D26613">
      <w:pPr>
        <w:pStyle w:val="BodyTextIndent3"/>
        <w:bidi w:val="0"/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Navrhovaná právna úprava nebude mať vplyv na štátny rozpočet (6,2% podielu štátu na základe poslaneckého návrhu zmeny zákona č.564/2004 Z. z. o rozpočtovom určení výnosu dane z príjmov územnej samospráve bude rozdelených medzi obce, mestá a VÚC). Negatívny vplyv na mestá, obce a VÚC bude kompenzovaný prerozdelením 6,2%-tného podielu štátu medzi obce a mestá pomerom 75% a 25%.</w:t>
      </w:r>
    </w:p>
    <w:p w:rsidR="00D26613">
      <w:pPr>
        <w:bidi w:val="0"/>
        <w:jc w:val="both"/>
        <w:rPr>
          <w:rFonts w:ascii="Times New Roman" w:hAnsi="Times New Roman"/>
          <w:sz w:val="22"/>
        </w:rPr>
      </w:pPr>
    </w:p>
    <w:p w:rsidR="00D26613">
      <w:pPr>
        <w:pStyle w:val="BodyTextIndent3"/>
        <w:bidi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Navrhovaná právna úprava nebude mať vplyv na zamestnanosť. </w:t>
      </w:r>
    </w:p>
    <w:p w:rsidR="00D26613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 </w:t>
      </w:r>
    </w:p>
    <w:p w:rsidR="00D26613">
      <w:pPr>
        <w:bidi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2. Odhad vplyvu na obyvateľov</w:t>
      </w:r>
    </w:p>
    <w:p w:rsidR="00D26613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            </w:t>
      </w:r>
    </w:p>
    <w:p w:rsidR="00D26613">
      <w:pPr>
        <w:pStyle w:val="BodyTextIndent3"/>
        <w:bidi w:val="0"/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Navrhovaná právna úprava bude mať pozitívny vplyv na hospodárenie obyvateľov hlavne            na obyvateľov s nižšími príjmami.</w:t>
      </w:r>
    </w:p>
    <w:p w:rsidR="00D26613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 </w:t>
      </w:r>
    </w:p>
    <w:p w:rsidR="00D26613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3. Odhad vplyvu na životné prostredie</w:t>
      </w:r>
    </w:p>
    <w:p w:rsidR="00D26613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            </w:t>
      </w:r>
    </w:p>
    <w:p w:rsidR="00D26613">
      <w:pPr>
        <w:bidi w:val="0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Navrhovaná právna úprava nebude mať vplyv na životné prostredie.</w:t>
      </w:r>
    </w:p>
    <w:p w:rsidR="00D26613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D26613">
      <w:pPr>
        <w:bidi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4. Odhad vplyvu na podnikateľské prostredie</w:t>
      </w:r>
    </w:p>
    <w:p w:rsidR="00D26613">
      <w:pPr>
        <w:bidi w:val="0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 </w:t>
      </w:r>
    </w:p>
    <w:p w:rsidR="00D26613">
      <w:pPr>
        <w:pStyle w:val="BodyTextIndent3"/>
        <w:bidi w:val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Navrhovaná právna úprava bude mať čiastočne pozitívny vplyv na hospodárenie podnikateľskej sféry a iných právnických osôb vychádzajúc z predpokladu zvýšenia spotreby domácností.</w:t>
      </w: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bidi w:val="0"/>
        <w:jc w:val="both"/>
        <w:rPr>
          <w:rFonts w:ascii="Times New Roman" w:hAnsi="Times New Roman"/>
        </w:rPr>
      </w:pPr>
    </w:p>
    <w:p w:rsidR="00D26613">
      <w:pPr>
        <w:pStyle w:val="Title"/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DOLOŽKA ZLUČITEĽNOSTI</w:t>
      </w:r>
    </w:p>
    <w:p w:rsidR="00D26613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szCs w:val="22"/>
        </w:rPr>
        <w:t>návrhu zákona, ktorým sa mení a dopĺňa zákon č.595/2003 Z. z. o dani z príjmov v znení neskorších predpisov</w:t>
      </w:r>
    </w:p>
    <w:p w:rsidR="00D26613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s právom Európskych spoločenstiev a právom Európskej únie</w:t>
      </w:r>
    </w:p>
    <w:p w:rsidR="00D26613">
      <w:pPr>
        <w:bidi w:val="0"/>
        <w:jc w:val="center"/>
        <w:rPr>
          <w:rFonts w:ascii="Times New Roman" w:hAnsi="Times New Roman"/>
          <w:b/>
          <w:sz w:val="22"/>
        </w:rPr>
      </w:pPr>
    </w:p>
    <w:p w:rsidR="00D26613">
      <w:pPr>
        <w:bidi w:val="0"/>
        <w:jc w:val="both"/>
        <w:rPr>
          <w:rFonts w:ascii="Times New Roman" w:hAnsi="Times New Roman"/>
          <w:b/>
          <w:sz w:val="22"/>
        </w:rPr>
      </w:pPr>
    </w:p>
    <w:p w:rsidR="00D26613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Predkladateľ zákona:</w:t>
      </w:r>
    </w:p>
    <w:p w:rsidR="00D26613">
      <w:pPr>
        <w:bidi w:val="0"/>
        <w:ind w:firstLine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poslanec Národnej rady Slovenskej republiky Jozef Burian</w:t>
      </w:r>
    </w:p>
    <w:p w:rsidR="00D26613">
      <w:pPr>
        <w:bidi w:val="0"/>
        <w:jc w:val="both"/>
        <w:rPr>
          <w:rFonts w:ascii="Times New Roman" w:hAnsi="Times New Roman"/>
          <w:b/>
          <w:sz w:val="22"/>
        </w:rPr>
      </w:pPr>
    </w:p>
    <w:p w:rsidR="00D26613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Názov návrhu zákona:</w:t>
      </w:r>
    </w:p>
    <w:p w:rsidR="00D26613">
      <w:pPr>
        <w:bidi w:val="0"/>
        <w:ind w:left="36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szCs w:val="22"/>
        </w:rPr>
        <w:t>Návrh zákona, ktorým sa mení a dopĺňa zákon č.595/2003 Z. z. o dani z príjmov v znení neskorších predpisov</w:t>
      </w:r>
    </w:p>
    <w:p w:rsidR="00D26613">
      <w:pPr>
        <w:bidi w:val="0"/>
        <w:jc w:val="both"/>
        <w:rPr>
          <w:rFonts w:ascii="Times New Roman" w:hAnsi="Times New Roman"/>
          <w:b/>
          <w:sz w:val="22"/>
        </w:rPr>
      </w:pPr>
    </w:p>
    <w:p w:rsidR="00D26613">
      <w:pPr>
        <w:numPr>
          <w:numId w:val="7"/>
        </w:numPr>
        <w:bidi w:val="0"/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Problematika zákona: </w:t>
      </w:r>
    </w:p>
    <w:p w:rsidR="00D26613">
      <w:pPr>
        <w:pStyle w:val="BodyText"/>
        <w:numPr>
          <w:ilvl w:val="1"/>
          <w:numId w:val="7"/>
        </w:numPr>
        <w:tabs>
          <w:tab w:val="left" w:pos="540"/>
        </w:tabs>
        <w:bidi w:val="0"/>
        <w:ind w:hanging="850"/>
        <w:rPr>
          <w:rFonts w:ascii="Times New Roman" w:hAnsi="Times New Roman"/>
        </w:rPr>
      </w:pPr>
      <w:r>
        <w:rPr>
          <w:rFonts w:ascii="Times New Roman" w:hAnsi="Times New Roman"/>
        </w:rPr>
        <w:t>je upravená v práve Európskych spoločenstiev:</w:t>
      </w:r>
    </w:p>
    <w:p w:rsidR="00D26613">
      <w:pPr>
        <w:pStyle w:val="BodyText"/>
        <w:bidi w:val="0"/>
        <w:spacing w:before="120"/>
        <w:ind w:left="35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 primárnom práve: </w:t>
      </w:r>
    </w:p>
    <w:p w:rsidR="00D26613">
      <w:pPr>
        <w:pStyle w:val="BodyText"/>
        <w:bidi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cs-CZ"/>
        </w:rPr>
        <w:t>- čl. 90 až 93 Zmluvy o založení Európskeho spoločenstva v platnom znení,</w:t>
      </w:r>
    </w:p>
    <w:p w:rsidR="00D26613">
      <w:pPr>
        <w:pStyle w:val="BodyText"/>
        <w:bidi w:val="0"/>
        <w:spacing w:before="120"/>
        <w:ind w:left="357"/>
        <w:rPr>
          <w:rFonts w:ascii="Times New Roman" w:hAnsi="Times New Roman"/>
          <w:b/>
          <w:bCs/>
          <w:i/>
          <w:iCs/>
          <w:sz w:val="24"/>
          <w:szCs w:val="22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v sekundárnom práve: </w:t>
      </w:r>
    </w:p>
    <w:p w:rsidR="00D26613">
      <w:pPr>
        <w:numPr>
          <w:numId w:val="16"/>
        </w:numPr>
        <w:tabs>
          <w:tab w:val="num" w:pos="180"/>
          <w:tab w:val="clear" w:pos="900"/>
        </w:tabs>
        <w:bidi w:val="0"/>
        <w:adjustRightInd w:val="0"/>
        <w:spacing w:after="120"/>
        <w:ind w:left="180" w:hanging="18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Cs w:val="22"/>
        </w:rPr>
        <w:t xml:space="preserve">smernica Rady 69/335/EHS zo 17. júla 1969 o nepriamych daniach z tvorby a navyšovania základného imania 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 9/ zv. 1),</w:t>
      </w:r>
    </w:p>
    <w:p w:rsidR="00D26613">
      <w:pPr>
        <w:numPr>
          <w:numId w:val="17"/>
        </w:numPr>
        <w:tabs>
          <w:tab w:val="num" w:pos="360"/>
          <w:tab w:val="clear" w:pos="900"/>
        </w:tabs>
        <w:bidi w:val="0"/>
        <w:adjustRightInd w:val="0"/>
        <w:spacing w:after="12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smernica Rady 90/434/EHS z 23. júla 1990 o spoločnom systéme zdaňovania pri zlúčeniach, rozdeleniach, prevodoch majetku a výmene akcií týkajúcich sa spoločností rôznych členských štátov 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 9/ zv. 1),</w:t>
      </w:r>
    </w:p>
    <w:p w:rsidR="00D26613">
      <w:pPr>
        <w:numPr>
          <w:numId w:val="18"/>
        </w:numPr>
        <w:tabs>
          <w:tab w:val="num" w:pos="360"/>
        </w:tabs>
        <w:bidi w:val="0"/>
        <w:adjustRightInd w:val="0"/>
        <w:spacing w:after="12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smernica Rady 90/435/EHS z 23. júla 1990 o spoločnom systéme zdaňovania uplatňovanom v prípade materských spoločností a dcérskych spoločností v rozličných členských štátoch 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 9/ zv. 1),</w:t>
      </w:r>
    </w:p>
    <w:p w:rsidR="00D26613">
      <w:pPr>
        <w:numPr>
          <w:numId w:val="19"/>
        </w:numPr>
        <w:tabs>
          <w:tab w:val="num" w:pos="360"/>
        </w:tabs>
        <w:bidi w:val="0"/>
        <w:adjustRightInd w:val="0"/>
        <w:spacing w:after="12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 xml:space="preserve">smernica Rady 2003/48/ES z 3. júna 2003 </w:t>
      </w:r>
      <w:r>
        <w:rPr>
          <w:rFonts w:ascii="Times New Roman" w:hAnsi="Times New Roman"/>
          <w:szCs w:val="22"/>
        </w:rPr>
        <w:t>o zdaňovaní príjmu z úspor v podobe výplaty úrokov</w:t>
      </w:r>
      <w:r>
        <w:rPr>
          <w:rFonts w:ascii="Times New Roman" w:hAnsi="Times New Roman"/>
          <w:szCs w:val="17"/>
        </w:rPr>
        <w:t xml:space="preserve"> </w:t>
      </w:r>
      <w:r>
        <w:rPr>
          <w:rFonts w:ascii="Times New Roman" w:hAnsi="Times New Roman"/>
          <w:szCs w:val="22"/>
        </w:rPr>
        <w:t xml:space="preserve">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 9/ zv. 1),</w:t>
      </w:r>
    </w:p>
    <w:p w:rsidR="00D26613">
      <w:pPr>
        <w:numPr>
          <w:numId w:val="20"/>
        </w:numPr>
        <w:tabs>
          <w:tab w:val="num" w:pos="360"/>
        </w:tabs>
        <w:bidi w:val="0"/>
        <w:adjustRightInd w:val="0"/>
        <w:spacing w:after="12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 xml:space="preserve">smernica Rady 2003/49/ES z 3. júna 2003 o spoločnom systéme zdaňovania uplatňovanom na výplaty úrokov a licenčných poplatkov medzi združenými spoločnosťami rôznych členských štátov v platnom znení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</w:rPr>
        <w:t xml:space="preserve">Mimoriadne vydanie </w:t>
      </w:r>
      <w:r>
        <w:rPr>
          <w:rFonts w:ascii="Times New Roman" w:hAnsi="Times New Roman"/>
          <w:color w:val="000000"/>
        </w:rPr>
        <w:t>Ú.v.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</w:rPr>
        <w:t>EÚ, 9/ zv. 1)</w:t>
      </w:r>
    </w:p>
    <w:p w:rsidR="00D26613">
      <w:pPr>
        <w:numPr>
          <w:ilvl w:val="1"/>
          <w:numId w:val="7"/>
        </w:numPr>
        <w:bidi w:val="0"/>
        <w:spacing w:after="120"/>
        <w:ind w:hanging="850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 xml:space="preserve">nie je upravená v práve Európskej únie. </w:t>
      </w:r>
    </w:p>
    <w:p w:rsidR="00D26613">
      <w:pPr>
        <w:numPr>
          <w:ilvl w:val="1"/>
          <w:numId w:val="15"/>
        </w:numPr>
        <w:tabs>
          <w:tab w:val="num" w:pos="360"/>
        </w:tabs>
        <w:bidi w:val="0"/>
        <w:spacing w:after="120"/>
        <w:ind w:left="180" w:hanging="180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je obsiahnutá v judikatúre Súdneho dvora Európskych spoločenstiev alebo Súdu prvého stupňa Európskych spoločenstiev:</w:t>
      </w:r>
    </w:p>
    <w:p w:rsidR="00D26613">
      <w:pPr>
        <w:numPr>
          <w:numId w:val="21"/>
        </w:numPr>
        <w:tabs>
          <w:tab w:val="num" w:pos="360"/>
        </w:tabs>
        <w:bidi w:val="0"/>
        <w:spacing w:after="120"/>
        <w:ind w:left="180" w:hanging="18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 xml:space="preserve">rozhodnutie Súdneho dvora Európskych spoločenstiev vo veci C - 28/95, </w:t>
      </w:r>
      <w:r>
        <w:rPr>
          <w:rFonts w:ascii="Times New Roman" w:hAnsi="Times New Roman"/>
          <w:bCs/>
          <w:color w:val="000000"/>
          <w:szCs w:val="22"/>
          <w:lang w:val="cs-CZ"/>
        </w:rPr>
        <w:t>A. Leur-Bloem v. Inspecteur der Belastingdienst/Ondernemingen Amsterdam 2</w:t>
      </w:r>
      <w:r>
        <w:rPr>
          <w:rFonts w:ascii="Times New Roman" w:hAnsi="Times New Roman"/>
          <w:color w:val="000000"/>
          <w:szCs w:val="22"/>
          <w:lang w:val="cs-CZ"/>
        </w:rPr>
        <w:t>, rok 1997,  Zb.roz. ESD ( I-04161),</w:t>
      </w:r>
    </w:p>
    <w:p w:rsidR="00D26613">
      <w:pPr>
        <w:numPr>
          <w:numId w:val="22"/>
        </w:numPr>
        <w:tabs>
          <w:tab w:val="num" w:pos="360"/>
        </w:tabs>
        <w:bidi w:val="0"/>
        <w:spacing w:after="120"/>
        <w:ind w:left="180" w:hanging="18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>rozhodnutie Súdneho dvora Európskych spoločenstiev vo veci C - 43/2000, Andersen og Jensen ApS v. Skatteministeriet, rok 2002,  Zb.roz. ESD ( I- 00379),</w:t>
      </w:r>
    </w:p>
    <w:p w:rsidR="00D26613">
      <w:pPr>
        <w:numPr>
          <w:numId w:val="23"/>
        </w:numPr>
        <w:tabs>
          <w:tab w:val="num" w:pos="360"/>
        </w:tabs>
        <w:bidi w:val="0"/>
        <w:spacing w:after="120"/>
        <w:ind w:left="180" w:hanging="18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>rozhodnutie Súdneho dvora Európskych spoločenstiev vo veci C - 283/94, Denkavit International BV, VITIC Amsterdam BV and Voormeer BV v. Bundesamt für Finanzen, rok 1996, Zb.roz. ESD ( I- 05063),</w:t>
      </w:r>
    </w:p>
    <w:p w:rsidR="00D26613">
      <w:pPr>
        <w:numPr>
          <w:numId w:val="24"/>
        </w:numPr>
        <w:tabs>
          <w:tab w:val="num" w:pos="360"/>
        </w:tabs>
        <w:bidi w:val="0"/>
        <w:spacing w:after="120"/>
        <w:ind w:left="180" w:hanging="18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>rozhodnutie Súdneho dvora Európskych spoločenstiev vo veci C - 375/98, Ministério Público and Fazenda Pública v. Epson Europe BV, rok  2000,  Zb.roz. ESD ( I- 04243),</w:t>
      </w:r>
    </w:p>
    <w:p w:rsidR="00D26613">
      <w:pPr>
        <w:numPr>
          <w:numId w:val="25"/>
        </w:numPr>
        <w:tabs>
          <w:tab w:val="num" w:pos="360"/>
        </w:tabs>
        <w:bidi w:val="0"/>
        <w:spacing w:after="120"/>
        <w:ind w:left="180" w:hanging="180"/>
        <w:jc w:val="both"/>
        <w:rPr>
          <w:rFonts w:ascii="Times New Roman" w:hAnsi="Times New Roman"/>
          <w:color w:val="000000"/>
          <w:szCs w:val="22"/>
          <w:lang w:val="cs-CZ"/>
        </w:rPr>
      </w:pPr>
      <w:r>
        <w:rPr>
          <w:rFonts w:ascii="Times New Roman" w:hAnsi="Times New Roman"/>
          <w:color w:val="000000"/>
          <w:szCs w:val="22"/>
          <w:lang w:val="cs-CZ"/>
        </w:rPr>
        <w:t>rozhodnutie Súdneho dvora Európskych spoločenstiev vo veci C - 2945/99, Athina</w:t>
      </w:r>
      <w:r>
        <w:rPr>
          <w:rFonts w:ascii="Times New Roman" w:hAnsi="Times New Roman"/>
          <w:color w:val="000000"/>
          <w:szCs w:val="22"/>
          <w:lang w:val="cs-CZ"/>
        </w:rPr>
        <w:t>ïki Zythopoiia AE v. Elliniko Dimosio, rok  2001,  Zb.</w:t>
      </w:r>
      <w:r>
        <w:rPr>
          <w:rFonts w:ascii="Times New Roman" w:hAnsi="Times New Roman"/>
          <w:color w:val="000000"/>
          <w:szCs w:val="22"/>
          <w:lang w:val="cs-CZ"/>
        </w:rPr>
        <w:t>roz. ESD ( I- 06797).</w:t>
      </w:r>
    </w:p>
    <w:p w:rsidR="00D26613">
      <w:pPr>
        <w:bidi w:val="0"/>
        <w:rPr>
          <w:rFonts w:ascii="Times New Roman" w:hAnsi="Times New Roman"/>
          <w:szCs w:val="22"/>
          <w:lang w:eastAsia="cs-CZ"/>
        </w:rPr>
      </w:pPr>
    </w:p>
    <w:p w:rsidR="00D26613">
      <w:pPr>
        <w:numPr>
          <w:numId w:val="15"/>
        </w:numPr>
        <w:bidi w:val="0"/>
        <w:spacing w:after="120"/>
        <w:ind w:left="36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Záväzky Slovenskej republiky vo vzťahu k Európskym spoločenstvám a Európskej únii:</w:t>
      </w:r>
    </w:p>
    <w:p w:rsidR="00D26613">
      <w:pPr>
        <w:tabs>
          <w:tab w:val="left" w:pos="360"/>
        </w:tabs>
        <w:bidi w:val="0"/>
        <w:spacing w:after="120"/>
        <w:ind w:left="357" w:hanging="357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a)</w:t>
        <w:tab/>
        <w:t>Zo Zmluvy o pristúpení Slovenskej republiky k Európskej únii, najmä Aktu o podmienkach pristúpenia, nevyplývajú v predmetnej oblasti pre SR žiadne záväzky.</w:t>
      </w:r>
    </w:p>
    <w:p w:rsidR="00D26613">
      <w:pPr>
        <w:tabs>
          <w:tab w:val="left" w:pos="360"/>
          <w:tab w:val="left" w:pos="540"/>
        </w:tabs>
        <w:bidi w:val="0"/>
        <w:spacing w:after="120"/>
        <w:ind w:left="357" w:hanging="357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b)</w:t>
        <w:tab/>
        <w:t>Podľa Zmluvy o pristúpení Slovenskej republiky k Európskej únii, najmä Aktu o podmienkach pristúpenia, nepožiadala SR o žiadne prechodné obdobia.</w:t>
      </w:r>
    </w:p>
    <w:p w:rsidR="00D26613">
      <w:pPr>
        <w:tabs>
          <w:tab w:val="left" w:pos="360"/>
        </w:tabs>
        <w:bidi w:val="0"/>
        <w:spacing w:after="120"/>
        <w:ind w:left="357" w:hanging="357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c)</w:t>
        <w:tab/>
        <w:t>Lehota na prebratie smernice podľa určenia gestorských ústredných orgánov štátnej správy zodpovedných za prebratie smerníc a vypracovanie tabuliek zhody k návrhom všeobecne záväzných právnych predpisov: bezpredmetné.</w:t>
      </w:r>
    </w:p>
    <w:p w:rsidR="00D26613">
      <w:pPr>
        <w:numPr>
          <w:numId w:val="26"/>
        </w:numPr>
        <w:bidi w:val="0"/>
        <w:spacing w:after="120"/>
        <w:ind w:left="360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Proti SR nebolo začaté konanie o porušení Zmluvy o založení Európskych spoločenstiev podľa čl. 226 až 228 Zmluvy o založení Európskych spoločenstiev v platnom znení.</w:t>
      </w:r>
    </w:p>
    <w:p w:rsidR="00D26613">
      <w:pPr>
        <w:numPr>
          <w:numId w:val="26"/>
        </w:numPr>
        <w:bidi w:val="0"/>
        <w:ind w:left="360" w:hanging="357"/>
        <w:jc w:val="both"/>
        <w:rPr>
          <w:rFonts w:ascii="Times New Roman" w:hAnsi="Times New Roman"/>
          <w:szCs w:val="22"/>
          <w:lang w:eastAsia="cs-CZ"/>
        </w:rPr>
      </w:pPr>
      <w:r>
        <w:rPr>
          <w:rFonts w:ascii="Times New Roman" w:hAnsi="Times New Roman"/>
          <w:szCs w:val="22"/>
          <w:lang w:eastAsia="cs-CZ"/>
        </w:rPr>
        <w:t>Smernica 2004/66/ES bola za MF SR úplne prebratá do zákona č. 95/2002 Z.z. o poisťovníctve a o zmene a doplnení niektorých zákonov v znení neskorších predpisov a do zákona č. 222/2004 Z.z. o dani z pridanej hodnoty v znení neskorších predpisov. Smernica 2006/98/ES bola prebratá do zákona č. 222/2004 Z.z. o dani z pridanej hodnoty v znení neskorších predpisov.</w:t>
      </w:r>
    </w:p>
    <w:p w:rsidR="00D26613">
      <w:pPr>
        <w:bidi w:val="0"/>
        <w:adjustRightInd w:val="0"/>
        <w:spacing w:after="120"/>
        <w:ind w:left="357" w:hanging="357"/>
        <w:jc w:val="both"/>
        <w:rPr>
          <w:rFonts w:ascii="Times New Roman" w:hAnsi="Times New Roman"/>
          <w:szCs w:val="22"/>
        </w:rPr>
      </w:pPr>
    </w:p>
    <w:p w:rsidR="00D26613">
      <w:pPr>
        <w:numPr>
          <w:numId w:val="15"/>
        </w:numPr>
        <w:bidi w:val="0"/>
        <w:spacing w:after="12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Stupeň zlučiteľnosti návrhu zákona s právom Európskych spoločenstiev a právom Európskej únie:</w:t>
      </w:r>
    </w:p>
    <w:p w:rsidR="00D26613">
      <w:pPr>
        <w:bidi w:val="0"/>
        <w:spacing w:after="120"/>
        <w:ind w:left="425" w:hanging="425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Úplný.</w:t>
      </w:r>
    </w:p>
    <w:p w:rsidR="00D26613">
      <w:pPr>
        <w:bidi w:val="0"/>
        <w:spacing w:after="120"/>
        <w:ind w:left="357"/>
        <w:jc w:val="both"/>
        <w:rPr>
          <w:rFonts w:ascii="Times New Roman" w:hAnsi="Times New Roman"/>
          <w:bCs/>
          <w:szCs w:val="22"/>
        </w:rPr>
      </w:pPr>
    </w:p>
    <w:p w:rsidR="00D26613">
      <w:pPr>
        <w:numPr>
          <w:numId w:val="15"/>
        </w:numPr>
        <w:bidi w:val="0"/>
        <w:spacing w:after="12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Gestor a spolupracujúce rezorty: </w:t>
      </w:r>
    </w:p>
    <w:p w:rsidR="00D26613">
      <w:pPr>
        <w:bidi w:val="0"/>
        <w:spacing w:after="120"/>
        <w:ind w:left="425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- bezpredmetné.</w:t>
      </w:r>
    </w:p>
    <w:p w:rsidR="00D26613">
      <w:pPr>
        <w:bidi w:val="0"/>
        <w:jc w:val="both"/>
        <w:rPr>
          <w:rFonts w:ascii="Times New Roman" w:hAnsi="Times New Roman"/>
          <w:szCs w:val="22"/>
        </w:rPr>
      </w:pPr>
    </w:p>
    <w:p w:rsidR="00D26613">
      <w:pPr>
        <w:pStyle w:val="BodyText"/>
        <w:bidi w:val="0"/>
        <w:spacing w:before="120"/>
        <w:ind w:left="357"/>
        <w:rPr>
          <w:rFonts w:ascii="Times New Roman" w:hAnsi="Times New Roman"/>
          <w:b/>
          <w:i/>
        </w:rPr>
      </w:pPr>
    </w:p>
    <w:p w:rsidR="00D26613">
      <w:pPr>
        <w:pStyle w:val="BodyText"/>
        <w:bidi w:val="0"/>
        <w:spacing w:before="120"/>
        <w:ind w:left="357"/>
        <w:rPr>
          <w:rFonts w:ascii="Times New Roman" w:hAnsi="Times New Roman"/>
          <w:b/>
          <w:i/>
        </w:rPr>
      </w:pPr>
    </w:p>
    <w:p w:rsidR="00D26613">
      <w:pPr>
        <w:pStyle w:val="BodyText"/>
        <w:bidi w:val="0"/>
        <w:spacing w:before="120"/>
        <w:ind w:left="357"/>
        <w:rPr>
          <w:rFonts w:ascii="Times New Roman" w:hAnsi="Times New Roman"/>
          <w:b/>
          <w:i/>
        </w:rPr>
      </w:pPr>
    </w:p>
    <w:p w:rsidR="00D26613">
      <w:pPr>
        <w:bidi w:val="0"/>
        <w:ind w:left="360"/>
        <w:rPr>
          <w:rFonts w:ascii="Times New Roman" w:hAnsi="Times New Roman"/>
          <w:sz w:val="22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p w:rsidR="00D2661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CF"/>
    <w:multiLevelType w:val="hybridMultilevel"/>
    <w:tmpl w:val="78608D7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5752E6"/>
    <w:multiLevelType w:val="hybridMultilevel"/>
    <w:tmpl w:val="241230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A945697"/>
    <w:multiLevelType w:val="hybridMultilevel"/>
    <w:tmpl w:val="C644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5F23AE4"/>
    <w:multiLevelType w:val="hybridMultilevel"/>
    <w:tmpl w:val="FDDCA2A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A18797E"/>
    <w:multiLevelType w:val="hybridMultilevel"/>
    <w:tmpl w:val="D746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B6149ED"/>
    <w:multiLevelType w:val="hybridMultilevel"/>
    <w:tmpl w:val="BBBA82D6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E8A06EF"/>
    <w:multiLevelType w:val="hybridMultilevel"/>
    <w:tmpl w:val="0F6027E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3F850B32"/>
    <w:multiLevelType w:val="hybridMultilevel"/>
    <w:tmpl w:val="586A431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0361249"/>
    <w:multiLevelType w:val="hybridMultilevel"/>
    <w:tmpl w:val="454AB0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9F16696"/>
    <w:multiLevelType w:val="hybridMultilevel"/>
    <w:tmpl w:val="A15CBA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2850394"/>
    <w:multiLevelType w:val="hybridMultilevel"/>
    <w:tmpl w:val="7C60E6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C9B77D4"/>
    <w:multiLevelType w:val="multilevel"/>
    <w:tmpl w:val="4FC83E9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9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4884D43"/>
    <w:multiLevelType w:val="hybridMultilevel"/>
    <w:tmpl w:val="890E4C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C655F"/>
    <w:multiLevelType w:val="hybridMultilevel"/>
    <w:tmpl w:val="1BEC9A9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824F5"/>
    <w:multiLevelType w:val="hybridMultilevel"/>
    <w:tmpl w:val="257E9B6A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E5714F4"/>
    <w:multiLevelType w:val="hybridMultilevel"/>
    <w:tmpl w:val="451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22"/>
  </w:num>
  <w:num w:numId="6">
    <w:abstractNumId w:val="14"/>
  </w:num>
  <w:num w:numId="7">
    <w:abstractNumId w:val="18"/>
  </w:num>
  <w:num w:numId="8">
    <w:abstractNumId w:val="3"/>
  </w:num>
  <w:num w:numId="9">
    <w:abstractNumId w:val="16"/>
  </w:num>
  <w:num w:numId="10">
    <w:abstractNumId w:val="21"/>
  </w:num>
  <w:num w:numId="11">
    <w:abstractNumId w:val="20"/>
  </w:num>
  <w:num w:numId="12">
    <w:abstractNumId w:val="24"/>
  </w:num>
  <w:num w:numId="13">
    <w:abstractNumId w:val="5"/>
  </w:num>
  <w:num w:numId="14">
    <w:abstractNumId w:val="7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270ED"/>
    <w:rsid w:val="00776C75"/>
    <w:rsid w:val="00D26613"/>
    <w:rsid w:val="00D270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sz w:val="22"/>
      <w:szCs w:val="29"/>
    </w:rPr>
  </w:style>
  <w:style w:type="paragraph" w:styleId="BodyText3">
    <w:name w:val="Body Text 3"/>
    <w:basedOn w:val="Normal"/>
    <w:semiHidden/>
    <w:pPr>
      <w:jc w:val="center"/>
    </w:pPr>
    <w:rPr>
      <w:b/>
    </w:rPr>
  </w:style>
  <w:style w:type="paragraph" w:styleId="BodyText2">
    <w:name w:val="Body Text 2"/>
    <w:basedOn w:val="Normal"/>
    <w:semiHidden/>
    <w:pPr>
      <w:pBdr>
        <w:bottom w:val="single" w:sz="4" w:space="1" w:color="auto"/>
      </w:pBdr>
      <w:jc w:val="both"/>
    </w:pPr>
  </w:style>
  <w:style w:type="paragraph" w:styleId="BodyTextIndent3">
    <w:name w:val="Body Text Indent 3"/>
    <w:basedOn w:val="Normal"/>
    <w:semiHidden/>
    <w:pPr>
      <w:ind w:firstLine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1196</Words>
  <Characters>6537</Characters>
  <Application>Microsoft Office Word</Application>
  <DocSecurity>0</DocSecurity>
  <Lines>0</Lines>
  <Paragraphs>0</Paragraphs>
  <ScaleCrop>false</ScaleCrop>
  <Company>xxx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Poslanci</dc:title>
  <dc:creator>hascakova</dc:creator>
  <cp:lastModifiedBy>GaspJarm</cp:lastModifiedBy>
  <cp:revision>2</cp:revision>
  <cp:lastPrinted>2010-09-21T16:50:00Z</cp:lastPrinted>
  <dcterms:created xsi:type="dcterms:W3CDTF">2010-11-26T17:42:00Z</dcterms:created>
  <dcterms:modified xsi:type="dcterms:W3CDTF">2010-11-26T17:42:00Z</dcterms:modified>
</cp:coreProperties>
</file>