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4732"/>
        <w:gridCol w:w="668"/>
        <w:gridCol w:w="900"/>
        <w:gridCol w:w="720"/>
        <w:gridCol w:w="6120"/>
        <w:gridCol w:w="360"/>
        <w:gridCol w:w="1080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D59C0" w:rsidP="00F22CD4">
            <w:pPr>
              <w:pStyle w:val="Heading1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8C54C3" w:rsidRPr="002362A8" w:rsidP="001A3928">
            <w:pPr>
              <w:pStyle w:val="Zkladntext"/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2A8" w:rsidR="005513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Návrhu zákona, </w:t>
            </w:r>
            <w:r w:rsidRPr="002362A8" w:rsidR="00F066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ktorým sa mení a dopĺňa zákon č. 98/2004 Z. z. o spotrebnej dani z minerálneho oleja v znení neskorších predpisov </w:t>
            </w:r>
            <w:r w:rsidRPr="002362A8" w:rsidR="002362A8">
              <w:rPr>
                <w:rFonts w:ascii="Times New Roman" w:hAnsi="Times New Roman"/>
                <w:b/>
                <w:sz w:val="20"/>
                <w:szCs w:val="20"/>
              </w:rPr>
              <w:t xml:space="preserve">a ktorým sa mení a dopĺňa zákon č. 309/2009 Z. z. o podpore obnoviteľných zdrojov energie a vysoko účinnej kombinovanej výroby a o zmene a doplnení niektorých zákonov </w:t>
            </w:r>
            <w:r w:rsidRPr="002362A8" w:rsidR="0055135C">
              <w:rPr>
                <w:rFonts w:ascii="Times New Roman" w:hAnsi="Times New Roman"/>
                <w:b/>
                <w:sz w:val="20"/>
                <w:szCs w:val="20"/>
              </w:rPr>
              <w:t>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8D59C0" w:rsidP="00FB350B">
            <w:pPr>
              <w:pStyle w:val="Heading4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D2F74" w:rsidRPr="00DD2F74" w:rsidP="00F70198">
            <w:pPr>
              <w:pStyle w:val="Normlnywebov8"/>
              <w:tabs>
                <w:tab w:val="left" w:pos="6948"/>
              </w:tabs>
              <w:bidi w:val="0"/>
              <w:spacing w:before="0" w:after="0"/>
              <w:ind w:left="0" w:right="0"/>
              <w:jc w:val="both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D59C0" w:rsidR="00F70198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Smernica </w:t>
            </w:r>
            <w:r w:rsidRPr="00DD2F74">
              <w:rPr>
                <w:rFonts w:ascii="Times New Roman" w:hAnsi="Times New Roman"/>
                <w:b/>
                <w:bCs/>
                <w:sz w:val="20"/>
                <w:szCs w:val="20"/>
              </w:rPr>
              <w:t>Európskeho parlamentu a Rady 2009/28/ES z 23. apríla 2009 o podpore využívania energie z obnoviteľných zdrojov energie a o zmene a doplnení a následnom zrušení smerníc 2001/77/ES a 2003/30/ES</w:t>
            </w:r>
          </w:p>
          <w:p w:rsidR="008C54C3" w:rsidRPr="008D59C0" w:rsidP="00DD2F74">
            <w:pPr>
              <w:pStyle w:val="Normlnywebov8"/>
              <w:tabs>
                <w:tab w:val="left" w:pos="6948"/>
              </w:tabs>
              <w:bidi w:val="0"/>
              <w:spacing w:before="0" w:after="0"/>
              <w:ind w:left="0" w:righ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D59C0" w:rsidP="00FB350B">
            <w:pPr>
              <w:pStyle w:val="Heading4"/>
              <w:bidi w:val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59C0">
              <w:rPr>
                <w:rFonts w:ascii="Times New Roman" w:hAnsi="Times New Roman"/>
                <w:sz w:val="20"/>
                <w:szCs w:val="20"/>
                <w:u w:val="single"/>
              </w:rPr>
              <w:t>Smernica ES</w:t>
            </w:r>
          </w:p>
          <w:p w:rsidR="00DD2F74" w:rsidRPr="00DD2F74" w:rsidP="00DD2F74">
            <w:pPr>
              <w:pStyle w:val="Normlnywebov8"/>
              <w:tabs>
                <w:tab w:val="left" w:pos="6948"/>
              </w:tabs>
              <w:bidi w:val="0"/>
              <w:spacing w:before="0" w:after="0"/>
              <w:ind w:left="0" w:right="0"/>
              <w:jc w:val="both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8D59C0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Smernica </w:t>
            </w:r>
            <w:r w:rsidRPr="00DD2F74">
              <w:rPr>
                <w:rFonts w:ascii="Times New Roman" w:hAnsi="Times New Roman"/>
                <w:b/>
                <w:bCs/>
                <w:sz w:val="20"/>
                <w:szCs w:val="20"/>
              </w:rPr>
              <w:t>Európskeho parlamentu a Rady 2009/28/ES z 23. apríla 2009 o podpore využívania energie z obnoviteľných zdrojov energie a o zmene a doplnení a následnom zrušení smerníc 2001/77/ES a 2003/30/ES</w:t>
            </w:r>
          </w:p>
          <w:p w:rsidR="00DD2F74" w:rsidP="00F70198">
            <w:pPr>
              <w:pStyle w:val="Normlnywebov8"/>
              <w:tabs>
                <w:tab w:val="left" w:pos="6948"/>
              </w:tabs>
              <w:bidi w:val="0"/>
              <w:spacing w:before="0" w:after="0"/>
              <w:ind w:left="0" w:right="0"/>
              <w:jc w:val="both"/>
              <w:rPr>
                <w:rStyle w:val="Strong"/>
                <w:rFonts w:ascii="Times New Roman" w:hAnsi="Times New Roman"/>
                <w:sz w:val="20"/>
                <w:szCs w:val="20"/>
              </w:rPr>
            </w:pPr>
          </w:p>
          <w:p w:rsidR="000D042F" w:rsidRPr="008D59C0" w:rsidP="00FB350B">
            <w:pPr>
              <w:bidi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54C3" w:rsidRPr="008D59C0" w:rsidP="00FB350B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D59C0" w:rsidP="00FB350B">
            <w:pPr>
              <w:pStyle w:val="Heading4"/>
              <w:bidi w:val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59C0">
              <w:rPr>
                <w:rFonts w:ascii="Times New Roman" w:hAnsi="Times New Roman"/>
                <w:sz w:val="20"/>
                <w:szCs w:val="20"/>
                <w:u w:val="single"/>
              </w:rPr>
              <w:t>Všeobecne záväzné právne predpisy Slovenskej republiky</w:t>
            </w:r>
          </w:p>
          <w:p w:rsidR="0095366E" w:rsidRPr="002362A8" w:rsidP="00FB350B">
            <w:pPr>
              <w:pStyle w:val="Zkladntext"/>
              <w:bidi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2A8">
              <w:rPr>
                <w:rFonts w:ascii="Times New Roman" w:hAnsi="Times New Roman"/>
                <w:b/>
                <w:bCs/>
                <w:sz w:val="20"/>
                <w:szCs w:val="20"/>
              </w:rPr>
              <w:t>Návrh zákona, ktorým sa mení a dopĺňa zákon č. 98/2004 Z. z. o spotrebnej dani z minerálneho ole</w:t>
            </w:r>
            <w:r w:rsidRPr="002362A8" w:rsidR="001A3928">
              <w:rPr>
                <w:rFonts w:ascii="Times New Roman" w:hAnsi="Times New Roman"/>
                <w:b/>
                <w:bCs/>
                <w:sz w:val="20"/>
                <w:szCs w:val="20"/>
              </w:rPr>
              <w:t>ja v znení neskorších predpisov</w:t>
            </w:r>
            <w:r w:rsidRPr="002362A8" w:rsidR="00DC3D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362A8" w:rsidR="002362A8">
              <w:rPr>
                <w:rFonts w:ascii="Times New Roman" w:hAnsi="Times New Roman"/>
                <w:b/>
                <w:sz w:val="20"/>
                <w:szCs w:val="20"/>
              </w:rPr>
              <w:t xml:space="preserve">a ktorým sa mení a dopĺňa zákon č. 309/2009 Z. z. o podpore obnoviteľných zdrojov energie a vysoko účinnej kombinovanej výroby </w:t>
            </w:r>
            <w:r w:rsidRPr="002362A8">
              <w:rPr>
                <w:rFonts w:ascii="Times New Roman" w:hAnsi="Times New Roman"/>
                <w:b/>
                <w:bCs/>
                <w:sz w:val="20"/>
                <w:szCs w:val="20"/>
              </w:rPr>
              <w:t>(ďalej len „</w:t>
            </w:r>
            <w:r w:rsidRPr="002362A8" w:rsidR="00DC3DFC">
              <w:rPr>
                <w:rFonts w:ascii="Times New Roman" w:hAnsi="Times New Roman"/>
                <w:b/>
                <w:bCs/>
                <w:sz w:val="20"/>
                <w:szCs w:val="20"/>
              </w:rPr>
              <w:t>X/2010</w:t>
            </w:r>
            <w:r w:rsidRPr="002362A8" w:rsidR="003405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Z.</w:t>
            </w:r>
            <w:r w:rsidRPr="002362A8" w:rsidR="00C65A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362A8" w:rsidR="0034051B">
              <w:rPr>
                <w:rFonts w:ascii="Times New Roman" w:hAnsi="Times New Roman"/>
                <w:b/>
                <w:bCs/>
                <w:sz w:val="20"/>
                <w:szCs w:val="20"/>
              </w:rPr>
              <w:t>z.</w:t>
            </w:r>
            <w:r w:rsidRPr="002362A8">
              <w:rPr>
                <w:rFonts w:ascii="Times New Roman" w:hAnsi="Times New Roman"/>
                <w:b/>
                <w:bCs/>
                <w:sz w:val="20"/>
                <w:szCs w:val="20"/>
              </w:rPr>
              <w:t>“)</w:t>
            </w:r>
          </w:p>
          <w:p w:rsidR="008C54C3" w:rsidRPr="002362A8" w:rsidP="00FB350B">
            <w:pPr>
              <w:pStyle w:val="Header"/>
              <w:tabs>
                <w:tab w:val="left" w:pos="709"/>
              </w:tabs>
              <w:bidi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44995" w:rsidRPr="008D59C0" w:rsidP="00FB350B">
            <w:pPr>
              <w:pStyle w:val="Header"/>
              <w:tabs>
                <w:tab w:val="left" w:pos="709"/>
              </w:tabs>
              <w:bidi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9C0" w:rsidR="0034051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D59C0">
              <w:rPr>
                <w:rFonts w:ascii="Times New Roman" w:hAnsi="Times New Roman"/>
                <w:b/>
                <w:bCs/>
                <w:sz w:val="20"/>
                <w:szCs w:val="20"/>
              </w:rPr>
              <w:t>ákon č. 98/2004 Z. z. o spotrebnej dani z minerálneho oleja v znení neskorších predpisov</w:t>
            </w:r>
            <w:r w:rsidRPr="008D59C0" w:rsidR="003405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(ďalej len „98/2004 Z.</w:t>
            </w:r>
            <w:r w:rsidRPr="008D59C0" w:rsidR="00C65A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59C0" w:rsidR="0034051B">
              <w:rPr>
                <w:rFonts w:ascii="Times New Roman" w:hAnsi="Times New Roman"/>
                <w:b/>
                <w:bCs/>
                <w:sz w:val="20"/>
                <w:szCs w:val="20"/>
              </w:rPr>
              <w:t>z.“)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BodyTextIndent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BodyTextIndent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 w:rsidR="005170A9">
              <w:rPr>
                <w:rFonts w:ascii="Times New Roman" w:hAnsi="Times New Roman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Článok</w:t>
            </w:r>
          </w:p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(Č, O,</w:t>
            </w:r>
          </w:p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V, P)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Text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Spôsob transp.</w:t>
            </w:r>
          </w:p>
          <w:p w:rsidR="00C65AE1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 w:rsidR="00A9063F">
              <w:rPr>
                <w:rFonts w:ascii="Times New Roman" w:hAnsi="Times New Roman"/>
              </w:rPr>
              <w:t xml:space="preserve">(N, O, D, </w:t>
            </w:r>
          </w:p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n.</w:t>
            </w:r>
            <w:r w:rsidRPr="008D59C0" w:rsidR="00C65AE1">
              <w:rPr>
                <w:rFonts w:ascii="Times New Roman" w:hAnsi="Times New Roman"/>
              </w:rPr>
              <w:t xml:space="preserve"> </w:t>
            </w:r>
            <w:r w:rsidRPr="008D59C0">
              <w:rPr>
                <w:rFonts w:ascii="Times New Roman" w:hAnsi="Times New Roman"/>
              </w:rPr>
              <w:t>a.)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Číslo</w:t>
            </w:r>
          </w:p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predpisu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Text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Zhoda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7DD9" w:rsidRPr="008D59C0" w:rsidP="00051E71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Čl. 4</w:t>
            </w:r>
            <w:r w:rsidRPr="008D59C0" w:rsidR="001C4D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2F74" w:rsidRPr="00DD2F74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74">
              <w:rPr>
                <w:rFonts w:ascii="Times New Roman" w:hAnsi="Times New Roman"/>
                <w:sz w:val="20"/>
                <w:szCs w:val="20"/>
              </w:rPr>
              <w:t>Národné akčné plány pre energiu z obnoviteľných zdrojov energie</w:t>
            </w:r>
          </w:p>
          <w:p w:rsidR="00051E71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ACE" w:rsidRPr="00DD2F74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74" w:rsidR="00DD2F74">
              <w:rPr>
                <w:rFonts w:ascii="Times New Roman" w:hAnsi="Times New Roman"/>
                <w:sz w:val="20"/>
                <w:szCs w:val="20"/>
              </w:rPr>
              <w:t>1. Každý členský štát prijme národný akčný plán pre energiu z obnoviteľných zdrojov energie. V národnom akčnom pláne pre energiu z obnoviteľných zdrojov energie sa stanovia národné ciele členského štátu pre podiel energie z obnoviteľných zdrojov energie spotrebovanej v doprave a v sektore výroby elektriny, tepla a chladu v roku 2020, pričom sa zohľadnia vplyvy iných opatrení politík súvisiacich s energetickou efektívnosťou na konečnú energetickú spotrebu, a primerané opatrenia, ktoré sa majú prijať na dosiahnutie týchto národných celkových cieľov vrátane spolupráce medzi miestnymi, regionálnymi a národnými orgánmi, plánovaných štatistických prenosov alebo spoločných projektov, vnútroštátnych politík zameraných na rozvoj existujúcich zdrojov biomasy a využívanie nových zdrojov biomasy na rôzne použitia, ako aj opatrenia, ktoré sa majú prijať na účely splnenia požiadaviek uvedených v článkoch 13 až 19.</w:t>
            </w:r>
          </w:p>
          <w:p w:rsidR="00DD2F74" w:rsidRPr="00DD2F74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74">
              <w:rPr>
                <w:rFonts w:ascii="Times New Roman" w:hAnsi="Times New Roman"/>
                <w:sz w:val="20"/>
                <w:szCs w:val="20"/>
              </w:rPr>
              <w:t>Komisia prijme do 30. júna 2009 vzor národných akčných plánov pre energiu z obnoviteľných zdrojov energie. Tento vzor zahŕňa minimálne požiadavky uvedené v prílohe VI. Členské štáty pri predkladaní svojich národných akčných plánov pre energiu z obnoviteľných zdrojov energie dodržiavajú tento vzor.</w:t>
            </w:r>
          </w:p>
          <w:p w:rsidR="004A3960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74" w:rsidRPr="00DD2F74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74">
              <w:rPr>
                <w:rFonts w:ascii="Times New Roman" w:hAnsi="Times New Roman"/>
                <w:sz w:val="20"/>
                <w:szCs w:val="20"/>
              </w:rPr>
              <w:t>2. Členské štáty oznámia Komisii svoje národné akčné plány pre energiu z obnoviteľných zdrojov energie do 30. júna 2010.</w:t>
            </w:r>
          </w:p>
          <w:p w:rsidR="004A3960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74" w:rsidRPr="00DD2F74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74">
              <w:rPr>
                <w:rFonts w:ascii="Times New Roman" w:hAnsi="Times New Roman"/>
                <w:sz w:val="20"/>
                <w:szCs w:val="20"/>
              </w:rPr>
              <w:t>3. Každý členský štát zverejní a oznámi Komisii šesť mesiacov predtým, ako národný akčný plán pre energiu z obnoviteľných zdrojov energie nadobudne platnosť, dokument s prognózou, v ktorom uvedie:</w:t>
            </w:r>
          </w:p>
          <w:p w:rsidR="00DD2F74" w:rsidRPr="00DD2F74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74">
              <w:rPr>
                <w:rFonts w:ascii="Times New Roman" w:hAnsi="Times New Roman"/>
                <w:sz w:val="20"/>
                <w:szCs w:val="20"/>
              </w:rPr>
              <w:t>a) svoje odhadované množstvo energie z obnoviteľných zdrojov energie, ktorú vyrobí navyše oproti množstvu uvedenému v orientačnej trajektórii, ktoré by sa mohlo preniesť do iných členských štátov v súlade s článkami 6 až 11, ako aj jeho odhadovaný potenciál pre spoločné projekty do roku 2020, a</w:t>
            </w:r>
          </w:p>
          <w:p w:rsidR="00DD2F74" w:rsidRPr="00DD2F74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74">
              <w:rPr>
                <w:rFonts w:ascii="Times New Roman" w:hAnsi="Times New Roman"/>
                <w:sz w:val="20"/>
                <w:szCs w:val="20"/>
              </w:rPr>
              <w:t>b) svoj odhadovaný dopyt po energii z obnoviteľných zdrojov energie, ktorý sa pokryje inak ako domácou produkciou do roku 2020.</w:t>
            </w:r>
          </w:p>
          <w:p w:rsidR="00DD2F74" w:rsidRPr="00DD2F74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74">
              <w:rPr>
                <w:rFonts w:ascii="Times New Roman" w:hAnsi="Times New Roman"/>
                <w:sz w:val="20"/>
                <w:szCs w:val="20"/>
              </w:rPr>
              <w:t>Tieto informácie môžu obsahovať aj prvky súvisiace s nákladmi a prínosmi a financovaním. Prognóza sa aktualizuje v správach členských štátov, ako je uvedené v článku 22 ods. 1 písm. l) a m).</w:t>
            </w:r>
          </w:p>
          <w:p w:rsidR="004A3960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74" w:rsidRPr="00DD2F74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74">
              <w:rPr>
                <w:rFonts w:ascii="Times New Roman" w:hAnsi="Times New Roman"/>
                <w:sz w:val="20"/>
                <w:szCs w:val="20"/>
              </w:rPr>
              <w:t>4. Členský štát, ktorého podiel energie z obnoviteľných zdrojov energie bol počas dvoch bezprostredne predchádzajúcich rokov nižší ako množstvo uvedené v orientačnej trajektórii v časti B prílohy I, predloží Komisii zmenený národný akčný plán pre energiu z obnoviteľných zdrojov energie do 30. júna nasledujúceho roka, v ktorom stanoví primerané a vhodné opatrenia na zabezpečenie toho, aby sa v primeranom časovom horizonte vrátil k orientačnej trajektórii uvedenej v časti B prílohy I.</w:t>
            </w:r>
          </w:p>
          <w:p w:rsidR="00DD2F74" w:rsidRPr="00DD2F74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74">
              <w:rPr>
                <w:rFonts w:ascii="Times New Roman" w:hAnsi="Times New Roman"/>
                <w:sz w:val="20"/>
                <w:szCs w:val="20"/>
              </w:rPr>
              <w:t>Komisia môže v prípade, ak je rozdiel, ktorý členskému štátu chýbal k splneniu orientačnej trajektórie, malý, a pri riadnom zohľadnení súčasných a budúcich opatrení členského štátu prijať rozhodnutie, ktorým sa členský štát oslobodzuje od povinnosti predložiť zmenený národný akčný plán pre energiu z obnoviteľných zdrojov energie.</w:t>
            </w:r>
          </w:p>
          <w:p w:rsidR="004A3960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74" w:rsidRPr="00DD2F74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74">
              <w:rPr>
                <w:rFonts w:ascii="Times New Roman" w:hAnsi="Times New Roman"/>
                <w:sz w:val="20"/>
                <w:szCs w:val="20"/>
              </w:rPr>
              <w:t>5. Komisia zhodnotí národné akčné plány pre energiu z obnoviteľných zdrojov energie, najmä primeranosť opatrení, ktoré členský štát plánuje prijať v súlade s článkom 3 ods. 2 V reakcii na národný akčný plán pre energiu z obnoviteľných zdrojov energie alebo zmenený národný akčný plán pre energiu z obnoviteľných zdrojov energie môže Komisia vydať odporúčanie.</w:t>
            </w:r>
          </w:p>
          <w:p w:rsidR="004A3960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74" w:rsidRPr="00DD2F74" w:rsidP="004A396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74">
              <w:rPr>
                <w:rFonts w:ascii="Times New Roman" w:hAnsi="Times New Roman"/>
                <w:sz w:val="20"/>
                <w:szCs w:val="20"/>
              </w:rPr>
              <w:t>6. Komisia pošle Európskemu parlamentu národné akčné plány pre energiu z obnoviteľných zdrojov energie a dokumenty s prognózami vo forme, v ktorej sú zverejnené na platforme transparentnosti podľa článku 24 ods. 2, ako aj akékoľvek odporúčania podľa odseku 5 tohto článku.</w:t>
            </w:r>
          </w:p>
          <w:p w:rsidR="00A9063F" w:rsidRPr="004A3960" w:rsidP="004A3960">
            <w:pPr>
              <w:pStyle w:val="Normlnywebov8"/>
              <w:bidi w:val="0"/>
              <w:spacing w:before="0" w:after="0"/>
              <w:ind w:left="0"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 w:rsidR="00303121">
              <w:rPr>
                <w:rFonts w:ascii="Times New Roman" w:hAnsi="Times New Roman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6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 w:rsidR="00026532">
              <w:rPr>
                <w:rFonts w:ascii="Times New Roman" w:hAnsi="Times New Roman"/>
              </w:rPr>
              <w:t>X/2010</w:t>
            </w:r>
            <w:r w:rsidRPr="008D59C0" w:rsidR="00077884">
              <w:rPr>
                <w:rFonts w:ascii="Times New Roman" w:hAnsi="Times New Roman"/>
              </w:rPr>
              <w:t xml:space="preserve"> Z.</w:t>
            </w:r>
            <w:r w:rsidRPr="008D59C0" w:rsidR="00C65AE1">
              <w:rPr>
                <w:rFonts w:ascii="Times New Roman" w:hAnsi="Times New Roman"/>
              </w:rPr>
              <w:t xml:space="preserve"> </w:t>
            </w:r>
            <w:r w:rsidRPr="008D59C0" w:rsidR="00077884">
              <w:rPr>
                <w:rFonts w:ascii="Times New Roman" w:hAnsi="Times New Roman"/>
              </w:rPr>
              <w:t>z.</w:t>
            </w:r>
          </w:p>
          <w:p w:rsidR="00077884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077884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077884" w:rsidRPr="008D59C0" w:rsidP="00CA7304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26065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II</w:t>
            </w:r>
          </w:p>
          <w:p w:rsidR="00726065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BC3C6F" w:rsidRPr="008D59C0" w:rsidP="00726065">
            <w:pPr>
              <w:pStyle w:val="Normlny"/>
              <w:bidi w:val="0"/>
              <w:rPr>
                <w:rFonts w:ascii="Times New Roman" w:hAnsi="Times New Roman"/>
              </w:rPr>
            </w:pPr>
            <w:r w:rsidRPr="008D59C0" w:rsidR="00303121">
              <w:rPr>
                <w:rFonts w:ascii="Times New Roman" w:hAnsi="Times New Roman"/>
              </w:rPr>
              <w:t xml:space="preserve">§ </w:t>
            </w:r>
            <w:r w:rsidR="00726065">
              <w:rPr>
                <w:rFonts w:ascii="Times New Roman" w:hAnsi="Times New Roman"/>
              </w:rPr>
              <w:t>14a</w:t>
            </w:r>
            <w:r w:rsidR="000D3C95">
              <w:rPr>
                <w:rFonts w:ascii="Times New Roman" w:hAnsi="Times New Roman"/>
              </w:rPr>
              <w:t xml:space="preserve"> </w:t>
            </w:r>
          </w:p>
          <w:p w:rsidR="00077884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077884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80575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26065" w:rsidP="00726065">
            <w:pPr>
              <w:pStyle w:val="ListParagraph"/>
              <w:bidi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065">
              <w:rPr>
                <w:rFonts w:ascii="Times New Roman" w:hAnsi="Times New Roman"/>
                <w:sz w:val="20"/>
                <w:szCs w:val="20"/>
              </w:rPr>
              <w:t>Referenčné hodnoty podielu konečnej energetickej spotreby biopalív v</w:t>
            </w:r>
            <w:r w:rsidR="000D3C95">
              <w:rPr>
                <w:rFonts w:ascii="Times New Roman" w:hAnsi="Times New Roman"/>
                <w:sz w:val="20"/>
                <w:szCs w:val="20"/>
              </w:rPr>
              <w:t> </w:t>
            </w:r>
            <w:r w:rsidRPr="00726065">
              <w:rPr>
                <w:rFonts w:ascii="Times New Roman" w:hAnsi="Times New Roman"/>
                <w:sz w:val="20"/>
                <w:szCs w:val="20"/>
              </w:rPr>
              <w:t>doprave</w:t>
            </w:r>
          </w:p>
          <w:p w:rsidR="000370C1" w:rsidRPr="000370C1" w:rsidP="000370C1">
            <w:pPr>
              <w:pStyle w:val="ListParagraph"/>
              <w:bidi w:val="0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0C1" w:rsidRPr="000370C1" w:rsidP="000370C1">
            <w:pPr>
              <w:pStyle w:val="ListParagraph"/>
              <w:numPr>
                <w:numId w:val="42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Právnická osoba alebo fyzická osoba podľa odseku 2 je povinná uvádzať na trh pohonné látky s obsahom biopalív v referenčnej hodnote vypočítanej z energetického obsahu celkového množstva pohonných látok uvedených na trh, ktorá je</w:t>
            </w:r>
          </w:p>
          <w:p w:rsidR="000370C1" w:rsidRPr="000370C1" w:rsidP="000370C1">
            <w:pPr>
              <w:pStyle w:val="ListParagraph"/>
              <w:numPr>
                <w:numId w:val="43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3,8 % do 31. decembra 2011,</w:t>
            </w:r>
          </w:p>
          <w:p w:rsidR="000370C1" w:rsidRPr="000370C1" w:rsidP="000370C1">
            <w:pPr>
              <w:pStyle w:val="ListParagraph"/>
              <w:numPr>
                <w:numId w:val="43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 xml:space="preserve">3,9 % do 31. decembra 2012, </w:t>
            </w:r>
          </w:p>
          <w:p w:rsidR="000370C1" w:rsidRPr="000370C1" w:rsidP="000370C1">
            <w:pPr>
              <w:pStyle w:val="ListParagraph"/>
              <w:numPr>
                <w:numId w:val="43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4 % do 31. decembra 2013,</w:t>
            </w:r>
          </w:p>
          <w:p w:rsidR="000370C1" w:rsidRPr="000370C1" w:rsidP="000370C1">
            <w:pPr>
              <w:pStyle w:val="ListParagraph"/>
              <w:numPr>
                <w:numId w:val="43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4,5 % do 31. decembra 2014,</w:t>
            </w:r>
          </w:p>
          <w:p w:rsidR="000370C1" w:rsidRPr="000370C1" w:rsidP="000370C1">
            <w:pPr>
              <w:pStyle w:val="ListParagraph"/>
              <w:numPr>
                <w:numId w:val="43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5,5 % do 31. decembra 2015,</w:t>
            </w:r>
          </w:p>
          <w:p w:rsidR="000370C1" w:rsidRPr="000370C1" w:rsidP="000370C1">
            <w:pPr>
              <w:pStyle w:val="ListParagraph"/>
              <w:numPr>
                <w:numId w:val="43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5,5 % do 31. decembra 2016,</w:t>
            </w:r>
          </w:p>
          <w:p w:rsidR="000370C1" w:rsidRPr="000370C1" w:rsidP="000370C1">
            <w:pPr>
              <w:pStyle w:val="ListParagraph"/>
              <w:numPr>
                <w:numId w:val="43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5,8 % do 31. decembra 2017,</w:t>
            </w:r>
          </w:p>
          <w:p w:rsidR="000370C1" w:rsidRPr="000370C1" w:rsidP="000370C1">
            <w:pPr>
              <w:pStyle w:val="ListParagraph"/>
              <w:numPr>
                <w:numId w:val="43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7,2 % do 31. decembra 2018,</w:t>
            </w:r>
          </w:p>
          <w:p w:rsidR="000370C1" w:rsidRPr="000370C1" w:rsidP="000370C1">
            <w:pPr>
              <w:pStyle w:val="ListParagraph"/>
              <w:numPr>
                <w:numId w:val="43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7,5 % do 31. decembra 2019,</w:t>
            </w:r>
          </w:p>
          <w:p w:rsidR="000370C1" w:rsidRPr="000370C1" w:rsidP="000370C1">
            <w:pPr>
              <w:pStyle w:val="ListParagraph"/>
              <w:numPr>
                <w:numId w:val="43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8,5 % do 31. decembra 2020.</w:t>
            </w:r>
          </w:p>
          <w:p w:rsidR="000370C1" w:rsidRPr="000370C1" w:rsidP="000370C1">
            <w:pPr>
              <w:pStyle w:val="ListParagraph"/>
              <w:bidi w:val="0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0C1" w:rsidRPr="000370C1" w:rsidP="000370C1">
            <w:pPr>
              <w:pStyle w:val="ListParagraph"/>
              <w:numPr>
                <w:numId w:val="42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 xml:space="preserve"> Právnickou osobou alebo fyzickou osobou podľa odseku 1 sa rozumie právnická osoba alebo fyzická osoba, ktorá</w:t>
            </w:r>
          </w:p>
          <w:p w:rsidR="000370C1" w:rsidRPr="000370C1" w:rsidP="000370C1">
            <w:pPr>
              <w:pStyle w:val="ListParagraph"/>
              <w:numPr>
                <w:numId w:val="41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uvádza do daňového voľného obehu</w:t>
            </w:r>
            <w:r w:rsidRPr="000370C1">
              <w:rPr>
                <w:rFonts w:ascii="Times New Roman" w:hAnsi="Times New Roman"/>
                <w:sz w:val="20"/>
                <w:szCs w:val="20"/>
                <w:vertAlign w:val="superscript"/>
              </w:rPr>
              <w:t>17a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) podľa osobitného predpisu</w:t>
            </w:r>
            <w:r w:rsidRPr="000370C1">
              <w:rPr>
                <w:rFonts w:ascii="Times New Roman" w:hAnsi="Times New Roman"/>
                <w:sz w:val="20"/>
                <w:szCs w:val="20"/>
                <w:vertAlign w:val="superscript"/>
              </w:rPr>
              <w:t>17b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 xml:space="preserve">) na území Slovenskej republiky pohonné látky, </w:t>
            </w:r>
          </w:p>
          <w:p w:rsidR="000370C1" w:rsidRPr="000370C1" w:rsidP="000370C1">
            <w:pPr>
              <w:pStyle w:val="ListParagraph"/>
              <w:numPr>
                <w:numId w:val="41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 xml:space="preserve">prepravuje na územie Slovenskej republiky pohonné látky mimo pozastavenia dane na podnikateľské účely, </w:t>
            </w:r>
            <w:r w:rsidRPr="000370C1">
              <w:rPr>
                <w:rFonts w:ascii="Times New Roman" w:hAnsi="Times New Roman"/>
                <w:sz w:val="20"/>
                <w:szCs w:val="20"/>
                <w:vertAlign w:val="superscript"/>
              </w:rPr>
              <w:t>17c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370C1" w:rsidRPr="000370C1" w:rsidP="000370C1">
            <w:pPr>
              <w:pStyle w:val="ListParagraph"/>
              <w:numPr>
                <w:numId w:val="41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dováža na územie Slovenskej republiky pohonné látky z tretích štátov,</w:t>
            </w:r>
            <w:r w:rsidRPr="000370C1">
              <w:rPr>
                <w:rFonts w:ascii="Times New Roman" w:hAnsi="Times New Roman"/>
                <w:sz w:val="20"/>
                <w:szCs w:val="20"/>
                <w:vertAlign w:val="superscript"/>
              </w:rPr>
              <w:t>17d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370C1" w:rsidRPr="000370C1" w:rsidP="000370C1">
            <w:pPr>
              <w:pStyle w:val="ListParagraph"/>
              <w:numPr>
                <w:numId w:val="41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 xml:space="preserve">uvádza na trh pohonné látky iným spôsobom, ako je uvedený v písmenách a) až c). </w:t>
            </w:r>
          </w:p>
          <w:p w:rsidR="000370C1" w:rsidRPr="000370C1" w:rsidP="000370C1">
            <w:pPr>
              <w:pStyle w:val="ListParagraph"/>
              <w:bidi w:val="0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0C1" w:rsidRPr="000370C1" w:rsidP="000370C1">
            <w:pPr>
              <w:pStyle w:val="ListParagraph"/>
              <w:numPr>
                <w:numId w:val="42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Právnická osoba alebo fyzická osoba podľa odseku 2 je povinná plnenie povinnosti podľa odseku 1 zabezpečiť prostredníctvom pohonných látok s obsahom biopalív, pričom minimálny obsah biopalív v každom litri jednotlivého druhu pohonných látok je ustanovený v prílohe č. 1, najviac však v množstve ustanovenom v technickom predpise upravujúcom kvalitu pohonných látok.</w:t>
            </w:r>
            <w:r w:rsidRPr="000370C1">
              <w:rPr>
                <w:rFonts w:ascii="Times New Roman" w:hAnsi="Times New Roman"/>
                <w:sz w:val="20"/>
                <w:szCs w:val="20"/>
                <w:vertAlign w:val="superscript"/>
              </w:rPr>
              <w:t>17e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) Povinnosť podľa odseku 1 a povinnosť podľa prílohy č. 1 sa považuje za splnenú i v prípade, ak minimálny obsah biopaliva je nižší najviac o 0,25 % vrátane v litri jednotlivého druhu pohonných látok, ako je ustanovené v prílohe č. 1 alebo ak je odchýlka v súlade s technickým predpisom.</w:t>
            </w:r>
            <w:r w:rsidRPr="000370C1">
              <w:rPr>
                <w:rFonts w:ascii="Times New Roman" w:hAnsi="Times New Roman"/>
                <w:sz w:val="20"/>
                <w:szCs w:val="20"/>
                <w:vertAlign w:val="superscript"/>
              </w:rPr>
              <w:t>17f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) Na účely prílohy č. 1 sa b</w:t>
            </w:r>
            <w:r w:rsidRPr="000370C1">
              <w:rPr>
                <w:rFonts w:ascii="Times New Roman" w:hAnsi="Times New Roman"/>
                <w:color w:val="000000"/>
                <w:sz w:val="20"/>
                <w:szCs w:val="20"/>
              </w:rPr>
              <w:t>ioetanolovou zložkou rozumie zmes bioetyltercbutyléteru a bioetanolu s minimálnym obsahom bioetyltercbutyléteru podľa prílohy č. 1. Objem bioetyltercbutyléteru sa do objemu bioetanolovej zložky zmesi započítava 47 % svojho objemu.</w:t>
            </w:r>
          </w:p>
          <w:p w:rsidR="000370C1" w:rsidRPr="000370C1" w:rsidP="000370C1">
            <w:pPr>
              <w:pStyle w:val="ListParagraph"/>
              <w:bidi w:val="0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0C1" w:rsidRPr="000370C1" w:rsidP="000370C1">
            <w:pPr>
              <w:pStyle w:val="ListParagraph"/>
              <w:numPr>
                <w:numId w:val="42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Právnická osoba alebo fyzická osoba podľa odseku 2 je povinná najneskôr do 25. dňa  po skončení kalendárneho štvrťroka podať colnému úradu hlásenie o plnení povinnosti uvádzať na trh pohonné látky s obsahom biopalív (ďalej len „hlásenie“) podľa vzoru ustanoveného všeobecne záväzným predpisom, ktorý vydá ministerstvo, a to za príslušný kalendárny štvrťrok.</w:t>
            </w:r>
          </w:p>
          <w:p w:rsidR="000370C1" w:rsidRPr="000370C1" w:rsidP="000370C1">
            <w:pPr>
              <w:pStyle w:val="ListParagraph"/>
              <w:bidi w:val="0"/>
              <w:ind w:left="79"/>
              <w:rPr>
                <w:rFonts w:ascii="Times New Roman" w:hAnsi="Times New Roman"/>
                <w:sz w:val="20"/>
                <w:szCs w:val="20"/>
              </w:rPr>
            </w:pPr>
          </w:p>
          <w:p w:rsidR="000370C1" w:rsidRPr="000370C1" w:rsidP="000370C1">
            <w:pPr>
              <w:pStyle w:val="ListParagraph"/>
              <w:numPr>
                <w:numId w:val="42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 xml:space="preserve"> Pohonné látky uvádzané na trh právnickou osobou alebo fyzickou osobou podľa odseku 2 musia byť pri ich preprave sprevádzané </w:t>
            </w:r>
            <w:r w:rsidRPr="000370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obchodnými dokumentmi, ktoré musia obsahovať informáciu o množstve biopaliva v percentách objemu. </w:t>
            </w:r>
          </w:p>
          <w:p w:rsidR="000370C1" w:rsidRPr="000370C1" w:rsidP="000370C1">
            <w:pPr>
              <w:bidi w:val="0"/>
              <w:ind w:left="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70C1" w:rsidRPr="000370C1" w:rsidP="000370C1">
            <w:pPr>
              <w:pStyle w:val="ListParagraph"/>
              <w:numPr>
                <w:numId w:val="42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Ak právnická osoba alebo fyzická osoba podľa odseku 2 ukončí podnikateľskú činnosť v oblasti uvádzania motorových palív na trh alebo ak právnická osoba alebo fyzická osoba začne vykonávať podnikateľskú činnosť v oblasti uvádzania motorových palív na trh, je povinná plniť referenčné hodnoty podľa odseku 1, a to vo výške alikvótnej časti referenčných hodnôt za príslušné obdobie podľa odseku 1.</w:t>
            </w:r>
          </w:p>
          <w:p w:rsidR="000370C1" w:rsidRPr="000370C1" w:rsidP="000370C1">
            <w:pPr>
              <w:pStyle w:val="ListParagraph"/>
              <w:bidi w:val="0"/>
              <w:ind w:lef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70C1" w:rsidRPr="000370C1" w:rsidP="000370C1">
            <w:pPr>
              <w:pStyle w:val="ListParagraph"/>
              <w:numPr>
                <w:numId w:val="42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Povinnosť podľa odsekov 1 a 3 sa nevzťahuje na </w:t>
            </w:r>
          </w:p>
          <w:p w:rsidR="000370C1" w:rsidRPr="000370C1" w:rsidP="000370C1">
            <w:pPr>
              <w:numPr>
                <w:ilvl w:val="2"/>
                <w:numId w:val="40"/>
              </w:numPr>
              <w:autoSpaceDE/>
              <w:autoSpaceDN/>
              <w:bidi w:val="0"/>
              <w:ind w:left="79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color w:val="000000"/>
                <w:sz w:val="20"/>
                <w:szCs w:val="20"/>
              </w:rPr>
              <w:t>právnickú osobu, ktorá nie je zriadená alebo založ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ená na podnikateľské účely, ale</w:t>
            </w:r>
            <w:r w:rsidRPr="000370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 predmete činnosti má skladovanie minerálneho oleja osobitného určenia, ktorého vlastníkom je štát,</w:t>
            </w:r>
            <w:r w:rsidRPr="000370C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17g</w:t>
            </w:r>
            <w:r w:rsidRPr="000370C1">
              <w:rPr>
                <w:rFonts w:ascii="Times New Roman" w:hAnsi="Times New Roman"/>
                <w:color w:val="000000"/>
                <w:sz w:val="20"/>
                <w:szCs w:val="20"/>
              </w:rPr>
              <w:t>) alebo skladovanie a 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redaj leteckých pohonných látok</w:t>
            </w:r>
            <w:r w:rsidRPr="000370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 priestoroch letísk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370C1" w:rsidRPr="000370C1" w:rsidP="000370C1">
            <w:pPr>
              <w:numPr>
                <w:ilvl w:val="2"/>
                <w:numId w:val="40"/>
              </w:numPr>
              <w:autoSpaceDE/>
              <w:autoSpaceDN/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minerálny olej určený pre ozbrojené sily Slovenskej republiky a pre ozbrojené sily iných štátov, ktoré sú stranami Severoatlantickej zmluvy, a ich civilnými zamestnancami na použitie v rámci aktivít podľa medzinárodnej zmluvy.</w:t>
            </w:r>
            <w:r w:rsidRPr="000370C1">
              <w:rPr>
                <w:rFonts w:ascii="Times New Roman" w:hAnsi="Times New Roman"/>
                <w:sz w:val="20"/>
                <w:szCs w:val="20"/>
                <w:vertAlign w:val="superscript"/>
              </w:rPr>
              <w:t>17h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370C1" w:rsidRPr="000370C1" w:rsidP="000370C1">
            <w:pPr>
              <w:bidi w:val="0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0C1" w:rsidRPr="000370C1" w:rsidP="000370C1">
            <w:pPr>
              <w:pStyle w:val="ListParagraph"/>
              <w:numPr>
                <w:numId w:val="42"/>
              </w:numPr>
              <w:bidi w:val="0"/>
              <w:ind w:left="7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Ak právnická osoba alebo fyzická osoba, ktorá vyrába minerálny olej podľa osobitného predpisu,</w:t>
            </w:r>
            <w:r w:rsidRPr="000370C1">
              <w:rPr>
                <w:rFonts w:ascii="Times New Roman" w:hAnsi="Times New Roman"/>
                <w:sz w:val="20"/>
                <w:szCs w:val="20"/>
                <w:vertAlign w:val="superscript"/>
              </w:rPr>
              <w:t>17i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) nemôže splniť z dôvodu prevádzkových pomerov alebo z dôvodov technických, technologických alebo logistických dôvodov povinnosť podľa odseku 3,  je povinná oznámiť túto skutočnosť colnému úradu, a to najneskôr v nasledujúci pracovný deň po dni, v ktorom sa dozvedela, že nebude môcť plniť povinnosť podľa odseku 3; táto právnická osoba alebo fyzická osoba nie je povinná plniť povinnosť podľa odseku 3 najdlhšie počas obdobia uvedeného v oznámení colnému úradu. Právnická osoba alebo fyzická osoba podľa prvej vety je však povinná plniť povinnosť za príslušné obdobie podľa odseku 1.“.</w:t>
            </w:r>
          </w:p>
          <w:p w:rsidR="000370C1" w:rsidRPr="000370C1" w:rsidP="000370C1">
            <w:pPr>
              <w:pStyle w:val="ListParagraph"/>
              <w:bidi w:val="0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0C1" w:rsidRPr="000370C1" w:rsidP="000370C1">
            <w:pPr>
              <w:pStyle w:val="ListParagraph"/>
              <w:bidi w:val="0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Poznámky pod čiarou k odkazom 17a až 17i znejú:</w:t>
            </w:r>
          </w:p>
          <w:p w:rsidR="000370C1" w:rsidRPr="000370C1" w:rsidP="000370C1">
            <w:pPr>
              <w:bidi w:val="0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</w:rPr>
              <w:t>„</w:t>
            </w:r>
            <w:r w:rsidRPr="000370C1">
              <w:rPr>
                <w:rFonts w:ascii="Times New Roman" w:hAnsi="Times New Roman"/>
                <w:sz w:val="20"/>
                <w:szCs w:val="20"/>
                <w:vertAlign w:val="superscript"/>
              </w:rPr>
              <w:t>17a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) § 2 ods. 1 písm. i) zákona č. 98/2004 Z. z. o spotrebnej dani z minerálneho oleja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 xml:space="preserve"> v znení zákona č. 482/2009 Z. z.</w:t>
            </w:r>
          </w:p>
          <w:p w:rsidR="000370C1" w:rsidRPr="000370C1" w:rsidP="000370C1">
            <w:pPr>
              <w:bidi w:val="0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  <w:vertAlign w:val="superscript"/>
              </w:rPr>
              <w:t>17b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) § 19 až 20 a 25 zákona č. 98/2004 Z. z. v znení neskorších predpisov.</w:t>
            </w:r>
          </w:p>
          <w:p w:rsidR="000370C1" w:rsidRPr="000370C1" w:rsidP="000370C1">
            <w:pPr>
              <w:bidi w:val="0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  <w:vertAlign w:val="superscript"/>
              </w:rPr>
              <w:t>17c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) § 31 zákona č. 98/2004 Z. z. v znení neskorších predpisov.</w:t>
            </w:r>
          </w:p>
          <w:p w:rsidR="000370C1" w:rsidRPr="000370C1" w:rsidP="000370C1">
            <w:pPr>
              <w:bidi w:val="0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  <w:vertAlign w:val="superscript"/>
              </w:rPr>
              <w:t>17d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) § 13 ods. 1 písm. h) a § 29 zákona č. 98/2004 Z. z. v znení neskorších predpisov.</w:t>
            </w:r>
          </w:p>
          <w:p w:rsidR="000370C1" w:rsidRPr="000370C1" w:rsidP="000370C1">
            <w:pPr>
              <w:pStyle w:val="ListParagraph"/>
              <w:bidi w:val="0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  <w:vertAlign w:val="superscript"/>
              </w:rPr>
              <w:t>17e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) Napríklad STN EN 228 Automobilové palivá. Bezolovnatý benzín. Požiadavky a skúšobné metódy.</w:t>
            </w:r>
          </w:p>
          <w:p w:rsidR="000370C1" w:rsidRPr="000370C1" w:rsidP="000370C1">
            <w:pPr>
              <w:pStyle w:val="PlainText"/>
              <w:bidi w:val="0"/>
              <w:ind w:left="79"/>
              <w:jc w:val="both"/>
              <w:rPr>
                <w:rFonts w:ascii="Times New Roman" w:hAnsi="Times New Roman"/>
                <w:bCs/>
              </w:rPr>
            </w:pPr>
            <w:r w:rsidRPr="000370C1">
              <w:rPr>
                <w:rFonts w:ascii="Times New Roman" w:hAnsi="Times New Roman"/>
              </w:rPr>
              <w:t>STN EN 590 Automobilové palivá. Nafta. Požiadavky na skúšobné metódy.</w:t>
            </w:r>
            <w:r w:rsidRPr="000370C1">
              <w:rPr>
                <w:rFonts w:ascii="Times New Roman" w:hAnsi="Times New Roman"/>
                <w:bCs/>
              </w:rPr>
              <w:t xml:space="preserve"> </w:t>
            </w:r>
          </w:p>
          <w:p w:rsidR="000370C1" w:rsidRPr="000370C1" w:rsidP="000370C1">
            <w:pPr>
              <w:pStyle w:val="ListParagraph"/>
              <w:bidi w:val="0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17f</w:t>
            </w:r>
            <w:r w:rsidRPr="000370C1">
              <w:rPr>
                <w:rFonts w:ascii="Times New Roman" w:hAnsi="Times New Roman"/>
                <w:bCs/>
                <w:sz w:val="20"/>
                <w:szCs w:val="20"/>
              </w:rPr>
              <w:t xml:space="preserve">) STN 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EN ISO 4259 Ropné výrobky. Určovanie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 využívanie údajov presnoti 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výsledkov vo vzťahu k skúšobným metódam.</w:t>
            </w:r>
          </w:p>
          <w:p w:rsidR="000370C1" w:rsidRPr="000370C1" w:rsidP="000370C1">
            <w:pPr>
              <w:pStyle w:val="ListParagraph"/>
              <w:bidi w:val="0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  <w:vertAlign w:val="superscript"/>
              </w:rPr>
              <w:t>17g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) Zákon Národnej rady Slovenskej republiky č. 82/1994 Z. z. o štátnych hmotných rezervách v znení neskorších predpisov.</w:t>
            </w:r>
          </w:p>
          <w:p w:rsidR="000370C1" w:rsidRPr="000370C1" w:rsidP="000370C1">
            <w:pPr>
              <w:pStyle w:val="ListParagraph"/>
              <w:bidi w:val="0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C1">
              <w:rPr>
                <w:rFonts w:ascii="Times New Roman" w:hAnsi="Times New Roman"/>
                <w:sz w:val="20"/>
                <w:szCs w:val="20"/>
                <w:vertAlign w:val="superscript"/>
              </w:rPr>
              <w:t>17h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) Napríklad Zmluva medzi štátmi, ktoré sú stranami Severoatlantickej zmluvy, a inými štátmi zúčastnenými v Partnerstve za mier vzťahujúca sa na štatút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ozbrojených síl </w:t>
            </w:r>
            <w:r w:rsidRPr="000370C1">
              <w:rPr>
                <w:rFonts w:ascii="Times New Roman" w:hAnsi="Times New Roman"/>
                <w:sz w:val="20"/>
                <w:szCs w:val="20"/>
              </w:rPr>
              <w:t>v znení ďalších dodatkových protokolov (oznámenie č. 324/1997 Z. z. ).</w:t>
            </w:r>
          </w:p>
          <w:p w:rsidR="000370C1" w:rsidRPr="000370C1" w:rsidP="000370C1">
            <w:pPr>
              <w:pStyle w:val="PlainText"/>
              <w:bidi w:val="0"/>
              <w:ind w:left="79"/>
              <w:jc w:val="both"/>
              <w:rPr>
                <w:rFonts w:ascii="Times New Roman" w:hAnsi="Times New Roman"/>
              </w:rPr>
            </w:pPr>
            <w:r w:rsidRPr="000370C1">
              <w:rPr>
                <w:rFonts w:ascii="Times New Roman" w:hAnsi="Times New Roman"/>
                <w:bCs/>
                <w:vertAlign w:val="superscript"/>
              </w:rPr>
              <w:t>17i</w:t>
            </w:r>
            <w:r w:rsidRPr="000370C1">
              <w:rPr>
                <w:rFonts w:ascii="Times New Roman" w:hAnsi="Times New Roman"/>
                <w:bCs/>
              </w:rPr>
              <w:t xml:space="preserve">) </w:t>
            </w:r>
            <w:r w:rsidRPr="000370C1">
              <w:rPr>
                <w:rFonts w:ascii="Times New Roman" w:hAnsi="Times New Roman"/>
              </w:rPr>
              <w:t>§ 19 ods. 6 zákona č. 98/2004 Z. z. v znení zákona č. 609/2007 Z. z.“.</w:t>
            </w:r>
          </w:p>
          <w:p w:rsidR="00CE2EEE" w:rsidRPr="00726065" w:rsidP="00726065">
            <w:pPr>
              <w:tabs>
                <w:tab w:val="num" w:pos="1080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 w:rsidR="00303121">
              <w:rPr>
                <w:rFonts w:ascii="Times New Roman" w:hAnsi="Times New Roman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Heading1"/>
              <w:bidi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8D59C0" w:rsidP="003328FF">
      <w:pPr>
        <w:pStyle w:val="tlArialNarrow10ptPodaokraja"/>
        <w:bidi w:val="0"/>
        <w:rPr>
          <w:rFonts w:ascii="Times New Roman" w:hAnsi="Times New Roman"/>
        </w:rPr>
      </w:pPr>
    </w:p>
    <w:p w:rsidR="008C54C3" w:rsidRPr="008D59C0" w:rsidP="003328FF">
      <w:pPr>
        <w:pStyle w:val="tlArialNarrow10ptPodaokraja"/>
        <w:bidi w:val="0"/>
        <w:rPr>
          <w:rFonts w:ascii="Times New Roman" w:hAnsi="Times New Roman"/>
        </w:rPr>
      </w:pPr>
      <w:r w:rsidRPr="008D59C0">
        <w:rPr>
          <w:rFonts w:ascii="Times New Roman" w:hAnsi="Times New Roman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8D59C0" w:rsidP="00FB350B">
            <w:pPr>
              <w:pStyle w:val="Normlny"/>
              <w:autoSpaceDE/>
              <w:autoSpaceDN/>
              <w:bidi w:val="0"/>
              <w:spacing w:after="60"/>
              <w:jc w:val="both"/>
              <w:rPr>
                <w:rFonts w:ascii="Times New Roman" w:hAnsi="Times New Roman"/>
                <w:lang w:eastAsia="sk-SK"/>
              </w:rPr>
            </w:pPr>
            <w:r w:rsidRPr="008D59C0">
              <w:rPr>
                <w:rFonts w:ascii="Times New Roman" w:hAnsi="Times New Roman"/>
                <w:lang w:eastAsia="sk-SK"/>
              </w:rPr>
              <w:t>V stĺpci (1):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Č – článok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O – odsek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V – veta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 xml:space="preserve">P – </w:t>
            </w:r>
            <w:r w:rsidRPr="008D59C0" w:rsidR="00DA0F6C">
              <w:rPr>
                <w:rFonts w:ascii="Times New Roman" w:hAnsi="Times New Roman"/>
              </w:rPr>
              <w:t>číslo</w:t>
            </w:r>
            <w:r w:rsidRPr="008D59C0">
              <w:rPr>
                <w:rFonts w:ascii="Times New Roman" w:hAnsi="Times New Roman"/>
              </w:rPr>
              <w:t xml:space="preserve"> (</w:t>
            </w:r>
            <w:r w:rsidRPr="008D59C0" w:rsidR="00DA0F6C">
              <w:rPr>
                <w:rFonts w:ascii="Times New Roman" w:hAnsi="Times New Roman"/>
              </w:rPr>
              <w:t>písmeno</w:t>
            </w:r>
            <w:r w:rsidRPr="008D59C0">
              <w:rPr>
                <w:rFonts w:ascii="Times New Roman" w:hAnsi="Times New Roman"/>
              </w:rPr>
              <w:t>)</w:t>
            </w:r>
          </w:p>
          <w:p w:rsidR="008C54C3" w:rsidRPr="008D59C0" w:rsidP="00FB350B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8D59C0" w:rsidP="00FB350B">
            <w:pPr>
              <w:pStyle w:val="Normlny"/>
              <w:autoSpaceDE/>
              <w:autoSpaceDN/>
              <w:bidi w:val="0"/>
              <w:spacing w:after="60"/>
              <w:jc w:val="both"/>
              <w:rPr>
                <w:rFonts w:ascii="Times New Roman" w:hAnsi="Times New Roman"/>
                <w:lang w:eastAsia="sk-SK"/>
              </w:rPr>
            </w:pPr>
            <w:r w:rsidRPr="008D59C0">
              <w:rPr>
                <w:rFonts w:ascii="Times New Roman" w:hAnsi="Times New Roman"/>
                <w:lang w:eastAsia="sk-SK"/>
              </w:rPr>
              <w:t>V stĺpci (3):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N – bežná transpozícia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O – transpozícia s možnosťou voľby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D – transpozícia podľa úvahy (dobrovoľná)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n.</w:t>
            </w:r>
            <w:r w:rsidRPr="008D59C0" w:rsidR="00C65AE1">
              <w:rPr>
                <w:rFonts w:ascii="Times New Roman" w:hAnsi="Times New Roman"/>
              </w:rPr>
              <w:t xml:space="preserve"> </w:t>
            </w:r>
            <w:r w:rsidRPr="008D59C0">
              <w:rPr>
                <w:rFonts w:ascii="Times New Roman" w:hAnsi="Times New Roman"/>
              </w:rPr>
              <w:t>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8D59C0" w:rsidP="00FB350B">
            <w:pPr>
              <w:pStyle w:val="Normlny"/>
              <w:autoSpaceDE/>
              <w:autoSpaceDN/>
              <w:bidi w:val="0"/>
              <w:spacing w:after="60"/>
              <w:jc w:val="both"/>
              <w:rPr>
                <w:rFonts w:ascii="Times New Roman" w:hAnsi="Times New Roman"/>
                <w:lang w:eastAsia="sk-SK"/>
              </w:rPr>
            </w:pPr>
            <w:r w:rsidRPr="008D59C0">
              <w:rPr>
                <w:rFonts w:ascii="Times New Roman" w:hAnsi="Times New Roman"/>
                <w:lang w:eastAsia="sk-SK"/>
              </w:rPr>
              <w:t>V stĺpci (5):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Č – článok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§ – paragraf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O – odsek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V – veta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8D59C0" w:rsidP="00FB350B">
            <w:pPr>
              <w:pStyle w:val="Normlny"/>
              <w:autoSpaceDE/>
              <w:autoSpaceDN/>
              <w:bidi w:val="0"/>
              <w:spacing w:after="60"/>
              <w:jc w:val="both"/>
              <w:rPr>
                <w:rFonts w:ascii="Times New Roman" w:hAnsi="Times New Roman"/>
                <w:lang w:eastAsia="sk-SK"/>
              </w:rPr>
            </w:pPr>
            <w:r w:rsidRPr="008D59C0">
              <w:rPr>
                <w:rFonts w:ascii="Times New Roman" w:hAnsi="Times New Roman"/>
                <w:lang w:eastAsia="sk-SK"/>
              </w:rPr>
              <w:t>V stĺpci (7):</w:t>
            </w:r>
          </w:p>
          <w:p w:rsidR="008C54C3" w:rsidRPr="008D59C0" w:rsidP="00FB350B">
            <w:pPr>
              <w:autoSpaceDE/>
              <w:autoSpaceDN/>
              <w:bidi w:val="0"/>
              <w:ind w:left="290" w:hanging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</w:t>
            </w:r>
            <w:r w:rsidRPr="008D59C0" w:rsidR="00391DC5">
              <w:rPr>
                <w:rFonts w:ascii="Times New Roman" w:hAnsi="Times New Roman"/>
                <w:sz w:val="20"/>
                <w:szCs w:val="20"/>
              </w:rPr>
              <w:t>e</w:t>
            </w:r>
            <w:r w:rsidRPr="008D59C0">
              <w:rPr>
                <w:rFonts w:ascii="Times New Roman" w:hAnsi="Times New Roman"/>
                <w:sz w:val="20"/>
                <w:szCs w:val="20"/>
              </w:rPr>
              <w:t xml:space="preserve">, so zabezpečenou inštitucionálnou </w:t>
            </w:r>
            <w:r w:rsidRPr="008D59C0" w:rsidR="00C65AE1">
              <w:rPr>
                <w:rFonts w:ascii="Times New Roman" w:hAnsi="Times New Roman"/>
                <w:sz w:val="20"/>
                <w:szCs w:val="20"/>
              </w:rPr>
              <w:t>i</w:t>
            </w:r>
            <w:r w:rsidRPr="008D59C0">
              <w:rPr>
                <w:rFonts w:ascii="Times New Roman" w:hAnsi="Times New Roman"/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Č – čiastočná zhoda (ak minimálne jedna z podmienok úplnej zhody nie je splnená)</w:t>
            </w:r>
          </w:p>
          <w:p w:rsidR="008C54C3" w:rsidRPr="008D59C0" w:rsidP="00FB350B">
            <w:pPr>
              <w:pStyle w:val="BodyTextIndent2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Ž – žiadna zhoda (ak nebola dosiahnutá ani úplná ani čias</w:t>
            </w:r>
            <w:r w:rsidRPr="008D59C0" w:rsidR="00C65AE1">
              <w:rPr>
                <w:rFonts w:ascii="Times New Roman" w:hAnsi="Times New Roman"/>
              </w:rPr>
              <w:t>točná</w:t>
            </w:r>
            <w:r w:rsidRPr="008D59C0">
              <w:rPr>
                <w:rFonts w:ascii="Times New Roman" w:hAnsi="Times New Roman"/>
              </w:rPr>
              <w:t xml:space="preserve"> zhoda alebo k prebratiu dôjde v budúcnosti)</w:t>
            </w:r>
          </w:p>
          <w:p w:rsidR="008C54C3" w:rsidRPr="008D59C0" w:rsidP="00FB350B">
            <w:pPr>
              <w:autoSpaceDE/>
              <w:autoSpaceDN/>
              <w:bidi w:val="0"/>
              <w:ind w:left="290" w:hanging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n.</w:t>
            </w:r>
            <w:r w:rsidRPr="008D59C0" w:rsidR="00C65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9C0">
              <w:rPr>
                <w:rFonts w:ascii="Times New Roman" w:hAnsi="Times New Roman"/>
                <w:sz w:val="20"/>
                <w:szCs w:val="20"/>
              </w:rPr>
              <w:t>a. – neaplikovateľnosť (ak sa ustanovenie smernice netýka SR alebo nie je potrebné ho prebrať)</w:t>
            </w:r>
          </w:p>
        </w:tc>
      </w:tr>
    </w:tbl>
    <w:p w:rsidR="00AC1BD7" w:rsidRPr="008D59C0" w:rsidP="003328FF">
      <w:pPr>
        <w:pStyle w:val="tlArialNarrow10ptPodaokraja"/>
        <w:bidi w:val="0"/>
        <w:rPr>
          <w:rFonts w:ascii="Times New Roman" w:hAnsi="Times New Roman"/>
        </w:rPr>
      </w:pPr>
    </w:p>
    <w:tbl>
      <w:tblPr>
        <w:tblStyle w:val="TableNormal"/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D59C0" w:rsidP="00FB350B">
            <w:pPr>
              <w:pStyle w:val="Heading2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Zoznam všeobecne záväzných právnych predpisov preberajúcich smernicu (uveďte číslo smernice)</w:t>
            </w:r>
          </w:p>
          <w:p w:rsidR="008C54C3" w:rsidRPr="008D59C0" w:rsidP="00FB350B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8D59C0" w:rsidP="00FB350B">
            <w:pPr>
              <w:bidi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  <w:lang w:eastAsia="sk-SK"/>
              </w:rPr>
            </w:pPr>
            <w:r w:rsidRPr="008D59C0">
              <w:rPr>
                <w:rFonts w:ascii="Times New Roman" w:hAnsi="Times New Roman"/>
                <w:lang w:eastAsia="sk-SK"/>
              </w:rPr>
              <w:t>Názov predpisu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8D59C0" w:rsidP="00FB350B">
            <w:pPr>
              <w:numPr>
                <w:numId w:val="10"/>
              </w:num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D59C0" w:rsidP="00FB350B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rPr>
                <w:rFonts w:ascii="Times New Roman" w:hAnsi="Times New Roman"/>
                <w:lang w:eastAsia="sk-SK"/>
              </w:rPr>
            </w:pPr>
          </w:p>
        </w:tc>
      </w:tr>
    </w:tbl>
    <w:p w:rsidR="008C54C3" w:rsidRPr="008D59C0" w:rsidP="003954BF">
      <w:pPr>
        <w:pStyle w:val="Header"/>
        <w:tabs>
          <w:tab w:val="clear" w:pos="4536"/>
          <w:tab w:val="clear" w:pos="9072"/>
        </w:tabs>
        <w:autoSpaceDE/>
        <w:autoSpaceDN/>
        <w:bidi w:val="0"/>
        <w:jc w:val="both"/>
        <w:rPr>
          <w:rFonts w:ascii="Times New Roman" w:hAnsi="Times New Roman"/>
          <w:sz w:val="20"/>
          <w:szCs w:val="20"/>
        </w:rPr>
      </w:pPr>
    </w:p>
    <w:sectPr>
      <w:footerReference w:type="default" r:id="rId5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FF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370C1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3328FF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7608D3"/>
    <w:multiLevelType w:val="hybridMultilevel"/>
    <w:tmpl w:val="F8742F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rtl w:val="0"/>
        <w:cs w:val="0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2">
    <w:nsid w:val="08403527"/>
    <w:multiLevelType w:val="hybridMultilevel"/>
    <w:tmpl w:val="990023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7E514C"/>
    <w:multiLevelType w:val="singleLevel"/>
    <w:tmpl w:val="A066EA22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rtl w:val="0"/>
        <w:cs w:val="0"/>
      </w:rPr>
    </w:lvl>
  </w:abstractNum>
  <w:abstractNum w:abstractNumId="4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7">
    <w:nsid w:val="12712862"/>
    <w:multiLevelType w:val="singleLevel"/>
    <w:tmpl w:val="1ACA3C0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rFonts w:cs="Times New Roman"/>
        <w:color w:val="auto"/>
        <w:rtl w:val="0"/>
        <w:cs w:val="0"/>
      </w:rPr>
    </w:lvl>
  </w:abstractNum>
  <w:abstractNum w:abstractNumId="8">
    <w:nsid w:val="13973FA5"/>
    <w:multiLevelType w:val="singleLevel"/>
    <w:tmpl w:val="E17A9504"/>
    <w:lvl w:ilvl="0">
      <w:start w:val="1"/>
      <w:numFmt w:val="lowerLetter"/>
      <w:lvlText w:val="%1)"/>
      <w:legacy w:legacy="1" w:legacySpace="120" w:legacyIndent="360"/>
      <w:lvlJc w:val="left"/>
      <w:pPr>
        <w:ind w:left="1920" w:hanging="360"/>
      </w:pPr>
      <w:rPr>
        <w:rFonts w:cs="Times New Roman"/>
        <w:rtl w:val="0"/>
        <w:cs w:val="0"/>
      </w:rPr>
    </w:lvl>
  </w:abstractNum>
  <w:abstractNum w:abstractNumId="9">
    <w:nsid w:val="14135A8F"/>
    <w:multiLevelType w:val="hybridMultilevel"/>
    <w:tmpl w:val="BE60E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10">
    <w:nsid w:val="19DE1F0E"/>
    <w:multiLevelType w:val="singleLevel"/>
    <w:tmpl w:val="63D0C0A0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  <w:rPr>
        <w:rFonts w:cs="Times New Roman"/>
        <w:rtl w:val="0"/>
        <w:cs w:val="0"/>
      </w:rPr>
    </w:lvl>
  </w:abstractNum>
  <w:abstractNum w:abstractNumId="11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2">
    <w:nsid w:val="29E61EED"/>
    <w:multiLevelType w:val="singleLevel"/>
    <w:tmpl w:val="DEF88C3C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  <w:rPr>
        <w:rFonts w:cs="Times New Roman"/>
        <w:b w:val="0"/>
        <w:bCs w:val="0"/>
        <w:rtl w:val="0"/>
        <w:cs w:val="0"/>
      </w:rPr>
    </w:lvl>
  </w:abstractNum>
  <w:abstractNum w:abstractNumId="13">
    <w:nsid w:val="2C980656"/>
    <w:multiLevelType w:val="hybridMultilevel"/>
    <w:tmpl w:val="79DC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FCB45B2"/>
    <w:multiLevelType w:val="hybridMultilevel"/>
    <w:tmpl w:val="83A6145A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  <w:rtl w:val="0"/>
        <w:cs w:val="0"/>
      </w:rPr>
    </w:lvl>
  </w:abstractNum>
  <w:abstractNum w:abstractNumId="15">
    <w:nsid w:val="331620E4"/>
    <w:multiLevelType w:val="hybridMultilevel"/>
    <w:tmpl w:val="6E041EDA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6">
    <w:nsid w:val="3454272C"/>
    <w:multiLevelType w:val="singleLevel"/>
    <w:tmpl w:val="24D67A44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  <w:rPr>
        <w:rFonts w:cs="Times New Roman"/>
        <w:b w:val="0"/>
        <w:bCs w:val="0"/>
        <w:rtl w:val="0"/>
        <w:cs w:val="0"/>
      </w:rPr>
    </w:lvl>
  </w:abstractNum>
  <w:abstractNum w:abstractNumId="17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13EA9"/>
    <w:multiLevelType w:val="hybridMultilevel"/>
    <w:tmpl w:val="DC425160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F527806"/>
    <w:multiLevelType w:val="singleLevel"/>
    <w:tmpl w:val="63D0C0A0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20">
    <w:nsid w:val="4095516C"/>
    <w:multiLevelType w:val="hybridMultilevel"/>
    <w:tmpl w:val="4CE8E8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21">
    <w:nsid w:val="41F92BF1"/>
    <w:multiLevelType w:val="hybridMultilevel"/>
    <w:tmpl w:val="D996D67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23">
    <w:nsid w:val="44F4135A"/>
    <w:multiLevelType w:val="singleLevel"/>
    <w:tmpl w:val="63D0C0A0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  <w:rPr>
        <w:rFonts w:cs="Times New Roman"/>
        <w:rtl w:val="0"/>
        <w:cs w:val="0"/>
      </w:rPr>
    </w:lvl>
  </w:abstractNum>
  <w:abstractNum w:abstractNumId="24">
    <w:nsid w:val="45C141F2"/>
    <w:multiLevelType w:val="singleLevel"/>
    <w:tmpl w:val="63D0C0A0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  <w:rPr>
        <w:rFonts w:cs="Times New Roman"/>
        <w:rtl w:val="0"/>
        <w:cs w:val="0"/>
      </w:rPr>
    </w:lvl>
  </w:abstractNum>
  <w:abstractNum w:abstractNumId="25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BC62535"/>
    <w:multiLevelType w:val="hybridMultilevel"/>
    <w:tmpl w:val="5476C7B4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1258D6"/>
    <w:multiLevelType w:val="hybridMultilevel"/>
    <w:tmpl w:val="BE7E725A"/>
    <w:lvl w:ilvl="0">
      <w:start w:val="1"/>
      <w:numFmt w:val="decimal"/>
      <w:lvlText w:val="(%1)"/>
      <w:lvlJc w:val="left"/>
      <w:pPr>
        <w:tabs>
          <w:tab w:val="num" w:pos="-491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7CE3207"/>
    <w:multiLevelType w:val="hybridMultilevel"/>
    <w:tmpl w:val="7F1CC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0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BE1766"/>
    <w:multiLevelType w:val="hybridMultilevel"/>
    <w:tmpl w:val="93661CA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2">
    <w:nsid w:val="615D7C77"/>
    <w:multiLevelType w:val="hybridMultilevel"/>
    <w:tmpl w:val="8B4A3D5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3F56B41"/>
    <w:multiLevelType w:val="hybridMultilevel"/>
    <w:tmpl w:val="A2B68EBC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4">
    <w:nsid w:val="67A900C5"/>
    <w:multiLevelType w:val="hybridMultilevel"/>
    <w:tmpl w:val="53D2202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5">
    <w:nsid w:val="68803706"/>
    <w:multiLevelType w:val="singleLevel"/>
    <w:tmpl w:val="63D0C0A0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  <w:rPr>
        <w:rFonts w:cs="Times New Roman"/>
        <w:rtl w:val="0"/>
        <w:cs w:val="0"/>
      </w:rPr>
    </w:lvl>
  </w:abstractNum>
  <w:abstractNum w:abstractNumId="36">
    <w:nsid w:val="76794249"/>
    <w:multiLevelType w:val="hybridMultilevel"/>
    <w:tmpl w:val="7B82CFC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7">
    <w:nsid w:val="7B5E0AA1"/>
    <w:multiLevelType w:val="hybridMultilevel"/>
    <w:tmpl w:val="C9926AD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8">
    <w:nsid w:val="7D7662D6"/>
    <w:multiLevelType w:val="hybridMultilevel"/>
    <w:tmpl w:val="8050DBB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  <w:rtl w:val="0"/>
        <w:cs w:val="0"/>
      </w:rPr>
    </w:lvl>
    <w:lvl w:ilvl="2">
      <w:start w:val="7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6"/>
    <w:lvlOverride w:ilvl="0">
      <w:startOverride w:val="3"/>
    </w:lvlOverride>
  </w:num>
  <w:num w:numId="3">
    <w:abstractNumId w:val="22"/>
  </w:num>
  <w:num w:numId="4">
    <w:abstractNumId w:val="22"/>
    <w:lvlOverride w:ilvl="0">
      <w:startOverride w:val="2"/>
    </w:lvlOverride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30"/>
  </w:num>
  <w:num w:numId="12">
    <w:abstractNumId w:val="5"/>
  </w:num>
  <w:num w:numId="13">
    <w:abstractNumId w:val="27"/>
  </w:num>
  <w:num w:numId="14">
    <w:abstractNumId w:val="4"/>
  </w:num>
  <w:num w:numId="15">
    <w:abstractNumId w:val="12"/>
  </w:num>
  <w:num w:numId="16">
    <w:abstractNumId w:val="28"/>
  </w:num>
  <w:num w:numId="17">
    <w:abstractNumId w:val="23"/>
  </w:num>
  <w:num w:numId="18">
    <w:abstractNumId w:val="24"/>
  </w:num>
  <w:num w:numId="19">
    <w:abstractNumId w:val="16"/>
  </w:num>
  <w:num w:numId="20">
    <w:abstractNumId w:val="10"/>
  </w:num>
  <w:num w:numId="21">
    <w:abstractNumId w:val="26"/>
  </w:num>
  <w:num w:numId="22">
    <w:abstractNumId w:val="32"/>
  </w:num>
  <w:num w:numId="23">
    <w:abstractNumId w:val="7"/>
  </w:num>
  <w:num w:numId="24">
    <w:abstractNumId w:val="19"/>
  </w:num>
  <w:num w:numId="25">
    <w:abstractNumId w:val="35"/>
  </w:num>
  <w:num w:numId="26">
    <w:abstractNumId w:val="8"/>
  </w:num>
  <w:num w:numId="27">
    <w:abstractNumId w:val="3"/>
  </w:num>
  <w:num w:numId="28">
    <w:abstractNumId w:val="38"/>
  </w:num>
  <w:num w:numId="29">
    <w:abstractNumId w:val="14"/>
  </w:num>
  <w:num w:numId="30">
    <w:abstractNumId w:val="9"/>
  </w:num>
  <w:num w:numId="31">
    <w:abstractNumId w:val="20"/>
  </w:num>
  <w:num w:numId="32">
    <w:abstractNumId w:val="13"/>
  </w:num>
  <w:num w:numId="33">
    <w:abstractNumId w:val="29"/>
  </w:num>
  <w:num w:numId="34">
    <w:abstractNumId w:val="18"/>
  </w:num>
  <w:num w:numId="35">
    <w:abstractNumId w:val="1"/>
  </w:num>
  <w:num w:numId="36">
    <w:abstractNumId w:val="34"/>
  </w:num>
  <w:num w:numId="37">
    <w:abstractNumId w:val="31"/>
  </w:num>
  <w:num w:numId="38">
    <w:abstractNumId w:val="37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3"/>
  </w:num>
  <w:num w:numId="42">
    <w:abstractNumId w:val="21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04821"/>
    <w:rsid w:val="00026532"/>
    <w:rsid w:val="000326CA"/>
    <w:rsid w:val="000370C1"/>
    <w:rsid w:val="000505D3"/>
    <w:rsid w:val="00051E71"/>
    <w:rsid w:val="0005670F"/>
    <w:rsid w:val="00074E9E"/>
    <w:rsid w:val="00077777"/>
    <w:rsid w:val="00077884"/>
    <w:rsid w:val="00082239"/>
    <w:rsid w:val="000A296A"/>
    <w:rsid w:val="000B4803"/>
    <w:rsid w:val="000D042F"/>
    <w:rsid w:val="000D3C95"/>
    <w:rsid w:val="0013221E"/>
    <w:rsid w:val="0015147C"/>
    <w:rsid w:val="001677D7"/>
    <w:rsid w:val="00171447"/>
    <w:rsid w:val="00175C95"/>
    <w:rsid w:val="0017764C"/>
    <w:rsid w:val="001A3928"/>
    <w:rsid w:val="001A6B73"/>
    <w:rsid w:val="001C4DBE"/>
    <w:rsid w:val="001D5C90"/>
    <w:rsid w:val="001F71E7"/>
    <w:rsid w:val="00212717"/>
    <w:rsid w:val="00224F25"/>
    <w:rsid w:val="002311C8"/>
    <w:rsid w:val="002362A8"/>
    <w:rsid w:val="00237FAA"/>
    <w:rsid w:val="00262794"/>
    <w:rsid w:val="00272DC4"/>
    <w:rsid w:val="00281D54"/>
    <w:rsid w:val="00296F59"/>
    <w:rsid w:val="002C70D0"/>
    <w:rsid w:val="002D1B80"/>
    <w:rsid w:val="002E5230"/>
    <w:rsid w:val="00303121"/>
    <w:rsid w:val="00315170"/>
    <w:rsid w:val="003328FF"/>
    <w:rsid w:val="0034051B"/>
    <w:rsid w:val="003414E9"/>
    <w:rsid w:val="00350D02"/>
    <w:rsid w:val="0037172E"/>
    <w:rsid w:val="00391DC5"/>
    <w:rsid w:val="003954BF"/>
    <w:rsid w:val="003B4E3F"/>
    <w:rsid w:val="003D392C"/>
    <w:rsid w:val="0040353F"/>
    <w:rsid w:val="0040524D"/>
    <w:rsid w:val="004166F2"/>
    <w:rsid w:val="00421FB3"/>
    <w:rsid w:val="00422E31"/>
    <w:rsid w:val="00464DF9"/>
    <w:rsid w:val="00495C9C"/>
    <w:rsid w:val="004A3960"/>
    <w:rsid w:val="004B3847"/>
    <w:rsid w:val="004D286E"/>
    <w:rsid w:val="004D7667"/>
    <w:rsid w:val="005170A9"/>
    <w:rsid w:val="00532019"/>
    <w:rsid w:val="00534FF5"/>
    <w:rsid w:val="0055135C"/>
    <w:rsid w:val="00573A87"/>
    <w:rsid w:val="005772B4"/>
    <w:rsid w:val="005A5922"/>
    <w:rsid w:val="005C51F6"/>
    <w:rsid w:val="005C6B3F"/>
    <w:rsid w:val="005E192D"/>
    <w:rsid w:val="005F2D2A"/>
    <w:rsid w:val="00603412"/>
    <w:rsid w:val="006411DB"/>
    <w:rsid w:val="00641991"/>
    <w:rsid w:val="006567F7"/>
    <w:rsid w:val="006610F5"/>
    <w:rsid w:val="00662F09"/>
    <w:rsid w:val="00672EFA"/>
    <w:rsid w:val="00680575"/>
    <w:rsid w:val="006855A4"/>
    <w:rsid w:val="00692989"/>
    <w:rsid w:val="006A5815"/>
    <w:rsid w:val="006B7F25"/>
    <w:rsid w:val="006C7B80"/>
    <w:rsid w:val="006D028A"/>
    <w:rsid w:val="006D604A"/>
    <w:rsid w:val="006E47A0"/>
    <w:rsid w:val="006E4B16"/>
    <w:rsid w:val="006E6C41"/>
    <w:rsid w:val="00705449"/>
    <w:rsid w:val="00726065"/>
    <w:rsid w:val="00741B55"/>
    <w:rsid w:val="00755FB2"/>
    <w:rsid w:val="0078125A"/>
    <w:rsid w:val="007816AA"/>
    <w:rsid w:val="007A24B3"/>
    <w:rsid w:val="007F0ACE"/>
    <w:rsid w:val="007F1CFA"/>
    <w:rsid w:val="00802281"/>
    <w:rsid w:val="0082065C"/>
    <w:rsid w:val="00892D10"/>
    <w:rsid w:val="008B1C4B"/>
    <w:rsid w:val="008C4975"/>
    <w:rsid w:val="008C54C3"/>
    <w:rsid w:val="008D59C0"/>
    <w:rsid w:val="009416DC"/>
    <w:rsid w:val="0095017B"/>
    <w:rsid w:val="0095366E"/>
    <w:rsid w:val="00987DD9"/>
    <w:rsid w:val="009A19BC"/>
    <w:rsid w:val="009B0E5E"/>
    <w:rsid w:val="009C317E"/>
    <w:rsid w:val="009E11EE"/>
    <w:rsid w:val="009E4055"/>
    <w:rsid w:val="00A55A77"/>
    <w:rsid w:val="00A61BA6"/>
    <w:rsid w:val="00A6590D"/>
    <w:rsid w:val="00A73CAB"/>
    <w:rsid w:val="00A9063F"/>
    <w:rsid w:val="00A9549D"/>
    <w:rsid w:val="00AC1BD7"/>
    <w:rsid w:val="00AD4A4F"/>
    <w:rsid w:val="00B04135"/>
    <w:rsid w:val="00B14D4F"/>
    <w:rsid w:val="00B40E76"/>
    <w:rsid w:val="00B5376E"/>
    <w:rsid w:val="00BC3C6F"/>
    <w:rsid w:val="00BC58DD"/>
    <w:rsid w:val="00C02904"/>
    <w:rsid w:val="00C460B3"/>
    <w:rsid w:val="00C65AE1"/>
    <w:rsid w:val="00C71C9A"/>
    <w:rsid w:val="00C8496E"/>
    <w:rsid w:val="00C92FF6"/>
    <w:rsid w:val="00C9678A"/>
    <w:rsid w:val="00C96E70"/>
    <w:rsid w:val="00CA4A4E"/>
    <w:rsid w:val="00CA7304"/>
    <w:rsid w:val="00CD7956"/>
    <w:rsid w:val="00CE2EEE"/>
    <w:rsid w:val="00CE67D7"/>
    <w:rsid w:val="00D25A1E"/>
    <w:rsid w:val="00D3730C"/>
    <w:rsid w:val="00D97D11"/>
    <w:rsid w:val="00DA0F6C"/>
    <w:rsid w:val="00DA257A"/>
    <w:rsid w:val="00DC3DFC"/>
    <w:rsid w:val="00DD2F74"/>
    <w:rsid w:val="00DE527E"/>
    <w:rsid w:val="00DF59FE"/>
    <w:rsid w:val="00E148DA"/>
    <w:rsid w:val="00E60F5B"/>
    <w:rsid w:val="00E62735"/>
    <w:rsid w:val="00EB5658"/>
    <w:rsid w:val="00EC23C4"/>
    <w:rsid w:val="00ED7ABC"/>
    <w:rsid w:val="00F0666D"/>
    <w:rsid w:val="00F21719"/>
    <w:rsid w:val="00F22CD4"/>
    <w:rsid w:val="00F26784"/>
    <w:rsid w:val="00F44995"/>
    <w:rsid w:val="00F70198"/>
    <w:rsid w:val="00F71FCC"/>
    <w:rsid w:val="00F87930"/>
    <w:rsid w:val="00F97F75"/>
    <w:rsid w:val="00FB350B"/>
    <w:rsid w:val="00FC49CA"/>
    <w:rsid w:val="00FC6FAD"/>
    <w:rsid w:val="00FD2EB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jc w:val="center"/>
    </w:pPr>
    <w:rPr>
      <w:sz w:val="20"/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paragraph" w:customStyle="1" w:styleId="PARA">
    <w:name w:val="PARA"/>
    <w:basedOn w:val="Normal"/>
    <w:next w:val="Normal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A61BA6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95366E"/>
    <w:pPr>
      <w:overflowPunct w:val="0"/>
      <w:adjustRightInd w:val="0"/>
      <w:jc w:val="center"/>
      <w:textAlignment w:val="baseline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customStyle="1" w:styleId="Zkladntext">
    <w:name w:val="Základní text"/>
    <w:uiPriority w:val="99"/>
    <w:rsid w:val="0095366E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rsid w:val="0017144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tlArialNarrow10ptPodaokraja">
    <w:name w:val="Štýl Arial Narrow 10 pt Podľa okraja"/>
    <w:basedOn w:val="Normal"/>
    <w:rsid w:val="003328FF"/>
    <w:pPr>
      <w:jc w:val="both"/>
    </w:pPr>
    <w:rPr>
      <w:rFonts w:ascii="Arial Narrow" w:hAnsi="Arial Narrow"/>
      <w:sz w:val="20"/>
      <w:szCs w:val="20"/>
    </w:rPr>
  </w:style>
  <w:style w:type="paragraph" w:customStyle="1" w:styleId="Normlnywebov8">
    <w:name w:val="Normálny (webový)8"/>
    <w:basedOn w:val="Normal"/>
    <w:rsid w:val="00F70198"/>
    <w:pPr>
      <w:autoSpaceDE/>
      <w:autoSpaceDN/>
      <w:spacing w:before="68" w:after="68"/>
      <w:ind w:left="204" w:right="204"/>
      <w:jc w:val="left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70198"/>
    <w:rPr>
      <w:rFonts w:cs="Times New Roman"/>
      <w:b/>
      <w:bCs/>
      <w:rtl w:val="0"/>
      <w:cs w:val="0"/>
    </w:rPr>
  </w:style>
  <w:style w:type="paragraph" w:customStyle="1" w:styleId="CharCharCharCharCharChar">
    <w:name w:val="Char Char Char Char Char Char"/>
    <w:basedOn w:val="Normal"/>
    <w:rsid w:val="00F70198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26065"/>
    <w:pPr>
      <w:autoSpaceDE/>
      <w:autoSpaceDN/>
      <w:ind w:left="708"/>
      <w:jc w:val="left"/>
    </w:pPr>
    <w:rPr>
      <w:noProof/>
    </w:rPr>
  </w:style>
  <w:style w:type="paragraph" w:styleId="PlainText">
    <w:name w:val="Plain Text"/>
    <w:basedOn w:val="Normal"/>
    <w:link w:val="ObyajntextChar"/>
    <w:uiPriority w:val="99"/>
    <w:rsid w:val="000D3C95"/>
    <w:pPr>
      <w:autoSpaceDE/>
      <w:autoSpaceDN/>
      <w:jc w:val="left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0D3C95"/>
    <w:rPr>
      <w:rFonts w:ascii="Courier New" w:hAnsi="Courier New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1656-5DFD-45B2-975B-E0B29728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4</Pages>
  <Words>1749</Words>
  <Characters>9588</Characters>
  <Application>Microsoft Office Word</Application>
  <DocSecurity>0</DocSecurity>
  <Lines>0</Lines>
  <Paragraphs>0</Paragraphs>
  <ScaleCrop>false</ScaleCrop>
  <Company>ÚV SR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mdanisovic</cp:lastModifiedBy>
  <cp:revision>9</cp:revision>
  <cp:lastPrinted>2010-09-21T11:27:00Z</cp:lastPrinted>
  <dcterms:created xsi:type="dcterms:W3CDTF">2010-09-14T10:37:00Z</dcterms:created>
  <dcterms:modified xsi:type="dcterms:W3CDTF">2010-09-22T15:17:00Z</dcterms:modified>
</cp:coreProperties>
</file>