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732"/>
        <w:gridCol w:w="668"/>
        <w:gridCol w:w="900"/>
        <w:gridCol w:w="720"/>
        <w:gridCol w:w="6120"/>
        <w:gridCol w:w="360"/>
        <w:gridCol w:w="108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22CD4">
            <w:pPr>
              <w:pStyle w:val="Heading1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 w:rsidRPr="002362A8" w:rsidP="001A3928">
            <w:pPr>
              <w:pStyle w:val="Zkladntext"/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2A8" w:rsidR="0055135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Návrhu zákona, </w:t>
            </w:r>
            <w:r w:rsidRPr="002362A8" w:rsidR="00F066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ktorým sa mení a dopĺňa zákon č. 98/2004 Z. z. o spotrebnej dani z minerálneho oleja v znení neskorších predpisov </w:t>
            </w:r>
            <w:r w:rsidRPr="002362A8" w:rsidR="002362A8">
              <w:rPr>
                <w:rFonts w:ascii="Times New Roman" w:hAnsi="Times New Roman"/>
                <w:b/>
                <w:sz w:val="20"/>
                <w:szCs w:val="20"/>
              </w:rPr>
              <w:t xml:space="preserve">a ktorým sa mení a dopĺňa zákon č. 309/2009 Z. z. o podpore obnoviteľných zdrojov energie a vysoko účinnej kombinovanej výroby a o zmene a doplnení niektorých zákonov </w:t>
            </w:r>
            <w:r w:rsidRPr="002362A8" w:rsidR="0055135C">
              <w:rPr>
                <w:rFonts w:ascii="Times New Roman" w:hAnsi="Times New Roman"/>
                <w:b/>
                <w:sz w:val="20"/>
                <w:szCs w:val="20"/>
              </w:rPr>
              <w:t>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D2F74" w:rsidRPr="00DD2F74" w:rsidP="00F70198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8D59C0" w:rsidR="00F70198">
              <w:rPr>
                <w:rStyle w:val="Strong"/>
                <w:rFonts w:ascii="Times New Roman" w:hAnsi="Times New Roman"/>
                <w:sz w:val="20"/>
                <w:szCs w:val="20"/>
              </w:rPr>
              <w:t xml:space="preserve">Smernica </w:t>
            </w:r>
            <w:r w:rsidRPr="00DD2F74">
              <w:rPr>
                <w:rFonts w:ascii="Times New Roman" w:hAnsi="Times New Roman"/>
                <w:b/>
                <w:bCs/>
                <w:sz w:val="20"/>
                <w:szCs w:val="20"/>
              </w:rPr>
              <w:t>Európskeho parlamentu a Rady 2009/28/ES z 23. apríla 2009 o podpore využívania energie z obnoviteľných zdrojov energie a o zmene a doplnení a následnom zrušení smerníc 2001/77/ES a 2003/30/ES</w:t>
            </w:r>
          </w:p>
          <w:p w:rsidR="008C54C3" w:rsidRPr="008D59C0" w:rsidP="00DD2F74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D59C0">
              <w:rPr>
                <w:rFonts w:ascii="Times New Roman" w:hAnsi="Times New Roman"/>
                <w:sz w:val="20"/>
                <w:szCs w:val="20"/>
                <w:u w:val="single"/>
              </w:rPr>
              <w:t>Smernica ES</w:t>
            </w:r>
          </w:p>
          <w:p w:rsidR="00DD2F74" w:rsidRPr="00DD2F74" w:rsidP="00DD2F74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8D59C0">
              <w:rPr>
                <w:rStyle w:val="Strong"/>
                <w:rFonts w:ascii="Times New Roman" w:hAnsi="Times New Roman"/>
                <w:sz w:val="20"/>
                <w:szCs w:val="20"/>
              </w:rPr>
              <w:t xml:space="preserve">Smernica </w:t>
            </w:r>
            <w:r w:rsidRPr="00DD2F74">
              <w:rPr>
                <w:rFonts w:ascii="Times New Roman" w:hAnsi="Times New Roman"/>
                <w:b/>
                <w:bCs/>
                <w:sz w:val="20"/>
                <w:szCs w:val="20"/>
              </w:rPr>
              <w:t>Európskeho parlamentu a Rady 2009/28/ES z 23. apríla 2009 o podpore využívania energie z obnoviteľných zdrojov energie a o zmene a doplnení a následnom zrušení smerníc 2001/77/ES a 2003/30/ES</w:t>
            </w:r>
          </w:p>
          <w:p w:rsidR="00DD2F74" w:rsidP="00F70198">
            <w:pPr>
              <w:pStyle w:val="Normlnywebov8"/>
              <w:tabs>
                <w:tab w:val="left" w:pos="6948"/>
              </w:tabs>
              <w:bidi w:val="0"/>
              <w:spacing w:before="0" w:after="0"/>
              <w:ind w:left="0" w:right="0"/>
              <w:jc w:val="both"/>
              <w:rPr>
                <w:rStyle w:val="Strong"/>
                <w:rFonts w:ascii="Times New Roman" w:hAnsi="Times New Roman"/>
                <w:sz w:val="20"/>
                <w:szCs w:val="20"/>
              </w:rPr>
            </w:pPr>
          </w:p>
          <w:p w:rsidR="000D042F" w:rsidRPr="008D59C0" w:rsidP="00FB350B">
            <w:pPr>
              <w:bidi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54C3" w:rsidRPr="008D59C0" w:rsidP="00FB350B">
            <w:pPr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Heading4"/>
              <w:bidi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D59C0">
              <w:rPr>
                <w:rFonts w:ascii="Times New Roman" w:hAnsi="Times New Roman"/>
                <w:sz w:val="20"/>
                <w:szCs w:val="20"/>
                <w:u w:val="single"/>
              </w:rPr>
              <w:t>Všeobecne záväzné právne predpisy Slovenskej republiky</w:t>
            </w:r>
          </w:p>
          <w:p w:rsidR="0095366E" w:rsidRPr="002362A8" w:rsidP="00FB350B">
            <w:pPr>
              <w:pStyle w:val="Zkladntext"/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62A8">
              <w:rPr>
                <w:rFonts w:ascii="Times New Roman" w:hAnsi="Times New Roman"/>
                <w:b/>
                <w:bCs/>
                <w:sz w:val="20"/>
                <w:szCs w:val="20"/>
              </w:rPr>
              <w:t>Návrh zákona, ktorým sa mení a dopĺňa zákon č. 98/2004 Z. z. o spotrebnej dani z minerálneho ole</w:t>
            </w:r>
            <w:r w:rsidRPr="002362A8" w:rsidR="001A3928">
              <w:rPr>
                <w:rFonts w:ascii="Times New Roman" w:hAnsi="Times New Roman"/>
                <w:b/>
                <w:bCs/>
                <w:sz w:val="20"/>
                <w:szCs w:val="20"/>
              </w:rPr>
              <w:t>ja v znení neskorších predpisov</w:t>
            </w:r>
            <w:r w:rsidRPr="002362A8" w:rsidR="00DC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362A8" w:rsidR="002362A8">
              <w:rPr>
                <w:rFonts w:ascii="Times New Roman" w:hAnsi="Times New Roman"/>
                <w:b/>
                <w:sz w:val="20"/>
                <w:szCs w:val="20"/>
              </w:rPr>
              <w:t xml:space="preserve">a ktorým sa mení a dopĺňa zákon č. 309/2009 Z. z. o podpore obnoviteľných zdrojov energie a vysoko účinnej kombinovanej výroby </w:t>
            </w:r>
            <w:r w:rsidRPr="002362A8">
              <w:rPr>
                <w:rFonts w:ascii="Times New Roman" w:hAnsi="Times New Roman"/>
                <w:b/>
                <w:bCs/>
                <w:sz w:val="20"/>
                <w:szCs w:val="20"/>
              </w:rPr>
              <w:t>(ďalej len „</w:t>
            </w:r>
            <w:r w:rsidRPr="002362A8" w:rsidR="00DC3DFC">
              <w:rPr>
                <w:rFonts w:ascii="Times New Roman" w:hAnsi="Times New Roman"/>
                <w:b/>
                <w:bCs/>
                <w:sz w:val="20"/>
                <w:szCs w:val="20"/>
              </w:rPr>
              <w:t>X/2010</w:t>
            </w:r>
            <w:r w:rsidRPr="002362A8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Z.</w:t>
            </w:r>
            <w:r w:rsidRPr="002362A8" w:rsidR="00C65A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362A8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z.</w:t>
            </w:r>
            <w:r w:rsidRPr="002362A8">
              <w:rPr>
                <w:rFonts w:ascii="Times New Roman" w:hAnsi="Times New Roman"/>
                <w:b/>
                <w:bCs/>
                <w:sz w:val="20"/>
                <w:szCs w:val="20"/>
              </w:rPr>
              <w:t>“)</w:t>
            </w:r>
          </w:p>
          <w:p w:rsidR="008C54C3" w:rsidRPr="002362A8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4995" w:rsidRPr="008D59C0" w:rsidP="00FB350B">
            <w:pPr>
              <w:pStyle w:val="Header"/>
              <w:tabs>
                <w:tab w:val="left" w:pos="709"/>
              </w:tabs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Pr="008D59C0">
              <w:rPr>
                <w:rFonts w:ascii="Times New Roman" w:hAnsi="Times New Roman"/>
                <w:b/>
                <w:bCs/>
                <w:sz w:val="20"/>
                <w:szCs w:val="20"/>
              </w:rPr>
              <w:t>ákon č. 98/2004 Z. z. o spotrebnej dani z minerálneho oleja v znení neskorších predpisov</w:t>
            </w: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(ďalej len „98/2004 Z.</w:t>
            </w:r>
            <w:r w:rsidRPr="008D59C0" w:rsidR="00C65A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D59C0" w:rsidR="0034051B">
              <w:rPr>
                <w:rFonts w:ascii="Times New Roman" w:hAnsi="Times New Roman"/>
                <w:b/>
                <w:bCs/>
                <w:sz w:val="20"/>
                <w:szCs w:val="20"/>
              </w:rPr>
              <w:t>z.“)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BodyTextIndent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Článok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(Č, O,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V, P)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Text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Spôsob transp.</w:t>
            </w:r>
          </w:p>
          <w:p w:rsidR="00C65AE1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 w:rsidR="00A9063F">
              <w:rPr>
                <w:rFonts w:ascii="Times New Roman" w:hAnsi="Times New Roman"/>
              </w:rPr>
              <w:t xml:space="preserve">(N, O, D, 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Číslo</w:t>
            </w:r>
          </w:p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predpisu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Zhoda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7DD9" w:rsidRPr="008D59C0" w:rsidP="00051E71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Čl. 4</w:t>
            </w:r>
            <w:r w:rsidRPr="008D59C0" w:rsidR="001C4D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Národné akčné plány pre energiu z obnoviteľných zdrojov energie</w:t>
            </w:r>
          </w:p>
          <w:p w:rsidR="00051E71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0ACE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 w:rsidR="00DD2F74">
              <w:rPr>
                <w:rFonts w:ascii="Times New Roman" w:hAnsi="Times New Roman"/>
                <w:sz w:val="20"/>
                <w:szCs w:val="20"/>
              </w:rPr>
              <w:t>1. Každý členský štát prijme národný akčný plán pre energiu z obnoviteľných zdrojov energie. V národnom akčnom pláne pre energiu z obnoviteľných zdrojov energie sa stanovia národné ciele členského štátu pre podiel energie z obnoviteľných zdrojov energie spotrebovanej v doprave a v sektore výroby elektriny, tepla a chladu v roku 2020, pričom sa zohľadnia vplyvy iných opatrení politík súvisiacich s energetickou efektívnosťou na konečnú energetickú spotrebu, a primerané opatrenia, ktoré sa majú prijať na dosiahnutie týchto národných celkových cieľov vrátane spolupráce medzi miestnymi, regionálnymi a národnými orgánmi, plánovaných štatistických prenosov alebo spoločných projektov, vnútroštátnych politík zameraných na rozvoj existujúcich zdrojov biomasy a využívanie nových zdrojov biomasy na rôzne použitia, ako aj opatrenia, ktoré sa majú prijať na účely splnenia požiadaviek uvedených v článkoch 13 až 19.</w:t>
            </w: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Komisia prijme do 30. júna 2009 vzor národných akčných plánov pre energiu z obnoviteľných zdrojov energie. Tento vzor zahŕňa minimálne požiadavky uvedené v prílohe VI. Členské štáty pri predkladaní svojich národných akčných plánov pre energiu z obnoviteľných zdrojov energie dodržiavajú tento vzor.</w:t>
            </w:r>
          </w:p>
          <w:p w:rsidR="004A3960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2. Členské štáty oznámia Komisii svoje národné akčné plány pre energiu z obnoviteľných zdrojov energie do 30. júna 2010.</w:t>
            </w:r>
          </w:p>
          <w:p w:rsidR="004A3960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3. Každý členský štát zverejní a oznámi Komisii šesť mesiacov predtým, ako národný akčný plán pre energiu z obnoviteľných zdrojov energie nadobudne platnosť, dokument s prognózou, v ktorom uvedie:</w:t>
            </w: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a) svoje odhadované množstvo energie z obnoviteľných zdrojov energie, ktorú vyrobí navyše oproti množstvu uvedenému v orientačnej trajektórii, ktoré by sa mohlo preniesť do iných členských štátov v súlade s článkami 6 až 11, ako aj jeho odhadovaný potenciál pre spoločné projekty do roku 2020, a</w:t>
            </w: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b) svoj odhadovaný dopyt po energii z obnoviteľných zdrojov energie, ktorý sa pokryje inak ako domácou produkciou do roku 2020.</w:t>
            </w: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Tieto informácie môžu obsahovať aj prvky súvisiace s nákladmi a prínosmi a financovaním. Prognóza sa aktualizuje v správach členských štátov, ako je uvedené v článku 22 ods. 1 písm. l) a m).</w:t>
            </w:r>
          </w:p>
          <w:p w:rsidR="004A3960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4. Členský štát, ktorého podiel energie z obnoviteľných zdrojov energie bol počas dvoch bezprostredne predchádzajúcich rokov nižší ako množstvo uvedené v orientačnej trajektórii v časti B prílohy I, predloží Komisii zmenený národný akčný plán pre energiu z obnoviteľných zdrojov energie do 30. júna nasledujúceho roka, v ktorom stanoví primerané a vhodné opatrenia na zabezpečenie toho, aby sa v primeranom časovom horizonte vrátil k orientačnej trajektórii uvedenej v časti B prílohy I.</w:t>
            </w: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Komisia môže v prípade, ak je rozdiel, ktorý členskému štátu chýbal k splneniu orientačnej trajektórie, malý, a pri riadnom zohľadnení súčasných a budúcich opatrení členského štátu prijať rozhodnutie, ktorým sa členský štát oslobodzuje od povinnosti predložiť zmenený národný akčný plán pre energiu z obnoviteľných zdrojov energie.</w:t>
            </w:r>
          </w:p>
          <w:p w:rsidR="004A3960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5. Komisia zhodnotí národné akčné plány pre energiu z obnoviteľných zdrojov energie, najmä primeranosť opatrení, ktoré členský štát plánuje prijať v súlade s článkom 3 ods. 2 V reakcii na národný akčný plán pre energiu z obnoviteľných zdrojov energie alebo zmenený národný akčný plán pre energiu z obnoviteľných zdrojov energie môže Komisia vydať odporúčanie.</w:t>
            </w:r>
          </w:p>
          <w:p w:rsidR="004A3960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74" w:rsidRPr="00DD2F74" w:rsidP="004A3960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F74">
              <w:rPr>
                <w:rFonts w:ascii="Times New Roman" w:hAnsi="Times New Roman"/>
                <w:sz w:val="20"/>
                <w:szCs w:val="20"/>
              </w:rPr>
              <w:t>6. Komisia pošle Európskemu parlamentu národné akčné plány pre energiu z obnoviteľných zdrojov energie a dokumenty s prognózami vo forme, v ktorej sú zverejnené na platforme transparentnosti podľa článku 24 ods. 2, ako aj akékoľvek odporúčania podľa odseku 5 tohto článku.</w:t>
            </w:r>
          </w:p>
          <w:p w:rsidR="00A9063F" w:rsidRPr="004A3960" w:rsidP="004A3960">
            <w:pPr>
              <w:pStyle w:val="Normlnywebov8"/>
              <w:bidi w:val="0"/>
              <w:spacing w:before="0" w:after="0"/>
              <w:ind w:left="0" w:righ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303121">
              <w:rPr>
                <w:rFonts w:ascii="Times New Roman" w:hAnsi="Times New Roman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3C6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026532">
              <w:rPr>
                <w:rFonts w:ascii="Times New Roman" w:hAnsi="Times New Roman"/>
              </w:rPr>
              <w:t>X/2010</w:t>
            </w:r>
            <w:r w:rsidRPr="008D59C0" w:rsidR="00077884">
              <w:rPr>
                <w:rFonts w:ascii="Times New Roman" w:hAnsi="Times New Roman"/>
              </w:rPr>
              <w:t xml:space="preserve"> Z.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 w:rsidR="00077884">
              <w:rPr>
                <w:rFonts w:ascii="Times New Roman" w:hAnsi="Times New Roman"/>
              </w:rPr>
              <w:t>z.</w:t>
            </w:r>
          </w:p>
          <w:p w:rsidR="00077884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077884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  <w:p w:rsidR="00077884" w:rsidRPr="008D59C0" w:rsidP="00CA7304">
            <w:pPr>
              <w:pStyle w:val="tlArialNarrow10ptPodaokraja"/>
              <w:bidi w:val="0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6065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Čl. II</w:t>
            </w:r>
          </w:p>
          <w:p w:rsidR="00726065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BC3C6F" w:rsidRPr="008D59C0" w:rsidP="00726065">
            <w:pPr>
              <w:pStyle w:val="Normlny"/>
              <w:bidi w:val="0"/>
              <w:rPr>
                <w:rFonts w:ascii="Times New Roman" w:hAnsi="Times New Roman"/>
              </w:rPr>
            </w:pPr>
            <w:r w:rsidRPr="008D59C0" w:rsidR="00303121">
              <w:rPr>
                <w:rFonts w:ascii="Times New Roman" w:hAnsi="Times New Roman"/>
              </w:rPr>
              <w:t xml:space="preserve">§ </w:t>
            </w:r>
            <w:r w:rsidR="00726065">
              <w:rPr>
                <w:rFonts w:ascii="Times New Roman" w:hAnsi="Times New Roman"/>
              </w:rPr>
              <w:t>14a</w:t>
            </w:r>
            <w:r w:rsidR="000D3C95">
              <w:rPr>
                <w:rFonts w:ascii="Times New Roman" w:hAnsi="Times New Roman"/>
              </w:rPr>
              <w:t xml:space="preserve"> </w:t>
            </w:r>
          </w:p>
          <w:p w:rsidR="00077884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077884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  <w:p w:rsidR="00680575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6065" w:rsidP="0072606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65">
              <w:rPr>
                <w:rFonts w:ascii="Times New Roman" w:hAnsi="Times New Roman"/>
                <w:sz w:val="20"/>
                <w:szCs w:val="20"/>
              </w:rPr>
              <w:t>Referenčné hodnoty podielu konečnej energetickej spotreby biopalív v</w:t>
            </w:r>
            <w:r w:rsidR="000D3C95">
              <w:rPr>
                <w:rFonts w:ascii="Times New Roman" w:hAnsi="Times New Roman"/>
                <w:sz w:val="20"/>
                <w:szCs w:val="20"/>
              </w:rPr>
              <w:t> </w:t>
            </w:r>
            <w:r w:rsidRPr="00726065">
              <w:rPr>
                <w:rFonts w:ascii="Times New Roman" w:hAnsi="Times New Roman"/>
                <w:sz w:val="20"/>
                <w:szCs w:val="20"/>
              </w:rPr>
              <w:t>doprave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Právnická osoba alebo fyzická osoba podľa odseku 2 je povinná uvádzať na trh pohonné látky s obsahom biopalív v referenčnej hodnote vypočítanej z energetického obsahu celkového množstva pohonných látok uvedených na trh, ktorá je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3,8 % do 31. decembra 2011,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 xml:space="preserve">3,9 % do 31. decembra 2012, 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4 % do 31. decembra 2013,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4,5 % do 31. decembra 2014,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5,5 % do 31. decembra 2015,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5,5 % do 31. decembra 2016,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5,8 % do 31. decembra 2017,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7,2 % do 31. decembra 2018,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7,5 % do 31. decembra 2019,</w:t>
            </w:r>
          </w:p>
          <w:p w:rsidR="000370C1" w:rsidRPr="000370C1" w:rsidP="000370C1">
            <w:pPr>
              <w:pStyle w:val="ListParagraph"/>
              <w:numPr>
                <w:numId w:val="43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8,5 % do 31. decembra 2020.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 xml:space="preserve"> Právnickou osobou alebo fyzickou osobou podľa odseku 1 sa rozumie právnická osoba alebo fyzická osoba, ktorá</w:t>
            </w:r>
          </w:p>
          <w:p w:rsidR="000370C1" w:rsidRPr="000370C1" w:rsidP="000370C1">
            <w:pPr>
              <w:pStyle w:val="ListParagraph"/>
              <w:numPr>
                <w:numId w:val="41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uvádza do daňového voľného obehu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17a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podľa osobitného predpisu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17b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 xml:space="preserve">) na území Slovenskej republiky pohonné látky, </w:t>
            </w:r>
          </w:p>
          <w:p w:rsidR="000370C1" w:rsidRPr="000370C1" w:rsidP="000370C1">
            <w:pPr>
              <w:pStyle w:val="ListParagraph"/>
              <w:numPr>
                <w:numId w:val="41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 xml:space="preserve">prepravuje na územie Slovenskej republiky pohonné látky mimo pozastavenia dane na podnikateľské účely, 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17c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370C1" w:rsidRPr="000370C1" w:rsidP="000370C1">
            <w:pPr>
              <w:pStyle w:val="ListParagraph"/>
              <w:numPr>
                <w:numId w:val="41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dováža na územie Slovenskej republiky pohonné látky z tretích štátov,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17d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0370C1" w:rsidRPr="000370C1" w:rsidP="000370C1">
            <w:pPr>
              <w:pStyle w:val="ListParagraph"/>
              <w:numPr>
                <w:numId w:val="41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 xml:space="preserve">uvádza na trh pohonné látky iným spôsobom, ako je uvedený v písmenách a) až c). 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Právnická osoba alebo fyzická osoba podľa odseku 2 je povinná plnenie povinnosti podľa odseku 1 zabezpečiť prostredníctvom pohonných látok s obsahom biopalív, pričom minimálny obsah biopalív v každom litri jednotlivého druhu pohonných látok je ustanovený v prílohe č. 1, najviac však v množstve ustanovenom v technickom predpise upravujúcom kvalitu pohonných látok.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17e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Povinnosť podľa odseku 1 a povinnosť podľa prílohy č. 1 sa považuje za splnenú i v prípade, ak minimálny obsah biopaliva je nižší najviac o 0,25 % vrátane v litri jednotlivého druhu pohonných látok, ako je ustanovené v prílohe č. 1 alebo ak je odchýlka v súlade s technickým predpisom.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17f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Na účely prílohy č. 1 sa b</w:t>
            </w: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>ioetanolovou zložkou rozumie zmes bioetyltercbutyléteru a bioetanolu s minimálnym obsahom bioetyltercbutyléteru podľa prílohy č. 1. Objem bioetyltercbutyléteru sa do objemu bioetanolovej zložky zmesi započítava 47 % svojho objemu.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Právnická osoba alebo fyzická osoba podľa odseku 2 je povinná najneskôr do 25. dňa  po skončení kalendárneho štvrťroka podať colnému úradu hlásenie o plnení povinnosti uvádzať na trh pohonné látky s obsahom biopalív (ďalej len „hlásenie“) podľa vzoru ustanoveného všeobecne záväzným predpisom, ktorý vydá ministerstvo, a to za príslušný kalendárny štvrťrok.</w:t>
            </w:r>
          </w:p>
          <w:p w:rsidR="000370C1" w:rsidRPr="000370C1" w:rsidP="000370C1">
            <w:pPr>
              <w:pStyle w:val="ListParagraph"/>
              <w:bidi w:val="0"/>
              <w:ind w:left="79"/>
              <w:rPr>
                <w:rFonts w:ascii="Times New Roman" w:hAnsi="Times New Roman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 xml:space="preserve"> Pohonné látky uvádzané na trh právnickou osobou alebo fyzickou osobou podľa odseku 2 musia byť pri ich preprave sprevádzané </w:t>
            </w: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obchodnými dokumentmi, ktoré musia obsahovať informáciu o množstve biopaliva v percentách objemu. </w:t>
            </w:r>
          </w:p>
          <w:p w:rsidR="000370C1" w:rsidRPr="000370C1" w:rsidP="000370C1">
            <w:pPr>
              <w:bidi w:val="0"/>
              <w:ind w:left="7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Ak právnická osoba alebo fyzická osoba podľa odseku 2 ukončí podnikateľskú činnosť v oblasti uvádzania motorových palív na trh alebo ak právnická osoba alebo fyzická osoba začne vykonávať podnikateľskú činnosť v oblasti uvádzania motorových palív na trh, je povinná plniť referenčné hodnoty podľa odseku 1, a to vo výške alikvótnej časti referenčných hodnôt za príslušné obdobie podľa odseku 1.</w:t>
            </w:r>
          </w:p>
          <w:p w:rsidR="000370C1" w:rsidRPr="000370C1" w:rsidP="000370C1">
            <w:pPr>
              <w:pStyle w:val="ListParagraph"/>
              <w:bidi w:val="0"/>
              <w:ind w:left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Povinnosť podľa odsekov 1 a 3 sa nevzťahuje na </w:t>
            </w:r>
          </w:p>
          <w:p w:rsidR="000370C1" w:rsidRPr="000370C1" w:rsidP="000370C1">
            <w:pPr>
              <w:numPr>
                <w:ilvl w:val="2"/>
                <w:numId w:val="40"/>
              </w:numPr>
              <w:autoSpaceDE/>
              <w:autoSpaceDN/>
              <w:bidi w:val="0"/>
              <w:ind w:left="79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>právnickú osobu, ktorá nie je zriadená alebo založ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ená na podnikateľské účely, ale</w:t>
            </w: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 predmete činnosti má skladovanie minerálneho oleja osobitného určenia, ktorého vlastníkom je štát,</w:t>
            </w:r>
            <w:r w:rsidRPr="000370C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17g</w:t>
            </w: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>) alebo skladovanie a p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redaj leteckých pohonných látok</w:t>
            </w:r>
            <w:r w:rsidRPr="000370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 priestoroch letísk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370C1" w:rsidRPr="000370C1" w:rsidP="000370C1">
            <w:pPr>
              <w:numPr>
                <w:ilvl w:val="2"/>
                <w:numId w:val="40"/>
              </w:numPr>
              <w:autoSpaceDE/>
              <w:autoSpaceDN/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minerálny olej určený pre ozbrojené sily Slovenskej republiky a pre ozbrojené sily iných štátov, ktoré sú stranami Severoatlantickej zmluvy, a ich civilnými zamestnancami na použitie v rámci aktivít podľa medzinárodnej zmluvy.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17h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370C1" w:rsidRPr="000370C1" w:rsidP="000370C1">
            <w:pPr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numPr>
                <w:numId w:val="42"/>
              </w:numPr>
              <w:bidi w:val="0"/>
              <w:ind w:left="7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Ak právnická osoba alebo fyzická osoba, ktorá vyrába minerálny olej podľa osobitného predpisu,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17i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nemôže splniť z dôvodu prevádzkových pomerov alebo z dôvodov technických, technologických alebo logistických dôvodov povinnosť podľa odseku 3,  je povinná oznámiť túto skutočnosť colnému úradu, a to najneskôr v nasledujúci pracovný deň po dni, v ktorom sa dozvedela, že nebude môcť plniť povinnosť podľa odseku 3; táto právnická osoba alebo fyzická osoba nie je povinná plniť povinnosť podľa odseku 3 najdlhšie počas obdobia uvedeného v oznámení colnému úradu. Právnická osoba alebo fyzická osoba podľa prvej vety je však povinná plniť povinnosť za príslušné obdobie podľa odseku 1.“.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Poznámky pod čiarou k odkazom 17a až 17i znejú:</w:t>
            </w:r>
          </w:p>
          <w:p w:rsidR="000370C1" w:rsidRPr="000370C1" w:rsidP="000370C1">
            <w:pPr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</w:rPr>
              <w:t>„</w:t>
            </w: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17a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§ 2 ods. 1 písm. i) zákona č. 98/2004 Z. z. o spotrebnej dani z minerálneho oleja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 xml:space="preserve"> v znení zákona č. 482/2009 Z. z.</w:t>
            </w:r>
          </w:p>
          <w:p w:rsidR="000370C1" w:rsidRPr="000370C1" w:rsidP="000370C1">
            <w:pPr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17b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§ 19 až 20 a 25 zákona č. 98/2004 Z. z. v znení neskorších predpisov.</w:t>
            </w:r>
          </w:p>
          <w:p w:rsidR="000370C1" w:rsidRPr="000370C1" w:rsidP="000370C1">
            <w:pPr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17c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§ 31 zákona č. 98/2004 Z. z. v znení neskorších predpisov.</w:t>
            </w:r>
          </w:p>
          <w:p w:rsidR="000370C1" w:rsidRPr="000370C1" w:rsidP="000370C1">
            <w:pPr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17d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§ 13 ods. 1 písm. h) a § 29 zákona č. 98/2004 Z. z. v znení neskorších predpisov.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17e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Napríklad STN EN 228 Automobilové palivá. Bezolovnatý benzín. Požiadavky a skúšobné metódy.</w:t>
            </w:r>
          </w:p>
          <w:p w:rsidR="000370C1" w:rsidRPr="000370C1" w:rsidP="000370C1">
            <w:pPr>
              <w:pStyle w:val="PlainText"/>
              <w:bidi w:val="0"/>
              <w:ind w:left="79"/>
              <w:jc w:val="both"/>
              <w:rPr>
                <w:rFonts w:ascii="Times New Roman" w:hAnsi="Times New Roman"/>
                <w:bCs/>
              </w:rPr>
            </w:pPr>
            <w:r w:rsidRPr="000370C1">
              <w:rPr>
                <w:rFonts w:ascii="Times New Roman" w:hAnsi="Times New Roman"/>
              </w:rPr>
              <w:t>STN EN 590 Automobilové palivá. Nafta. Požiadavky na skúšobné metódy.</w:t>
            </w:r>
            <w:r w:rsidRPr="000370C1">
              <w:rPr>
                <w:rFonts w:ascii="Times New Roman" w:hAnsi="Times New Roman"/>
                <w:bCs/>
              </w:rPr>
              <w:t xml:space="preserve"> 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17f</w:t>
            </w:r>
            <w:r w:rsidRPr="000370C1">
              <w:rPr>
                <w:rFonts w:ascii="Times New Roman" w:hAnsi="Times New Roman"/>
                <w:bCs/>
                <w:sz w:val="20"/>
                <w:szCs w:val="20"/>
              </w:rPr>
              <w:t xml:space="preserve">) STN 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EN ISO 4259 Ropné výrobky. Určovanie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 využívanie údajov presnoti 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výsledkov vo vzťahu k skúšobným metódam.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17g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Zákon Národnej rady Slovenskej republiky č. 82/1994 Z. z. o štátnych hmotných rezervách v znení neskorších predpisov.</w:t>
            </w:r>
          </w:p>
          <w:p w:rsidR="000370C1" w:rsidRPr="000370C1" w:rsidP="000370C1">
            <w:pPr>
              <w:pStyle w:val="ListParagraph"/>
              <w:bidi w:val="0"/>
              <w:ind w:left="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0C1">
              <w:rPr>
                <w:rFonts w:ascii="Times New Roman" w:hAnsi="Times New Roman"/>
                <w:sz w:val="20"/>
                <w:szCs w:val="20"/>
                <w:vertAlign w:val="superscript"/>
              </w:rPr>
              <w:t>17h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) Napríklad Zmluva medzi štátmi, ktoré sú stranami Severoatlantickej zmluvy, a inými štátmi zúčastnenými v Partnerstve za mier vzťahujúca sa na štatút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ch ozbrojených síl </w:t>
            </w:r>
            <w:r w:rsidRPr="000370C1">
              <w:rPr>
                <w:rFonts w:ascii="Times New Roman" w:hAnsi="Times New Roman"/>
                <w:sz w:val="20"/>
                <w:szCs w:val="20"/>
              </w:rPr>
              <w:t>v znení ďalších dodatkových protokolov (oznámenie č. 324/1997 Z. z. ).</w:t>
            </w:r>
          </w:p>
          <w:p w:rsidR="000370C1" w:rsidRPr="000370C1" w:rsidP="000370C1">
            <w:pPr>
              <w:pStyle w:val="PlainText"/>
              <w:bidi w:val="0"/>
              <w:ind w:left="79"/>
              <w:jc w:val="both"/>
              <w:rPr>
                <w:rFonts w:ascii="Times New Roman" w:hAnsi="Times New Roman"/>
              </w:rPr>
            </w:pPr>
            <w:r w:rsidRPr="000370C1">
              <w:rPr>
                <w:rFonts w:ascii="Times New Roman" w:hAnsi="Times New Roman"/>
                <w:bCs/>
                <w:vertAlign w:val="superscript"/>
              </w:rPr>
              <w:t>17i</w:t>
            </w:r>
            <w:r w:rsidRPr="000370C1">
              <w:rPr>
                <w:rFonts w:ascii="Times New Roman" w:hAnsi="Times New Roman"/>
                <w:bCs/>
              </w:rPr>
              <w:t xml:space="preserve">) </w:t>
            </w:r>
            <w:r w:rsidRPr="000370C1">
              <w:rPr>
                <w:rFonts w:ascii="Times New Roman" w:hAnsi="Times New Roman"/>
              </w:rPr>
              <w:t>§ 19 ods. 6 zákona č. 98/2004 Z. z. v znení zákona č. 609/2007 Z. z.“.</w:t>
            </w:r>
          </w:p>
          <w:p w:rsidR="00CE2EEE" w:rsidRPr="00726065" w:rsidP="00726065">
            <w:pPr>
              <w:tabs>
                <w:tab w:val="num" w:pos="1080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 w:rsidR="00303121">
              <w:rPr>
                <w:rFonts w:ascii="Times New Roman" w:hAnsi="Times New Roman"/>
              </w:rPr>
              <w:t>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8D59C0" w:rsidP="00FB350B">
            <w:pPr>
              <w:pStyle w:val="Heading1"/>
              <w:bidi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</w:p>
    <w:p w:rsidR="008C54C3" w:rsidRPr="008D59C0" w:rsidP="003328FF">
      <w:pPr>
        <w:pStyle w:val="tlArialNarrow10ptPodaokraja"/>
        <w:bidi w:val="0"/>
        <w:rPr>
          <w:rFonts w:ascii="Times New Roman" w:hAnsi="Times New Roman"/>
        </w:rPr>
      </w:pPr>
      <w:r w:rsidRPr="008D59C0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článok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odsek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 – veta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 xml:space="preserve">P – </w:t>
            </w:r>
            <w:r w:rsidRPr="008D59C0" w:rsidR="00DA0F6C">
              <w:rPr>
                <w:rFonts w:ascii="Times New Roman" w:hAnsi="Times New Roman"/>
              </w:rPr>
              <w:t>číslo</w:t>
            </w:r>
            <w:r w:rsidRPr="008D59C0">
              <w:rPr>
                <w:rFonts w:ascii="Times New Roman" w:hAnsi="Times New Roman"/>
              </w:rPr>
              <w:t xml:space="preserve"> (</w:t>
            </w:r>
            <w:r w:rsidRPr="008D59C0" w:rsidR="00DA0F6C">
              <w:rPr>
                <w:rFonts w:ascii="Times New Roman" w:hAnsi="Times New Roman"/>
              </w:rPr>
              <w:t>písmeno</w:t>
            </w:r>
            <w:r w:rsidRPr="008D59C0">
              <w:rPr>
                <w:rFonts w:ascii="Times New Roman" w:hAnsi="Times New Roman"/>
              </w:rPr>
              <w:t>)</w:t>
            </w:r>
          </w:p>
          <w:p w:rsidR="008C54C3" w:rsidRPr="008D59C0" w:rsidP="00FB350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 – bežná transpozícia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transpozícia s možnosťou voľby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D – transpozícia podľa úvahy (dobrovoľná)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n.</w:t>
            </w:r>
            <w:r w:rsidRPr="008D59C0" w:rsidR="00C65AE1">
              <w:rPr>
                <w:rFonts w:ascii="Times New Roman" w:hAnsi="Times New Roman"/>
              </w:rPr>
              <w:t xml:space="preserve"> </w:t>
            </w:r>
            <w:r w:rsidRPr="008D59C0">
              <w:rPr>
                <w:rFonts w:ascii="Times New Roman" w:hAnsi="Times New Roman"/>
              </w:rPr>
              <w:t>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článok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§ – paragraf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O – odsek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V – veta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autoSpaceDE/>
              <w:autoSpaceDN/>
              <w:bidi w:val="0"/>
              <w:spacing w:after="6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8D59C0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8D59C0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 xml:space="preserve">, so zabezpečenou inštitucionálnou </w:t>
            </w:r>
            <w:r w:rsidRPr="008D59C0" w:rsidR="00C65AE1">
              <w:rPr>
                <w:rFonts w:ascii="Times New Roman" w:hAnsi="Times New Roman"/>
                <w:sz w:val="20"/>
                <w:szCs w:val="20"/>
              </w:rPr>
              <w:t>i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8D59C0" w:rsidP="003328FF">
            <w:pPr>
              <w:pStyle w:val="tlArialNarrow10ptPodaokraja"/>
              <w:bidi w:val="0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8C54C3" w:rsidRPr="008D59C0" w:rsidP="00FB350B">
            <w:pPr>
              <w:pStyle w:val="BodyTextIndent2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Ž – žiadna zhoda (ak nebola dosiahnutá ani úplná ani čias</w:t>
            </w:r>
            <w:r w:rsidRPr="008D59C0" w:rsidR="00C65AE1">
              <w:rPr>
                <w:rFonts w:ascii="Times New Roman" w:hAnsi="Times New Roman"/>
              </w:rPr>
              <w:t>točná</w:t>
            </w:r>
            <w:r w:rsidRPr="008D59C0">
              <w:rPr>
                <w:rFonts w:ascii="Times New Roman" w:hAnsi="Times New Roman"/>
              </w:rPr>
              <w:t xml:space="preserve"> zhoda alebo k prebratiu dôjde v budúcnosti)</w:t>
            </w:r>
          </w:p>
          <w:p w:rsidR="008C54C3" w:rsidRPr="008D59C0" w:rsidP="00FB350B">
            <w:pPr>
              <w:autoSpaceDE/>
              <w:autoSpaceDN/>
              <w:bidi w:val="0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n.</w:t>
            </w:r>
            <w:r w:rsidRPr="008D59C0" w:rsidR="00C65A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9C0">
              <w:rPr>
                <w:rFonts w:ascii="Times New Roman" w:hAnsi="Times New Roman"/>
                <w:sz w:val="20"/>
                <w:szCs w:val="20"/>
              </w:rPr>
              <w:t>a. – neaplikovateľnosť (ak sa ustanovenie smernice netýka SR alebo nie je potrebné ho prebrať)</w:t>
            </w:r>
          </w:p>
        </w:tc>
      </w:tr>
    </w:tbl>
    <w:p w:rsidR="00AC1BD7" w:rsidRPr="008D59C0" w:rsidP="003328FF">
      <w:pPr>
        <w:pStyle w:val="tlArialNarrow10ptPodaokraja"/>
        <w:bidi w:val="0"/>
        <w:rPr>
          <w:rFonts w:ascii="Times New Roman" w:hAnsi="Times New Roman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Heading2"/>
              <w:bidi w:val="0"/>
              <w:jc w:val="both"/>
              <w:rPr>
                <w:rFonts w:ascii="Times New Roman" w:hAnsi="Times New Roman"/>
              </w:rPr>
            </w:pPr>
            <w:r w:rsidRPr="008D59C0">
              <w:rPr>
                <w:rFonts w:ascii="Times New Roman" w:hAnsi="Times New Roman"/>
              </w:rPr>
              <w:t>Zoznam všeobecne záväzných právnych predpisov preberajúcich smernicu (uveďte číslo smernice)</w:t>
            </w:r>
          </w:p>
          <w:p w:rsidR="008C54C3" w:rsidRPr="008D59C0" w:rsidP="00FB350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8D59C0" w:rsidP="00FB350B">
            <w:pPr>
              <w:bidi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9C0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Normlny"/>
              <w:bidi w:val="0"/>
              <w:jc w:val="both"/>
              <w:rPr>
                <w:rFonts w:ascii="Times New Roman" w:hAnsi="Times New Roman"/>
                <w:lang w:eastAsia="sk-SK"/>
              </w:rPr>
            </w:pPr>
            <w:r w:rsidRPr="008D59C0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8D59C0" w:rsidP="00FB350B">
            <w:pPr>
              <w:numPr>
                <w:numId w:val="10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8D59C0" w:rsidP="00FB350B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rPr>
                <w:rFonts w:ascii="Times New Roman" w:hAnsi="Times New Roman"/>
                <w:lang w:eastAsia="sk-SK"/>
              </w:rPr>
            </w:pPr>
          </w:p>
        </w:tc>
      </w:tr>
    </w:tbl>
    <w:p w:rsidR="008C54C3" w:rsidRPr="008D59C0" w:rsidP="003954BF">
      <w:pPr>
        <w:pStyle w:val="Header"/>
        <w:tabs>
          <w:tab w:val="clear" w:pos="4536"/>
          <w:tab w:val="clear" w:pos="9072"/>
        </w:tabs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8FF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370C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328F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7608D3"/>
    <w:multiLevelType w:val="hybridMultilevel"/>
    <w:tmpl w:val="F8742F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">
    <w:nsid w:val="08403527"/>
    <w:multiLevelType w:val="hybridMultilevel"/>
    <w:tmpl w:val="990023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7E514C"/>
    <w:multiLevelType w:val="singleLevel"/>
    <w:tmpl w:val="A066EA22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7">
    <w:nsid w:val="12712862"/>
    <w:multiLevelType w:val="singleLevel"/>
    <w:tmpl w:val="1ACA3C0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</w:abstractNum>
  <w:abstractNum w:abstractNumId="8">
    <w:nsid w:val="13973FA5"/>
    <w:multiLevelType w:val="singleLevel"/>
    <w:tmpl w:val="E17A9504"/>
    <w:lvl w:ilvl="0">
      <w:start w:val="1"/>
      <w:numFmt w:val="lowerLetter"/>
      <w:lvlText w:val="%1)"/>
      <w:legacy w:legacy="1" w:legacySpace="120" w:legacyIndent="360"/>
      <w:lvlJc w:val="left"/>
      <w:pPr>
        <w:ind w:left="1920" w:hanging="360"/>
      </w:pPr>
      <w:rPr>
        <w:rFonts w:cs="Times New Roman"/>
        <w:rtl w:val="0"/>
        <w:cs w:val="0"/>
      </w:rPr>
    </w:lvl>
  </w:abstractNum>
  <w:abstractNum w:abstractNumId="9">
    <w:nsid w:val="14135A8F"/>
    <w:multiLevelType w:val="hybridMultilevel"/>
    <w:tmpl w:val="BE60E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0">
    <w:nsid w:val="19DE1F0E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11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29E61EED"/>
    <w:multiLevelType w:val="singleLevel"/>
    <w:tmpl w:val="DEF88C3C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bCs w:val="0"/>
        <w:rtl w:val="0"/>
        <w:cs w:val="0"/>
      </w:rPr>
    </w:lvl>
  </w:abstractNum>
  <w:abstractNum w:abstractNumId="13">
    <w:nsid w:val="2C980656"/>
    <w:multiLevelType w:val="hybridMultilevel"/>
    <w:tmpl w:val="79DC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FCB45B2"/>
    <w:multiLevelType w:val="hybridMultilevel"/>
    <w:tmpl w:val="83A6145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abstractNum w:abstractNumId="15">
    <w:nsid w:val="331620E4"/>
    <w:multiLevelType w:val="hybridMultilevel"/>
    <w:tmpl w:val="6E041ED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6">
    <w:nsid w:val="3454272C"/>
    <w:multiLevelType w:val="singleLevel"/>
    <w:tmpl w:val="24D67A44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b w:val="0"/>
        <w:bCs w:val="0"/>
        <w:rtl w:val="0"/>
        <w:cs w:val="0"/>
      </w:rPr>
    </w:lvl>
  </w:abstractNum>
  <w:abstractNum w:abstractNumId="17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B13EA9"/>
    <w:multiLevelType w:val="hybridMultilevel"/>
    <w:tmpl w:val="DC42516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F527806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20">
    <w:nsid w:val="4095516C"/>
    <w:multiLevelType w:val="hybridMultilevel"/>
    <w:tmpl w:val="4CE8E8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1">
    <w:nsid w:val="41F92BF1"/>
    <w:multiLevelType w:val="hybridMultilevel"/>
    <w:tmpl w:val="D996D6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3">
    <w:nsid w:val="44F4135A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24">
    <w:nsid w:val="45C141F2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25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BC62535"/>
    <w:multiLevelType w:val="hybridMultilevel"/>
    <w:tmpl w:val="5476C7B4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1258D6"/>
    <w:multiLevelType w:val="hybridMultilevel"/>
    <w:tmpl w:val="BE7E725A"/>
    <w:lvl w:ilvl="0">
      <w:start w:val="1"/>
      <w:numFmt w:val="decimal"/>
      <w:lvlText w:val="(%1)"/>
      <w:lvlJc w:val="left"/>
      <w:pPr>
        <w:tabs>
          <w:tab w:val="num" w:pos="-491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7CE3207"/>
    <w:multiLevelType w:val="hybridMultilevel"/>
    <w:tmpl w:val="7F1CC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BE1766"/>
    <w:multiLevelType w:val="hybridMultilevel"/>
    <w:tmpl w:val="93661CA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2">
    <w:nsid w:val="615D7C77"/>
    <w:multiLevelType w:val="hybridMultilevel"/>
    <w:tmpl w:val="8B4A3D50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3F56B41"/>
    <w:multiLevelType w:val="hybridMultilevel"/>
    <w:tmpl w:val="A2B68EB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4">
    <w:nsid w:val="67A900C5"/>
    <w:multiLevelType w:val="hybridMultilevel"/>
    <w:tmpl w:val="53D2202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5">
    <w:nsid w:val="68803706"/>
    <w:multiLevelType w:val="singleLevel"/>
    <w:tmpl w:val="63D0C0A0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  <w:rPr>
        <w:rFonts w:cs="Times New Roman"/>
        <w:rtl w:val="0"/>
        <w:cs w:val="0"/>
      </w:rPr>
    </w:lvl>
  </w:abstractNum>
  <w:abstractNum w:abstractNumId="36">
    <w:nsid w:val="76794249"/>
    <w:multiLevelType w:val="hybridMultilevel"/>
    <w:tmpl w:val="7B82CFC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7">
    <w:nsid w:val="7B5E0AA1"/>
    <w:multiLevelType w:val="hybridMultilevel"/>
    <w:tmpl w:val="C9926AD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8">
    <w:nsid w:val="7D7662D6"/>
    <w:multiLevelType w:val="hybridMultilevel"/>
    <w:tmpl w:val="8050DB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7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6"/>
    <w:lvlOverride w:ilvl="0">
      <w:startOverride w:val="3"/>
    </w:lvlOverride>
  </w:num>
  <w:num w:numId="3">
    <w:abstractNumId w:val="22"/>
  </w:num>
  <w:num w:numId="4">
    <w:abstractNumId w:val="22"/>
    <w:lvlOverride w:ilvl="0">
      <w:startOverride w:val="2"/>
    </w:lvlOverride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30"/>
  </w:num>
  <w:num w:numId="12">
    <w:abstractNumId w:val="5"/>
  </w:num>
  <w:num w:numId="13">
    <w:abstractNumId w:val="27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24"/>
  </w:num>
  <w:num w:numId="19">
    <w:abstractNumId w:val="16"/>
  </w:num>
  <w:num w:numId="20">
    <w:abstractNumId w:val="10"/>
  </w:num>
  <w:num w:numId="21">
    <w:abstractNumId w:val="26"/>
  </w:num>
  <w:num w:numId="22">
    <w:abstractNumId w:val="32"/>
  </w:num>
  <w:num w:numId="23">
    <w:abstractNumId w:val="7"/>
  </w:num>
  <w:num w:numId="24">
    <w:abstractNumId w:val="19"/>
  </w:num>
  <w:num w:numId="25">
    <w:abstractNumId w:val="35"/>
  </w:num>
  <w:num w:numId="26">
    <w:abstractNumId w:val="8"/>
  </w:num>
  <w:num w:numId="27">
    <w:abstractNumId w:val="3"/>
  </w:num>
  <w:num w:numId="28">
    <w:abstractNumId w:val="38"/>
  </w:num>
  <w:num w:numId="29">
    <w:abstractNumId w:val="14"/>
  </w:num>
  <w:num w:numId="30">
    <w:abstractNumId w:val="9"/>
  </w:num>
  <w:num w:numId="31">
    <w:abstractNumId w:val="20"/>
  </w:num>
  <w:num w:numId="32">
    <w:abstractNumId w:val="13"/>
  </w:num>
  <w:num w:numId="33">
    <w:abstractNumId w:val="29"/>
  </w:num>
  <w:num w:numId="34">
    <w:abstractNumId w:val="18"/>
  </w:num>
  <w:num w:numId="35">
    <w:abstractNumId w:val="1"/>
  </w:num>
  <w:num w:numId="36">
    <w:abstractNumId w:val="34"/>
  </w:num>
  <w:num w:numId="37">
    <w:abstractNumId w:val="31"/>
  </w:num>
  <w:num w:numId="38">
    <w:abstractNumId w:val="37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33"/>
  </w:num>
  <w:num w:numId="42">
    <w:abstractNumId w:val="21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4821"/>
    <w:rsid w:val="00026532"/>
    <w:rsid w:val="000326CA"/>
    <w:rsid w:val="000370C1"/>
    <w:rsid w:val="000505D3"/>
    <w:rsid w:val="00051E71"/>
    <w:rsid w:val="0005670F"/>
    <w:rsid w:val="00074E9E"/>
    <w:rsid w:val="00077777"/>
    <w:rsid w:val="00077884"/>
    <w:rsid w:val="00082239"/>
    <w:rsid w:val="000A296A"/>
    <w:rsid w:val="000B4803"/>
    <w:rsid w:val="000D042F"/>
    <w:rsid w:val="000D3C95"/>
    <w:rsid w:val="0013221E"/>
    <w:rsid w:val="0015147C"/>
    <w:rsid w:val="001677D7"/>
    <w:rsid w:val="00171447"/>
    <w:rsid w:val="00175C95"/>
    <w:rsid w:val="0017764C"/>
    <w:rsid w:val="001A3928"/>
    <w:rsid w:val="001A6B73"/>
    <w:rsid w:val="001C4DBE"/>
    <w:rsid w:val="001D5C90"/>
    <w:rsid w:val="001F71E7"/>
    <w:rsid w:val="00212717"/>
    <w:rsid w:val="00224F25"/>
    <w:rsid w:val="002311C8"/>
    <w:rsid w:val="002362A8"/>
    <w:rsid w:val="00237FAA"/>
    <w:rsid w:val="00262794"/>
    <w:rsid w:val="00272DC4"/>
    <w:rsid w:val="00281D54"/>
    <w:rsid w:val="00296F59"/>
    <w:rsid w:val="002C70D0"/>
    <w:rsid w:val="002D1B80"/>
    <w:rsid w:val="002E5230"/>
    <w:rsid w:val="00303121"/>
    <w:rsid w:val="00315170"/>
    <w:rsid w:val="003328FF"/>
    <w:rsid w:val="0034051B"/>
    <w:rsid w:val="003414E9"/>
    <w:rsid w:val="00350D02"/>
    <w:rsid w:val="0037172E"/>
    <w:rsid w:val="00391DC5"/>
    <w:rsid w:val="003954BF"/>
    <w:rsid w:val="003B4E3F"/>
    <w:rsid w:val="003D392C"/>
    <w:rsid w:val="0040353F"/>
    <w:rsid w:val="0040524D"/>
    <w:rsid w:val="004166F2"/>
    <w:rsid w:val="00421FB3"/>
    <w:rsid w:val="00422E31"/>
    <w:rsid w:val="00464DF9"/>
    <w:rsid w:val="00495C9C"/>
    <w:rsid w:val="004A3960"/>
    <w:rsid w:val="004B3847"/>
    <w:rsid w:val="004D286E"/>
    <w:rsid w:val="004D7667"/>
    <w:rsid w:val="005170A9"/>
    <w:rsid w:val="00532019"/>
    <w:rsid w:val="00534FF5"/>
    <w:rsid w:val="0055135C"/>
    <w:rsid w:val="00573A87"/>
    <w:rsid w:val="005772B4"/>
    <w:rsid w:val="005A5922"/>
    <w:rsid w:val="005C51F6"/>
    <w:rsid w:val="005C6B3F"/>
    <w:rsid w:val="005E192D"/>
    <w:rsid w:val="005F2D2A"/>
    <w:rsid w:val="00603412"/>
    <w:rsid w:val="006411DB"/>
    <w:rsid w:val="00641991"/>
    <w:rsid w:val="006567F7"/>
    <w:rsid w:val="006610F5"/>
    <w:rsid w:val="00662F09"/>
    <w:rsid w:val="00672EFA"/>
    <w:rsid w:val="00680575"/>
    <w:rsid w:val="006855A4"/>
    <w:rsid w:val="00692989"/>
    <w:rsid w:val="006A5815"/>
    <w:rsid w:val="006B7F25"/>
    <w:rsid w:val="006C7B80"/>
    <w:rsid w:val="006D028A"/>
    <w:rsid w:val="006D604A"/>
    <w:rsid w:val="006E47A0"/>
    <w:rsid w:val="006E4B16"/>
    <w:rsid w:val="006E6C41"/>
    <w:rsid w:val="00705449"/>
    <w:rsid w:val="00726065"/>
    <w:rsid w:val="00741B55"/>
    <w:rsid w:val="00755FB2"/>
    <w:rsid w:val="0078125A"/>
    <w:rsid w:val="007816AA"/>
    <w:rsid w:val="007A24B3"/>
    <w:rsid w:val="007F0ACE"/>
    <w:rsid w:val="007F1CFA"/>
    <w:rsid w:val="00802281"/>
    <w:rsid w:val="0082065C"/>
    <w:rsid w:val="00892D10"/>
    <w:rsid w:val="008B1C4B"/>
    <w:rsid w:val="008C4975"/>
    <w:rsid w:val="008C54C3"/>
    <w:rsid w:val="008D59C0"/>
    <w:rsid w:val="009416DC"/>
    <w:rsid w:val="0095017B"/>
    <w:rsid w:val="0095366E"/>
    <w:rsid w:val="00987DD9"/>
    <w:rsid w:val="009A19BC"/>
    <w:rsid w:val="009B0E5E"/>
    <w:rsid w:val="009C317E"/>
    <w:rsid w:val="009E11EE"/>
    <w:rsid w:val="009E4055"/>
    <w:rsid w:val="00A55A77"/>
    <w:rsid w:val="00A61BA6"/>
    <w:rsid w:val="00A6590D"/>
    <w:rsid w:val="00A73CAB"/>
    <w:rsid w:val="00A9063F"/>
    <w:rsid w:val="00A9549D"/>
    <w:rsid w:val="00AC1BD7"/>
    <w:rsid w:val="00AD4A4F"/>
    <w:rsid w:val="00B04135"/>
    <w:rsid w:val="00B14D4F"/>
    <w:rsid w:val="00B40E76"/>
    <w:rsid w:val="00B5376E"/>
    <w:rsid w:val="00BC3C6F"/>
    <w:rsid w:val="00BC58DD"/>
    <w:rsid w:val="00C02904"/>
    <w:rsid w:val="00C460B3"/>
    <w:rsid w:val="00C65AE1"/>
    <w:rsid w:val="00C71C9A"/>
    <w:rsid w:val="00C8496E"/>
    <w:rsid w:val="00C92FF6"/>
    <w:rsid w:val="00C9678A"/>
    <w:rsid w:val="00C96E70"/>
    <w:rsid w:val="00CA4A4E"/>
    <w:rsid w:val="00CA7304"/>
    <w:rsid w:val="00CD7956"/>
    <w:rsid w:val="00CE2EEE"/>
    <w:rsid w:val="00CE67D7"/>
    <w:rsid w:val="00D25A1E"/>
    <w:rsid w:val="00D3730C"/>
    <w:rsid w:val="00D97D11"/>
    <w:rsid w:val="00DA0F6C"/>
    <w:rsid w:val="00DA257A"/>
    <w:rsid w:val="00DC3DFC"/>
    <w:rsid w:val="00DD2F74"/>
    <w:rsid w:val="00DE527E"/>
    <w:rsid w:val="00DF59FE"/>
    <w:rsid w:val="00E148DA"/>
    <w:rsid w:val="00E60F5B"/>
    <w:rsid w:val="00E62735"/>
    <w:rsid w:val="00EB5658"/>
    <w:rsid w:val="00EC23C4"/>
    <w:rsid w:val="00ED7ABC"/>
    <w:rsid w:val="00F0666D"/>
    <w:rsid w:val="00F21719"/>
    <w:rsid w:val="00F22CD4"/>
    <w:rsid w:val="00F26784"/>
    <w:rsid w:val="00F44995"/>
    <w:rsid w:val="00F70198"/>
    <w:rsid w:val="00F71FCC"/>
    <w:rsid w:val="00F87930"/>
    <w:rsid w:val="00F97F75"/>
    <w:rsid w:val="00FB350B"/>
    <w:rsid w:val="00FC49CA"/>
    <w:rsid w:val="00FC6FAD"/>
    <w:rsid w:val="00FD2E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center"/>
    </w:pPr>
    <w:rPr>
      <w:sz w:val="20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PARA">
    <w:name w:val="PARA"/>
    <w:basedOn w:val="Normal"/>
    <w:next w:val="Normal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A61BA6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95366E"/>
    <w:pPr>
      <w:overflowPunct w:val="0"/>
      <w:adjustRightInd w:val="0"/>
      <w:jc w:val="center"/>
      <w:textAlignment w:val="baseline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Zkladntext">
    <w:name w:val="Základní text"/>
    <w:uiPriority w:val="99"/>
    <w:rsid w:val="0095366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17144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lArialNarrow10ptPodaokraja">
    <w:name w:val="Štýl Arial Narrow 10 pt Podľa okraja"/>
    <w:basedOn w:val="Normal"/>
    <w:rsid w:val="003328FF"/>
    <w:pPr>
      <w:jc w:val="both"/>
    </w:pPr>
    <w:rPr>
      <w:rFonts w:ascii="Arial Narrow" w:hAnsi="Arial Narrow"/>
      <w:sz w:val="20"/>
      <w:szCs w:val="20"/>
    </w:rPr>
  </w:style>
  <w:style w:type="paragraph" w:customStyle="1" w:styleId="Normlnywebov8">
    <w:name w:val="Normálny (webový)8"/>
    <w:basedOn w:val="Normal"/>
    <w:rsid w:val="00F70198"/>
    <w:pPr>
      <w:autoSpaceDE/>
      <w:autoSpaceDN/>
      <w:spacing w:before="68" w:after="68"/>
      <w:ind w:left="204" w:right="204"/>
      <w:jc w:val="lef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F70198"/>
    <w:rPr>
      <w:rFonts w:cs="Times New Roman"/>
      <w:b/>
      <w:bCs/>
      <w:rtl w:val="0"/>
      <w:cs w:val="0"/>
    </w:rPr>
  </w:style>
  <w:style w:type="paragraph" w:customStyle="1" w:styleId="CharCharCharCharCharChar">
    <w:name w:val="Char Char Char Char Char Char"/>
    <w:basedOn w:val="Normal"/>
    <w:rsid w:val="00F70198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726065"/>
    <w:pPr>
      <w:autoSpaceDE/>
      <w:autoSpaceDN/>
      <w:ind w:left="708"/>
      <w:jc w:val="left"/>
    </w:pPr>
    <w:rPr>
      <w:noProof/>
    </w:rPr>
  </w:style>
  <w:style w:type="paragraph" w:styleId="PlainText">
    <w:name w:val="Plain Text"/>
    <w:basedOn w:val="Normal"/>
    <w:link w:val="ObyajntextChar"/>
    <w:uiPriority w:val="99"/>
    <w:rsid w:val="000D3C95"/>
    <w:pPr>
      <w:autoSpaceDE/>
      <w:autoSpaceDN/>
      <w:jc w:val="left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0D3C95"/>
    <w:rPr>
      <w:rFonts w:ascii="Courier New" w:hAnsi="Courier New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1656-5DFD-45B2-975B-E0B29728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4</Pages>
  <Words>1749</Words>
  <Characters>9588</Characters>
  <Application>Microsoft Office Word</Application>
  <DocSecurity>0</DocSecurity>
  <Lines>0</Lines>
  <Paragraphs>0</Paragraphs>
  <ScaleCrop>false</ScaleCrop>
  <Company>ÚV SR</Company>
  <LinksUpToDate>false</LinksUpToDate>
  <CharactersWithSpaces>11315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mdanisovic</cp:lastModifiedBy>
  <cp:revision>9</cp:revision>
  <cp:lastPrinted>2010-09-21T11:27:00Z</cp:lastPrinted>
  <dcterms:created xsi:type="dcterms:W3CDTF">2010-09-14T10:37:00Z</dcterms:created>
  <dcterms:modified xsi:type="dcterms:W3CDTF">2010-09-22T15:17:00Z</dcterms:modified>
</cp:coreProperties>
</file>