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A32D0" w:rsidP="00FF1BFC">
      <w:pPr>
        <w:widowControl/>
        <w:bidi w:val="0"/>
        <w:jc w:val="center"/>
        <w:rPr>
          <w:rFonts w:ascii="Times New Roman" w:hAnsi="Times New Roman"/>
          <w:b/>
          <w:bCs/>
          <w:caps/>
          <w:color w:val="000000"/>
          <w:spacing w:val="30"/>
        </w:rPr>
      </w:pPr>
    </w:p>
    <w:p w:rsidR="00FF1BFC" w:rsidRPr="00C93DCA" w:rsidP="00FF1BFC">
      <w:pPr>
        <w:widowControl/>
        <w:bidi w:val="0"/>
        <w:jc w:val="center"/>
        <w:rPr>
          <w:rFonts w:ascii="Times New Roman" w:hAnsi="Times New Roman"/>
          <w:b/>
          <w:bCs/>
          <w:caps/>
          <w:color w:val="000000"/>
          <w:spacing w:val="30"/>
        </w:rPr>
      </w:pPr>
      <w:r w:rsidRPr="00C93DCA">
        <w:rPr>
          <w:rFonts w:ascii="Times New Roman" w:hAnsi="Times New Roman"/>
          <w:b/>
          <w:bCs/>
          <w:caps/>
          <w:color w:val="000000"/>
          <w:spacing w:val="30"/>
        </w:rPr>
        <w:t>Dôvodová správa</w:t>
      </w:r>
    </w:p>
    <w:p w:rsidR="00FF1BFC" w:rsidRPr="00C93DCA" w:rsidP="00FF1BFC">
      <w:pPr>
        <w:widowControl/>
        <w:bidi w:val="0"/>
        <w:jc w:val="both"/>
        <w:rPr>
          <w:rFonts w:ascii="Times New Roman" w:hAnsi="Times New Roman"/>
          <w:b/>
          <w:bCs/>
          <w:color w:val="000000"/>
        </w:rPr>
      </w:pPr>
    </w:p>
    <w:p w:rsidR="00FF1BFC" w:rsidRPr="00C93DCA" w:rsidP="00FF1BFC">
      <w:pPr>
        <w:widowControl/>
        <w:bidi w:val="0"/>
        <w:jc w:val="both"/>
        <w:rPr>
          <w:rFonts w:ascii="Times New Roman" w:hAnsi="Times New Roman"/>
          <w:b/>
          <w:bCs/>
          <w:color w:val="000000"/>
        </w:rPr>
      </w:pPr>
    </w:p>
    <w:p w:rsidR="00FF1BFC" w:rsidRPr="00C93DCA" w:rsidP="00FF1BFC">
      <w:pPr>
        <w:widowControl/>
        <w:bidi w:val="0"/>
        <w:jc w:val="both"/>
        <w:rPr>
          <w:rFonts w:ascii="Times New Roman" w:hAnsi="Times New Roman"/>
          <w:b/>
          <w:bCs/>
          <w:color w:val="000000"/>
        </w:rPr>
      </w:pPr>
      <w:r w:rsidRPr="00C93DCA">
        <w:rPr>
          <w:rFonts w:ascii="Times New Roman" w:hAnsi="Times New Roman"/>
          <w:b/>
          <w:bCs/>
          <w:color w:val="000000"/>
        </w:rPr>
        <w:t>A. Všeobecná časť</w:t>
      </w:r>
    </w:p>
    <w:p w:rsidR="00FF1BFC" w:rsidRPr="00C93DCA" w:rsidP="00FF1BFC">
      <w:pPr>
        <w:widowControl/>
        <w:bidi w:val="0"/>
        <w:jc w:val="both"/>
        <w:rPr>
          <w:rFonts w:ascii="Times New Roman" w:hAnsi="Times New Roman"/>
          <w:color w:val="000000"/>
        </w:rPr>
      </w:pPr>
    </w:p>
    <w:p w:rsidR="00FF1BFC" w:rsidRPr="00C93DCA" w:rsidP="00FF1BFC">
      <w:pPr>
        <w:pStyle w:val="Zkladntext"/>
        <w:bidi w:val="0"/>
        <w:jc w:val="both"/>
        <w:rPr>
          <w:rFonts w:ascii="Times New Roman" w:hAnsi="Times New Roman"/>
        </w:rPr>
      </w:pPr>
      <w:r w:rsidRPr="00C93DCA">
        <w:rPr>
          <w:rFonts w:ascii="Times New Roman" w:hAnsi="Times New Roman"/>
        </w:rPr>
        <w:t xml:space="preserve">   </w:t>
      </w:r>
    </w:p>
    <w:p w:rsidR="00FF1BFC" w:rsidRPr="00C93DCA" w:rsidP="00FF1BFC">
      <w:pPr>
        <w:widowControl/>
        <w:bidi w:val="0"/>
        <w:spacing w:line="280" w:lineRule="atLeast"/>
        <w:jc w:val="both"/>
        <w:rPr>
          <w:rFonts w:ascii="Times New Roman" w:hAnsi="Times New Roman"/>
          <w:color w:val="000000"/>
        </w:rPr>
      </w:pPr>
    </w:p>
    <w:p w:rsidR="00FF1BFC" w:rsidRPr="00C93DCA" w:rsidP="00FF1BFC">
      <w:pPr>
        <w:pStyle w:val="Zkladntext"/>
        <w:bidi w:val="0"/>
        <w:spacing w:line="280" w:lineRule="atLeast"/>
        <w:ind w:firstLine="426"/>
        <w:jc w:val="both"/>
        <w:rPr>
          <w:rFonts w:ascii="Times New Roman" w:hAnsi="Times New Roman"/>
        </w:rPr>
      </w:pPr>
      <w:r w:rsidRPr="00C93DCA">
        <w:rPr>
          <w:rFonts w:ascii="Times New Roman" w:hAnsi="Times New Roman"/>
        </w:rPr>
        <w:t>Ministerstvo financií Slovenskej republiky predkladá na rokovanie vlády Slovenskej republiky návrh zákona, ktorým sa mení a dopĺňa zákon 609/2007 Z. z. o spotrebnej dani z elektriny, uhlia a zemného plynu a o zmene a doplnení zákona č. 98/2004 Z. z. o spotrebnej dani z minerálneho oleja v znení neskorších predpisov v znení neskorších predpisov (ďalej len „zákon“). Návrh zákona bol vypracovaný ako iniciatívny.</w:t>
      </w:r>
    </w:p>
    <w:p w:rsidR="00FF1BFC" w:rsidRPr="00C93DCA" w:rsidP="00FF1BFC">
      <w:pPr>
        <w:pStyle w:val="Zkladntext"/>
        <w:bidi w:val="0"/>
        <w:spacing w:line="280" w:lineRule="atLeast"/>
        <w:ind w:firstLine="357"/>
        <w:jc w:val="both"/>
        <w:rPr>
          <w:rFonts w:ascii="Times New Roman" w:hAnsi="Times New Roman"/>
        </w:rPr>
      </w:pPr>
    </w:p>
    <w:p w:rsidR="00FF1BFC" w:rsidP="00FF1BFC">
      <w:pPr>
        <w:bidi w:val="0"/>
        <w:ind w:firstLine="426"/>
        <w:jc w:val="both"/>
        <w:rPr>
          <w:rFonts w:ascii="Times New Roman" w:hAnsi="Times New Roman"/>
        </w:rPr>
      </w:pPr>
      <w:r>
        <w:rPr>
          <w:rFonts w:ascii="Times New Roman" w:hAnsi="Times New Roman"/>
        </w:rPr>
        <w:t>Na základe platného zákona možno oslobodiť od spotrebnej dane uhlie a zemný plyn určený na výrobu tepla pre domácnosť</w:t>
      </w:r>
      <w:r w:rsidRPr="006129C8">
        <w:rPr>
          <w:rFonts w:ascii="Times New Roman" w:hAnsi="Times New Roman"/>
        </w:rPr>
        <w:t xml:space="preserve"> </w:t>
      </w:r>
      <w:r>
        <w:rPr>
          <w:rFonts w:ascii="Times New Roman" w:hAnsi="Times New Roman"/>
        </w:rPr>
        <w:t>teplárenskými spoločnosťami. Vzhľadom na skutočnosť, že predmetná úprava je v rozpore s čl. 15 smernice Rady 2003/96/ES o reštrukturalizácii právneho rámca spoločenstva pre zdaňovanie energetických výrobkov a elektriny (ďalej len „smernica Rady 2003/96/ES“), na čo bola Slovenská republika upozornená Európskou Komisiou, predkladá sa návrh zákona, ktorý tento nesúlad odstraňuje. Súčasne sa navrhuje vypustiť daňové zvýhodnenie na zemný plyn (CNG) určený na použitie ako pohonná látka, a to z dôvodu odporúčaní Európskej Komisie vedúcej k ustanoveniu pozitívnej sadzby spotrebnej dane upravenej v smernici Rady 2003/96/ES.</w:t>
      </w:r>
    </w:p>
    <w:p w:rsidR="00FF1BFC" w:rsidRPr="00C93DCA" w:rsidP="00FF1BFC">
      <w:pPr>
        <w:pStyle w:val="Zkladntext"/>
        <w:bidi w:val="0"/>
        <w:spacing w:line="280" w:lineRule="atLeast"/>
        <w:ind w:firstLine="357"/>
        <w:jc w:val="both"/>
        <w:rPr>
          <w:rFonts w:ascii="Times New Roman" w:hAnsi="Times New Roman"/>
        </w:rPr>
      </w:pPr>
    </w:p>
    <w:p w:rsidR="00FF1BFC" w:rsidRPr="00C93DCA" w:rsidP="00FF1BFC">
      <w:pPr>
        <w:bidi w:val="0"/>
        <w:ind w:firstLine="426"/>
        <w:jc w:val="both"/>
        <w:rPr>
          <w:rFonts w:ascii="Times New Roman" w:hAnsi="Times New Roman"/>
        </w:rPr>
      </w:pPr>
      <w:r w:rsidRPr="00C93DCA">
        <w:rPr>
          <w:rFonts w:ascii="Times New Roman" w:hAnsi="Times New Roman"/>
        </w:rPr>
        <w:t>Návrh zákona bude mať pozitívny vplyv na štátny rozpočet, pričom v roku 2011 sa predpokladá dodatočný príjem do štátneho rozpočtu vo výške 8,6 mil. eur a v rokoch 2012, 2013 a 2014 vo výške 14,2 mil. eur, za každý rok.</w:t>
      </w:r>
    </w:p>
    <w:p w:rsidR="00FF1BFC" w:rsidRPr="00C93DCA" w:rsidP="00FF1BFC">
      <w:pPr>
        <w:bidi w:val="0"/>
        <w:jc w:val="both"/>
        <w:rPr>
          <w:rFonts w:ascii="Times New Roman" w:hAnsi="Times New Roman"/>
        </w:rPr>
      </w:pPr>
    </w:p>
    <w:p w:rsidR="00FF1BFC" w:rsidRPr="00C93DCA" w:rsidP="00FF1BFC">
      <w:pPr>
        <w:bidi w:val="0"/>
        <w:spacing w:line="280" w:lineRule="atLeast"/>
        <w:ind w:firstLine="426"/>
        <w:jc w:val="both"/>
        <w:rPr>
          <w:rStyle w:val="PlaceholderText"/>
          <w:color w:val="000000"/>
        </w:rPr>
      </w:pPr>
      <w:r w:rsidRPr="00C93DCA">
        <w:rPr>
          <w:rStyle w:val="PlaceholderText"/>
          <w:color w:val="000000"/>
        </w:rPr>
        <w:t xml:space="preserve">Dopady návrhu zákona na rozpočet verejnej správy, na podnikateľské prostredie, </w:t>
      </w:r>
      <w:r w:rsidRPr="00C93DCA">
        <w:rPr>
          <w:rFonts w:ascii="Times New Roman" w:hAnsi="Times New Roman"/>
        </w:rPr>
        <w:t>na sociálne prostredie</w:t>
      </w:r>
      <w:r w:rsidRPr="00C93DCA">
        <w:rPr>
          <w:rStyle w:val="PlaceholderText"/>
          <w:color w:val="000000"/>
        </w:rPr>
        <w:t xml:space="preserve">, vplyv na životné prostredie a vplyv na informatizáciu spoločnosti je uvedený v doložke vybraných vplyvov. </w:t>
      </w:r>
    </w:p>
    <w:p w:rsidR="00FF1BFC" w:rsidRPr="00C93DCA" w:rsidP="00FF1BFC">
      <w:pPr>
        <w:bidi w:val="0"/>
        <w:jc w:val="both"/>
        <w:rPr>
          <w:rFonts w:ascii="Times New Roman" w:hAnsi="Times New Roman"/>
          <w:strike/>
        </w:rPr>
      </w:pPr>
    </w:p>
    <w:p w:rsidR="00FF1BFC" w:rsidRPr="00C93DCA" w:rsidP="00FF1BFC">
      <w:pPr>
        <w:bidi w:val="0"/>
        <w:spacing w:line="280" w:lineRule="atLeast"/>
        <w:ind w:firstLine="426"/>
        <w:jc w:val="both"/>
        <w:rPr>
          <w:rStyle w:val="PlaceholderText"/>
          <w:color w:val="000000"/>
        </w:rPr>
      </w:pPr>
      <w:r w:rsidRPr="00C93DCA">
        <w:rPr>
          <w:rStyle w:val="PlaceholderText"/>
          <w:color w:val="000000"/>
        </w:rPr>
        <w:t>Predkladaný návrh zákona nebude mať vplyv na rozpočty obcí a rozpočty vyšších územných celkov.</w:t>
      </w:r>
    </w:p>
    <w:p w:rsidR="00FF1BFC" w:rsidRPr="00C93DCA" w:rsidP="00FF1BFC">
      <w:pPr>
        <w:bidi w:val="0"/>
        <w:jc w:val="both"/>
        <w:rPr>
          <w:rFonts w:ascii="Times New Roman" w:hAnsi="Times New Roman"/>
          <w:strike/>
        </w:rPr>
      </w:pPr>
    </w:p>
    <w:p w:rsidR="00FF1BFC" w:rsidRPr="00C93DCA" w:rsidP="00FF1BFC">
      <w:pPr>
        <w:pStyle w:val="BodyText"/>
        <w:bidi w:val="0"/>
        <w:spacing w:after="0"/>
        <w:ind w:firstLine="426"/>
        <w:jc w:val="both"/>
        <w:rPr>
          <w:rFonts w:ascii="Times New Roman" w:hAnsi="Times New Roman"/>
        </w:rPr>
      </w:pPr>
      <w:r w:rsidRPr="00C93DCA">
        <w:rPr>
          <w:rFonts w:ascii="Times New Roman" w:hAnsi="Times New Roman"/>
        </w:rPr>
        <w:t xml:space="preserve">Predkladaný návrh zákona je v súlade s Ústavou Slovenskej republiky a inými právnymi predpismi, medzinárodnými zmluvami a dokumentmi, ktorými je Slovenská republika viazaná, ako aj v súlade s právom Európskej únie. </w:t>
      </w:r>
    </w:p>
    <w:p w:rsidR="00FF1BFC" w:rsidRPr="00C93DCA" w:rsidP="00FF1BFC">
      <w:pPr>
        <w:widowControl/>
        <w:bidi w:val="0"/>
        <w:spacing w:after="280" w:afterAutospacing="1" w:line="280" w:lineRule="atLeast"/>
        <w:rPr>
          <w:rStyle w:val="PlaceholderText"/>
          <w:color w:val="000000"/>
        </w:rPr>
      </w:pPr>
    </w:p>
    <w:p w:rsidR="00FF1BFC" w:rsidRPr="00C93DCA" w:rsidP="00FF1BFC">
      <w:pPr>
        <w:bidi w:val="0"/>
        <w:rPr>
          <w:rFonts w:ascii="Times New Roman" w:hAnsi="Times New Roman"/>
        </w:rPr>
      </w:pPr>
    </w:p>
    <w:p w:rsidR="00FF1BFC" w:rsidRPr="00C93DCA" w:rsidP="00FF1BFC">
      <w:pPr>
        <w:widowControl/>
        <w:bidi w:val="0"/>
        <w:jc w:val="both"/>
        <w:rPr>
          <w:rFonts w:ascii="Times New Roman" w:hAnsi="Times New Roman"/>
          <w:color w:val="000000"/>
        </w:rPr>
      </w:pPr>
    </w:p>
    <w:p w:rsidR="00FF1BFC" w:rsidRPr="00C93DCA" w:rsidP="00FF1BFC">
      <w:pPr>
        <w:widowControl/>
        <w:bidi w:val="0"/>
        <w:rPr>
          <w:rFonts w:ascii="Times New Roman" w:hAnsi="Times New Roman"/>
          <w:color w:val="000000"/>
        </w:rPr>
      </w:pPr>
    </w:p>
    <w:p w:rsidR="004B4A48">
      <w:pPr>
        <w:bidi w:val="0"/>
        <w:rPr>
          <w:rFonts w:ascii="Times New Roman" w:hAnsi="Times New Roman"/>
        </w:rPr>
      </w:pPr>
    </w:p>
    <w:p w:rsidR="00FF1BFC">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FF1BFC">
      <w:pPr>
        <w:bidi w:val="0"/>
        <w:rPr>
          <w:rFonts w:ascii="Times New Roman" w:hAnsi="Times New Roman"/>
        </w:rPr>
      </w:pPr>
    </w:p>
    <w:p w:rsidR="007C60E8" w:rsidRPr="007F689D" w:rsidP="007C60E8">
      <w:pPr>
        <w:bidi w:val="0"/>
        <w:spacing w:line="280" w:lineRule="atLeast"/>
        <w:jc w:val="center"/>
        <w:rPr>
          <w:rFonts w:ascii="Times New Roman" w:hAnsi="Times New Roman"/>
          <w:b/>
          <w:color w:val="000000"/>
        </w:rPr>
      </w:pPr>
      <w:r w:rsidRPr="007F689D">
        <w:rPr>
          <w:rFonts w:ascii="Times New Roman" w:hAnsi="Times New Roman"/>
          <w:b/>
          <w:color w:val="000000"/>
        </w:rPr>
        <w:t>Doložka vybraných vplyvov</w:t>
      </w:r>
    </w:p>
    <w:p w:rsidR="007C60E8" w:rsidRPr="007F689D" w:rsidP="007C60E8">
      <w:pPr>
        <w:bidi w:val="0"/>
        <w:spacing w:line="280" w:lineRule="atLeast"/>
        <w:jc w:val="center"/>
        <w:rPr>
          <w:rFonts w:ascii="Times New Roman" w:hAnsi="Times New Roman"/>
          <w:b/>
          <w:color w:val="000000"/>
        </w:rPr>
      </w:pPr>
    </w:p>
    <w:p w:rsidR="007C60E8" w:rsidRPr="007F689D" w:rsidP="007C60E8">
      <w:pPr>
        <w:bidi w:val="0"/>
        <w:spacing w:line="280" w:lineRule="atLeast"/>
        <w:rPr>
          <w:rFonts w:ascii="Times New Roman" w:hAnsi="Times New Roman"/>
          <w:color w:val="000000"/>
        </w:rPr>
      </w:pPr>
    </w:p>
    <w:p w:rsidR="007C60E8" w:rsidRPr="007F689D" w:rsidP="007C60E8">
      <w:pPr>
        <w:pStyle w:val="Zkladntext"/>
        <w:bidi w:val="0"/>
        <w:jc w:val="both"/>
        <w:rPr>
          <w:rFonts w:ascii="Times New Roman" w:hAnsi="Times New Roman"/>
          <w:bCs/>
        </w:rPr>
      </w:pPr>
      <w:r w:rsidRPr="007F689D">
        <w:rPr>
          <w:rFonts w:ascii="Times New Roman" w:hAnsi="Times New Roman"/>
          <w:b/>
          <w:bCs/>
        </w:rPr>
        <w:t xml:space="preserve">A.1. Názov materiálu: </w:t>
      </w:r>
      <w:r w:rsidRPr="00212634">
        <w:rPr>
          <w:rFonts w:ascii="Times New Roman" w:hAnsi="Times New Roman"/>
          <w:bCs/>
        </w:rPr>
        <w:t>ná</w:t>
      </w:r>
      <w:r w:rsidRPr="007F689D">
        <w:rPr>
          <w:rFonts w:ascii="Times New Roman" w:hAnsi="Times New Roman"/>
          <w:bCs/>
        </w:rPr>
        <w:t xml:space="preserve">vrh zákona, ktorým sa mení a dopĺňa zákon č. 609/2007 Z. z. o spotrebnej dani z </w:t>
      </w:r>
      <w:r w:rsidRPr="007F689D">
        <w:rPr>
          <w:rFonts w:ascii="Times New Roman" w:hAnsi="Times New Roman"/>
        </w:rPr>
        <w:t xml:space="preserve">elektriny, uhlia a zemného plynu a o zmene a doplnení zákona č. 98/2004 Z. z. o spotrebnej dani z </w:t>
      </w:r>
      <w:r w:rsidRPr="007F689D">
        <w:rPr>
          <w:rFonts w:ascii="Times New Roman" w:hAnsi="Times New Roman"/>
          <w:bCs/>
        </w:rPr>
        <w:t>minerálneho oleja v znení neskorších predpisov</w:t>
      </w:r>
      <w:r w:rsidRPr="00EF090B">
        <w:rPr>
          <w:rFonts w:ascii="Times New Roman" w:hAnsi="Times New Roman"/>
          <w:bCs/>
        </w:rPr>
        <w:t xml:space="preserve"> </w:t>
      </w:r>
      <w:r w:rsidRPr="007F689D">
        <w:rPr>
          <w:rFonts w:ascii="Times New Roman" w:hAnsi="Times New Roman"/>
          <w:bCs/>
        </w:rPr>
        <w:t>v znení neskorších predpisov</w:t>
      </w:r>
    </w:p>
    <w:p w:rsidR="007C60E8" w:rsidRPr="007F689D" w:rsidP="007C60E8">
      <w:pPr>
        <w:bidi w:val="0"/>
        <w:spacing w:line="280" w:lineRule="atLeast"/>
        <w:jc w:val="both"/>
        <w:rPr>
          <w:rFonts w:ascii="Times New Roman" w:hAnsi="Times New Roman"/>
          <w:color w:val="000000"/>
        </w:rPr>
      </w:pPr>
    </w:p>
    <w:p w:rsidR="007C60E8" w:rsidRPr="007F689D" w:rsidP="007C60E8">
      <w:pPr>
        <w:bidi w:val="0"/>
        <w:spacing w:line="280" w:lineRule="atLeast"/>
        <w:ind w:firstLine="426"/>
        <w:jc w:val="both"/>
        <w:rPr>
          <w:rFonts w:ascii="Times New Roman" w:hAnsi="Times New Roman"/>
          <w:color w:val="000000"/>
        </w:rPr>
      </w:pPr>
      <w:r w:rsidRPr="007F689D">
        <w:rPr>
          <w:rFonts w:ascii="Times New Roman" w:hAnsi="Times New Roman"/>
          <w:b/>
          <w:bCs/>
          <w:color w:val="000000"/>
        </w:rPr>
        <w:t xml:space="preserve">Termín začatia a ukončenia </w:t>
      </w:r>
      <w:r>
        <w:rPr>
          <w:rFonts w:ascii="Times New Roman" w:hAnsi="Times New Roman"/>
          <w:b/>
          <w:bCs/>
          <w:color w:val="000000"/>
        </w:rPr>
        <w:t>PPK</w:t>
      </w:r>
      <w:r w:rsidRPr="007F689D">
        <w:rPr>
          <w:rFonts w:ascii="Times New Roman" w:hAnsi="Times New Roman"/>
          <w:b/>
          <w:bCs/>
          <w:color w:val="000000"/>
        </w:rPr>
        <w:t>:</w:t>
      </w:r>
      <w:r w:rsidRPr="007F689D">
        <w:rPr>
          <w:rFonts w:ascii="Times New Roman" w:hAnsi="Times New Roman"/>
          <w:color w:val="000000"/>
        </w:rPr>
        <w:t xml:space="preserve"> </w:t>
      </w:r>
      <w:r>
        <w:rPr>
          <w:rFonts w:ascii="Times New Roman" w:hAnsi="Times New Roman"/>
          <w:color w:val="000000"/>
        </w:rPr>
        <w:t>09</w:t>
      </w:r>
      <w:r w:rsidRPr="007F689D">
        <w:rPr>
          <w:rFonts w:ascii="Times New Roman" w:hAnsi="Times New Roman"/>
          <w:color w:val="000000"/>
        </w:rPr>
        <w:t>. 09. 2010</w:t>
      </w:r>
      <w:r>
        <w:rPr>
          <w:rFonts w:ascii="Times New Roman" w:hAnsi="Times New Roman"/>
          <w:color w:val="000000"/>
        </w:rPr>
        <w:t xml:space="preserve"> – 10. 09. 2010</w:t>
      </w:r>
    </w:p>
    <w:p w:rsidR="007C60E8" w:rsidRPr="007F689D" w:rsidP="007C60E8">
      <w:pPr>
        <w:bidi w:val="0"/>
        <w:spacing w:line="280" w:lineRule="atLeast"/>
        <w:jc w:val="both"/>
        <w:rPr>
          <w:rFonts w:ascii="Times New Roman" w:hAnsi="Times New Roman"/>
          <w:b/>
          <w:bCs/>
          <w:color w:val="000000"/>
        </w:rPr>
      </w:pPr>
    </w:p>
    <w:p w:rsidR="007C60E8" w:rsidRPr="007F689D" w:rsidP="007C60E8">
      <w:pPr>
        <w:bidi w:val="0"/>
        <w:spacing w:line="280" w:lineRule="atLeast"/>
        <w:jc w:val="both"/>
        <w:rPr>
          <w:rFonts w:ascii="Times New Roman" w:hAnsi="Times New Roman"/>
          <w:b/>
          <w:bCs/>
          <w:color w:val="000000"/>
        </w:rPr>
      </w:pPr>
      <w:r w:rsidRPr="007F689D">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8"/>
        <w:gridCol w:w="1192"/>
        <w:gridCol w:w="1180"/>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jc w:val="center"/>
              <w:rPr>
                <w:rFonts w:ascii="Times New Roman" w:hAnsi="Times New Roman"/>
                <w:color w:val="000000"/>
              </w:rPr>
            </w:pPr>
            <w:r w:rsidRPr="007F689D">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jc w:val="center"/>
              <w:rPr>
                <w:rFonts w:ascii="Times New Roman" w:hAnsi="Times New Roman"/>
                <w:color w:val="000000"/>
              </w:rPr>
            </w:pPr>
            <w:r w:rsidRPr="007F689D">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jc w:val="center"/>
              <w:rPr>
                <w:rFonts w:ascii="Times New Roman" w:hAnsi="Times New Roman"/>
                <w:color w:val="000000"/>
              </w:rPr>
            </w:pPr>
            <w:r w:rsidRPr="007F689D">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ind w:left="149"/>
              <w:rPr>
                <w:rFonts w:ascii="Times New Roman" w:hAnsi="Times New Roman"/>
                <w:color w:val="000000"/>
              </w:rPr>
            </w:pPr>
            <w:r w:rsidRPr="007F689D">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jc w:val="center"/>
              <w:rPr>
                <w:rFonts w:ascii="Times New Roman" w:hAnsi="Times New Roman"/>
                <w:color w:val="000000"/>
              </w:rPr>
            </w:pPr>
            <w:r w:rsidRPr="007F689D">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ind w:left="149"/>
              <w:rPr>
                <w:rFonts w:ascii="Times New Roman" w:hAnsi="Times New Roman"/>
                <w:color w:val="000000"/>
              </w:rPr>
            </w:pPr>
            <w:r w:rsidRPr="007F689D">
              <w:rPr>
                <w:rFonts w:ascii="Times New Roman" w:hAnsi="Times New Roman"/>
                <w:color w:val="000000"/>
              </w:rPr>
              <w:t xml:space="preserve">2. Vplyvy na podnikateľské prostredie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jc w:val="center"/>
              <w:rPr>
                <w:rFonts w:ascii="Times New Roman" w:hAnsi="Times New Roman"/>
                <w:color w:val="000000"/>
              </w:rPr>
            </w:pPr>
            <w:r w:rsidRPr="007F689D">
              <w:rPr>
                <w:rFonts w:ascii="Times New Roman" w:hAnsi="Times New Roman"/>
                <w:color w:val="000000"/>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ind w:left="149"/>
              <w:rPr>
                <w:rFonts w:ascii="Times New Roman" w:hAnsi="Times New Roman"/>
                <w:color w:val="000000"/>
              </w:rPr>
            </w:pPr>
            <w:r w:rsidRPr="007F689D">
              <w:rPr>
                <w:rFonts w:ascii="Times New Roman" w:hAnsi="Times New Roman"/>
                <w:color w:val="000000"/>
              </w:rPr>
              <w:t>3. Sociálne vplyvy</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jc w:val="center"/>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jc w:val="center"/>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jc w:val="center"/>
              <w:rPr>
                <w:rFonts w:ascii="Times New Roman" w:hAnsi="Times New Roman"/>
                <w:color w:val="000000"/>
              </w:rPr>
            </w:pPr>
            <w:r w:rsidRPr="007F689D">
              <w:rPr>
                <w:rFonts w:ascii="Times New Roman" w:hAnsi="Times New Roman"/>
                <w:color w:val="000000"/>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ind w:left="149"/>
              <w:rPr>
                <w:rFonts w:ascii="Times New Roman" w:hAnsi="Times New Roman"/>
                <w:color w:val="000000"/>
              </w:rPr>
            </w:pPr>
            <w:r w:rsidRPr="007F689D">
              <w:rPr>
                <w:rFonts w:ascii="Times New Roman" w:hAnsi="Times New Roman"/>
                <w:color w:val="000000"/>
              </w:rPr>
              <w:t>– vplyvy na hospodárenie obyvateľstva,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ind w:left="149"/>
              <w:rPr>
                <w:rFonts w:ascii="Times New Roman" w:hAnsi="Times New Roman"/>
                <w:color w:val="000000"/>
              </w:rPr>
            </w:pPr>
            <w:r w:rsidRPr="007F689D">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jc w:val="center"/>
              <w:rPr>
                <w:rFonts w:ascii="Times New Roman" w:hAnsi="Times New Roman"/>
                <w:color w:val="000000"/>
              </w:rPr>
            </w:pPr>
            <w:r w:rsidRPr="007F689D">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ind w:left="149"/>
              <w:rPr>
                <w:rFonts w:ascii="Times New Roman" w:hAnsi="Times New Roman"/>
                <w:color w:val="000000"/>
              </w:rPr>
            </w:pPr>
            <w:r w:rsidRPr="007F689D">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jc w:val="center"/>
              <w:rPr>
                <w:rFonts w:ascii="Times New Roman" w:hAnsi="Times New Roman"/>
                <w:color w:val="000000"/>
              </w:rPr>
            </w:pPr>
            <w:r w:rsidRPr="007F689D">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ind w:left="149"/>
              <w:rPr>
                <w:rFonts w:ascii="Times New Roman" w:hAnsi="Times New Roman"/>
                <w:color w:val="000000"/>
              </w:rPr>
            </w:pPr>
            <w:r w:rsidRPr="007F689D">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jc w:val="center"/>
              <w:rPr>
                <w:rFonts w:ascii="Times New Roman" w:hAnsi="Times New Roman"/>
                <w:color w:val="000000"/>
              </w:rPr>
            </w:pPr>
            <w:r w:rsidRPr="007F689D">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ind w:left="149"/>
              <w:rPr>
                <w:rFonts w:ascii="Times New Roman" w:hAnsi="Times New Roman"/>
                <w:color w:val="000000"/>
              </w:rPr>
            </w:pPr>
            <w:r w:rsidRPr="007F689D">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jc w:val="center"/>
              <w:rPr>
                <w:rFonts w:ascii="Times New Roman" w:hAnsi="Times New Roman"/>
                <w:color w:val="000000"/>
              </w:rPr>
            </w:pPr>
            <w:r w:rsidRPr="007F689D">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60E8" w:rsidRPr="007F689D" w:rsidP="001D3864">
            <w:pPr>
              <w:bidi w:val="0"/>
              <w:spacing w:line="280" w:lineRule="atLeast"/>
              <w:jc w:val="center"/>
              <w:rPr>
                <w:rFonts w:ascii="Times New Roman" w:hAnsi="Times New Roman"/>
                <w:color w:val="000000"/>
              </w:rPr>
            </w:pPr>
          </w:p>
        </w:tc>
      </w:tr>
    </w:tbl>
    <w:p w:rsidR="007C60E8" w:rsidRPr="007F689D" w:rsidP="007C60E8">
      <w:pPr>
        <w:bidi w:val="0"/>
        <w:spacing w:line="280" w:lineRule="atLeast"/>
        <w:rPr>
          <w:rFonts w:ascii="Times New Roman" w:hAnsi="Times New Roman"/>
          <w:color w:val="000000"/>
        </w:rPr>
      </w:pPr>
    </w:p>
    <w:p w:rsidR="007C60E8" w:rsidRPr="007F689D" w:rsidP="007C60E8">
      <w:pPr>
        <w:bidi w:val="0"/>
        <w:spacing w:line="280" w:lineRule="atLeast"/>
        <w:jc w:val="both"/>
        <w:rPr>
          <w:rFonts w:ascii="Times New Roman" w:hAnsi="Times New Roman"/>
          <w:b/>
          <w:bCs/>
          <w:color w:val="000000"/>
        </w:rPr>
      </w:pPr>
    </w:p>
    <w:p w:rsidR="007C60E8" w:rsidRPr="007F689D" w:rsidP="007C60E8">
      <w:pPr>
        <w:bidi w:val="0"/>
        <w:spacing w:line="280" w:lineRule="atLeast"/>
        <w:jc w:val="both"/>
        <w:rPr>
          <w:rFonts w:ascii="Times New Roman" w:hAnsi="Times New Roman"/>
          <w:b/>
          <w:bCs/>
          <w:color w:val="000000"/>
        </w:rPr>
      </w:pPr>
      <w:r w:rsidRPr="007F689D">
        <w:rPr>
          <w:rFonts w:ascii="Times New Roman" w:hAnsi="Times New Roman"/>
          <w:b/>
          <w:bCs/>
          <w:color w:val="000000"/>
        </w:rPr>
        <w:t>A.3. Poznámky</w:t>
      </w:r>
    </w:p>
    <w:p w:rsidR="007C60E8" w:rsidRPr="007F689D" w:rsidP="007C60E8">
      <w:pPr>
        <w:bidi w:val="0"/>
        <w:spacing w:line="280" w:lineRule="atLeast"/>
        <w:jc w:val="both"/>
        <w:rPr>
          <w:rFonts w:ascii="Times New Roman" w:hAnsi="Times New Roman"/>
          <w:color w:val="000000"/>
        </w:rPr>
      </w:pPr>
    </w:p>
    <w:p w:rsidR="007C60E8" w:rsidRPr="007F689D" w:rsidP="007C60E8">
      <w:pPr>
        <w:bidi w:val="0"/>
        <w:spacing w:line="280" w:lineRule="atLeast"/>
        <w:jc w:val="both"/>
        <w:rPr>
          <w:rFonts w:ascii="Times New Roman" w:hAnsi="Times New Roman"/>
          <w:color w:val="000000"/>
        </w:rPr>
      </w:pPr>
      <w:r w:rsidRPr="007F689D">
        <w:rPr>
          <w:rFonts w:ascii="Times New Roman" w:hAnsi="Times New Roman"/>
          <w:color w:val="000000"/>
        </w:rPr>
        <w:t>bezpredmetné</w:t>
      </w:r>
    </w:p>
    <w:p w:rsidR="007C60E8" w:rsidRPr="007F689D" w:rsidP="007C60E8">
      <w:pPr>
        <w:bidi w:val="0"/>
        <w:spacing w:line="280" w:lineRule="atLeast"/>
        <w:jc w:val="both"/>
        <w:rPr>
          <w:rFonts w:ascii="Times New Roman" w:hAnsi="Times New Roman"/>
          <w:i/>
          <w:iCs/>
          <w:color w:val="000000"/>
        </w:rPr>
      </w:pPr>
    </w:p>
    <w:p w:rsidR="007C60E8" w:rsidRPr="007F689D" w:rsidP="007C60E8">
      <w:pPr>
        <w:bidi w:val="0"/>
        <w:spacing w:line="280" w:lineRule="atLeast"/>
        <w:jc w:val="both"/>
        <w:rPr>
          <w:rFonts w:ascii="Times New Roman" w:hAnsi="Times New Roman"/>
          <w:b/>
          <w:bCs/>
          <w:color w:val="000000"/>
        </w:rPr>
      </w:pPr>
      <w:r w:rsidRPr="007F689D">
        <w:rPr>
          <w:rFonts w:ascii="Times New Roman" w:hAnsi="Times New Roman"/>
          <w:b/>
          <w:bCs/>
          <w:color w:val="000000"/>
        </w:rPr>
        <w:t>A.4. Alternatívne riešenia</w:t>
      </w:r>
    </w:p>
    <w:p w:rsidR="007C60E8" w:rsidRPr="007F689D" w:rsidP="007C60E8">
      <w:pPr>
        <w:bidi w:val="0"/>
        <w:spacing w:line="280" w:lineRule="atLeast"/>
        <w:jc w:val="both"/>
        <w:rPr>
          <w:rFonts w:ascii="Times New Roman" w:hAnsi="Times New Roman"/>
          <w:b/>
          <w:bCs/>
          <w:color w:val="000000"/>
        </w:rPr>
      </w:pPr>
    </w:p>
    <w:p w:rsidR="007C60E8" w:rsidRPr="007F689D" w:rsidP="007C60E8">
      <w:pPr>
        <w:bidi w:val="0"/>
        <w:spacing w:line="280" w:lineRule="atLeast"/>
        <w:jc w:val="both"/>
        <w:rPr>
          <w:rFonts w:ascii="Times New Roman" w:hAnsi="Times New Roman"/>
          <w:color w:val="000000"/>
        </w:rPr>
      </w:pPr>
      <w:r w:rsidRPr="007F689D">
        <w:rPr>
          <w:rFonts w:ascii="Times New Roman" w:hAnsi="Times New Roman"/>
          <w:color w:val="000000"/>
        </w:rPr>
        <w:t>bezpredmetné</w:t>
      </w:r>
    </w:p>
    <w:p w:rsidR="007C60E8" w:rsidRPr="007F689D" w:rsidP="007C60E8">
      <w:pPr>
        <w:bidi w:val="0"/>
        <w:spacing w:line="280" w:lineRule="atLeast"/>
        <w:jc w:val="both"/>
        <w:rPr>
          <w:rFonts w:ascii="Times New Roman" w:hAnsi="Times New Roman"/>
          <w:b/>
          <w:bCs/>
          <w:color w:val="000000"/>
        </w:rPr>
      </w:pPr>
    </w:p>
    <w:p w:rsidR="007C60E8" w:rsidRPr="007F689D" w:rsidP="007C60E8">
      <w:pPr>
        <w:bidi w:val="0"/>
        <w:spacing w:line="280" w:lineRule="atLeast"/>
        <w:jc w:val="both"/>
        <w:rPr>
          <w:rFonts w:ascii="Times New Roman" w:hAnsi="Times New Roman"/>
          <w:b/>
          <w:bCs/>
          <w:color w:val="000000"/>
        </w:rPr>
      </w:pPr>
      <w:r w:rsidRPr="007F689D">
        <w:rPr>
          <w:rFonts w:ascii="Times New Roman" w:hAnsi="Times New Roman"/>
          <w:b/>
          <w:bCs/>
          <w:color w:val="000000"/>
        </w:rPr>
        <w:t>A.5. Stanovisko gestorov</w:t>
      </w:r>
    </w:p>
    <w:p w:rsidR="007C60E8" w:rsidRPr="00D96724" w:rsidP="007C60E8">
      <w:pPr>
        <w:pStyle w:val="NormalWeb"/>
        <w:bidi w:val="0"/>
        <w:spacing w:before="0" w:beforeAutospacing="0" w:after="0" w:afterAutospacing="0"/>
        <w:jc w:val="both"/>
        <w:rPr>
          <w:rFonts w:ascii="Times New Roman" w:hAnsi="Times New Roman"/>
        </w:rPr>
      </w:pPr>
      <w:r w:rsidRPr="00D96724">
        <w:rPr>
          <w:rFonts w:ascii="Times New Roman" w:hAnsi="Times New Roman"/>
        </w:rPr>
        <w:t xml:space="preserve">Ministerstvo financií SR </w:t>
      </w:r>
    </w:p>
    <w:p w:rsidR="007C60E8" w:rsidRPr="00D96724" w:rsidP="007C60E8">
      <w:pPr>
        <w:pStyle w:val="NormalWeb"/>
        <w:bidi w:val="0"/>
        <w:spacing w:before="0" w:beforeAutospacing="0" w:after="0" w:afterAutospacing="0"/>
        <w:jc w:val="both"/>
        <w:rPr>
          <w:rFonts w:ascii="Times New Roman" w:hAnsi="Times New Roman"/>
        </w:rPr>
      </w:pPr>
      <w:r w:rsidRPr="00D96724">
        <w:rPr>
          <w:rFonts w:ascii="Times New Roman" w:hAnsi="Times New Roman"/>
        </w:rPr>
        <w:t xml:space="preserve">Sekcia informatizácie spoločnosti súhlasí s predkladateľom, že predmetný materiál nemá vplyv na informatizáciu spoločnosti. </w:t>
      </w:r>
    </w:p>
    <w:p w:rsidR="007C60E8" w:rsidRPr="00D96724" w:rsidP="007C60E8">
      <w:pPr>
        <w:pStyle w:val="NormalWeb"/>
        <w:bidi w:val="0"/>
        <w:spacing w:before="0" w:beforeAutospacing="0" w:after="0" w:afterAutospacing="0"/>
        <w:jc w:val="both"/>
        <w:rPr>
          <w:rFonts w:ascii="Times New Roman" w:hAnsi="Times New Roman"/>
          <w:b/>
          <w:bCs/>
        </w:rPr>
      </w:pPr>
      <w:r w:rsidRPr="00D96724">
        <w:rPr>
          <w:rFonts w:ascii="Times New Roman" w:hAnsi="Times New Roman"/>
          <w:color w:val="000000"/>
        </w:rPr>
        <w:t>Sekcia rozpočtovej politiky súhlasí s predloženými vplyvmi na rozpočet verejnej správy.</w:t>
      </w:r>
      <w:r w:rsidRPr="00D96724">
        <w:rPr>
          <w:rFonts w:ascii="Times New Roman" w:hAnsi="Times New Roman"/>
        </w:rPr>
        <w:t> </w:t>
      </w:r>
    </w:p>
    <w:p w:rsidR="007C60E8" w:rsidP="007C60E8">
      <w:pPr>
        <w:bidi w:val="0"/>
        <w:jc w:val="both"/>
        <w:rPr>
          <w:rFonts w:ascii="Arial Narrow" w:hAnsi="Arial Narrow"/>
          <w:color w:val="000000"/>
          <w:sz w:val="22"/>
          <w:szCs w:val="22"/>
        </w:rPr>
      </w:pPr>
    </w:p>
    <w:p w:rsidR="007C60E8" w:rsidP="007C60E8">
      <w:pPr>
        <w:bidi w:val="0"/>
        <w:jc w:val="both"/>
        <w:rPr>
          <w:rFonts w:ascii="Times New Roman" w:hAnsi="Times New Roman"/>
          <w:color w:val="000000"/>
        </w:rPr>
      </w:pPr>
      <w:r w:rsidRPr="00EE3A8A">
        <w:rPr>
          <w:rFonts w:ascii="Times New Roman" w:hAnsi="Times New Roman"/>
          <w:color w:val="000000"/>
        </w:rPr>
        <w:t>Ministerstvo pôdohospodárstva, životného prostredia a regionálneho rozvoja SR súhlasí                s predloženou doložkou vybraných vplyvov bez pripomienok.</w:t>
      </w:r>
    </w:p>
    <w:p w:rsidR="007C60E8" w:rsidP="007C60E8">
      <w:pPr>
        <w:pStyle w:val="NormalWeb"/>
        <w:bidi w:val="0"/>
        <w:jc w:val="both"/>
        <w:rPr>
          <w:rFonts w:ascii="Times New Roman" w:hAnsi="Times New Roman"/>
        </w:rPr>
      </w:pPr>
      <w:r>
        <w:rPr>
          <w:rFonts w:ascii="Times New Roman" w:hAnsi="Times New Roman"/>
          <w:color w:val="000000"/>
        </w:rPr>
        <w:t xml:space="preserve">Ministerstvo hospodárstva a výstavby SR má </w:t>
      </w:r>
      <w:r>
        <w:rPr>
          <w:rFonts w:ascii="Times New Roman" w:hAnsi="Times New Roman"/>
        </w:rPr>
        <w:t xml:space="preserve">k </w:t>
      </w:r>
      <w:r w:rsidRPr="00D90128">
        <w:rPr>
          <w:rFonts w:ascii="Times New Roman" w:hAnsi="Times New Roman"/>
        </w:rPr>
        <w:t>doložk</w:t>
      </w:r>
      <w:r>
        <w:rPr>
          <w:rFonts w:ascii="Times New Roman" w:hAnsi="Times New Roman"/>
        </w:rPr>
        <w:t>e</w:t>
      </w:r>
      <w:r w:rsidRPr="00D90128">
        <w:rPr>
          <w:rFonts w:ascii="Times New Roman" w:hAnsi="Times New Roman"/>
        </w:rPr>
        <w:t xml:space="preserve"> vybraných vplyvov </w:t>
      </w:r>
      <w:r>
        <w:rPr>
          <w:rFonts w:ascii="Times New Roman" w:hAnsi="Times New Roman"/>
        </w:rPr>
        <w:t>predloženého návrhu zákona nasledovné pripomienky:</w:t>
      </w:r>
    </w:p>
    <w:p w:rsidR="007C60E8" w:rsidRPr="00291532" w:rsidP="007C60E8">
      <w:pPr>
        <w:bidi w:val="0"/>
        <w:jc w:val="both"/>
        <w:rPr>
          <w:rFonts w:ascii="Times New Roman" w:hAnsi="Times New Roman"/>
          <w:bCs/>
          <w:color w:val="000000"/>
        </w:rPr>
      </w:pPr>
      <w:r w:rsidRPr="00291532">
        <w:rPr>
          <w:rFonts w:ascii="Times New Roman" w:hAnsi="Times New Roman"/>
          <w:bCs/>
          <w:color w:val="000000"/>
        </w:rPr>
        <w:t>V zmysle vplyvov na PP žiadame predkladateľa o doplnenie údajov od poskytovateľov služieb v autobusovej a osobnej doprave. Aký to bude mať dopad na cestovné, resp. reálne odhadnúť a taktiež žiadame doplniť v doložke vplyvov na PP v časti 3.4 kvantitatívny údaj, o koľko by sa zvýšili prevádzkové náklady pre podnikateľov zvýšením spotrebnej dani. (aspoň expertný odhad)</w:t>
      </w:r>
    </w:p>
    <w:p w:rsidR="007C60E8" w:rsidP="007C60E8">
      <w:pPr>
        <w:bidi w:val="0"/>
        <w:rPr>
          <w:rFonts w:ascii="Arial" w:hAnsi="Arial" w:cs="Arial"/>
          <w:b/>
          <w:bCs/>
          <w:color w:val="000000"/>
          <w:sz w:val="20"/>
          <w:szCs w:val="20"/>
        </w:rPr>
      </w:pPr>
    </w:p>
    <w:p w:rsidR="007C60E8" w:rsidP="007C60E8">
      <w:pPr>
        <w:pStyle w:val="NormalWeb"/>
        <w:bidi w:val="0"/>
        <w:jc w:val="both"/>
        <w:rPr>
          <w:rFonts w:ascii="Times New Roman" w:hAnsi="Times New Roman"/>
        </w:rPr>
      </w:pPr>
      <w:r w:rsidRPr="00D90128">
        <w:rPr>
          <w:rFonts w:ascii="Times New Roman" w:hAnsi="Times New Roman"/>
        </w:rPr>
        <w:t>Ministerstvo pr</w:t>
      </w:r>
      <w:r>
        <w:rPr>
          <w:rFonts w:ascii="Times New Roman" w:hAnsi="Times New Roman"/>
        </w:rPr>
        <w:t>áce, sociálnych vecí a rodiny SR</w:t>
      </w:r>
      <w:r w:rsidRPr="00D90128">
        <w:rPr>
          <w:rFonts w:ascii="Times New Roman" w:hAnsi="Times New Roman"/>
        </w:rPr>
        <w:t xml:space="preserve"> </w:t>
      </w:r>
      <w:r>
        <w:rPr>
          <w:rFonts w:ascii="Times New Roman" w:hAnsi="Times New Roman"/>
        </w:rPr>
        <w:t xml:space="preserve">má k </w:t>
      </w:r>
      <w:r w:rsidRPr="00D90128">
        <w:rPr>
          <w:rFonts w:ascii="Times New Roman" w:hAnsi="Times New Roman"/>
        </w:rPr>
        <w:t>doložk</w:t>
      </w:r>
      <w:r>
        <w:rPr>
          <w:rFonts w:ascii="Times New Roman" w:hAnsi="Times New Roman"/>
        </w:rPr>
        <w:t>e</w:t>
      </w:r>
      <w:r w:rsidRPr="00D90128">
        <w:rPr>
          <w:rFonts w:ascii="Times New Roman" w:hAnsi="Times New Roman"/>
        </w:rPr>
        <w:t xml:space="preserve"> vybraných vplyvov </w:t>
      </w:r>
      <w:r>
        <w:rPr>
          <w:rFonts w:ascii="Times New Roman" w:hAnsi="Times New Roman"/>
        </w:rPr>
        <w:t xml:space="preserve">v časti sociálne vplyvy pripravenou </w:t>
      </w:r>
      <w:r w:rsidRPr="00095EC2">
        <w:rPr>
          <w:rFonts w:ascii="Times New Roman" w:hAnsi="Times New Roman"/>
        </w:rPr>
        <w:t>k</w:t>
      </w:r>
      <w:r>
        <w:rPr>
          <w:rFonts w:ascii="Times New Roman" w:hAnsi="Times New Roman"/>
        </w:rPr>
        <w:t> predloženému návrhu zákona nasledovné pripomienky:</w:t>
      </w:r>
    </w:p>
    <w:p w:rsidR="007C60E8" w:rsidP="007C60E8">
      <w:pPr>
        <w:pStyle w:val="NormalWeb"/>
        <w:numPr>
          <w:numId w:val="1"/>
        </w:numPr>
        <w:bidi w:val="0"/>
        <w:spacing w:before="0" w:beforeAutospacing="0" w:after="0" w:afterAutospacing="0"/>
        <w:jc w:val="both"/>
        <w:rPr>
          <w:rFonts w:ascii="Times New Roman" w:hAnsi="Times New Roman"/>
        </w:rPr>
      </w:pPr>
      <w:r>
        <w:rPr>
          <w:rFonts w:ascii="Times New Roman" w:hAnsi="Times New Roman"/>
        </w:rPr>
        <w:t xml:space="preserve">V sumárnej časti doložky vybraných vplyvov nie je potrebné uvádzať vplyvy po jednotlivých kategóriách sociálnych vplyvov, na to slúži podrobná tabuľka v prílohe č. 4 jednotnej metodiky. </w:t>
      </w:r>
    </w:p>
    <w:p w:rsidR="007C60E8" w:rsidRPr="00EB7796" w:rsidP="007C60E8">
      <w:pPr>
        <w:pStyle w:val="NormalWeb"/>
        <w:numPr>
          <w:numId w:val="1"/>
        </w:numPr>
        <w:bidi w:val="0"/>
        <w:spacing w:before="0" w:beforeAutospacing="0" w:after="0" w:afterAutospacing="0"/>
        <w:jc w:val="both"/>
        <w:rPr>
          <w:rFonts w:ascii="Times New Roman" w:hAnsi="Times New Roman"/>
        </w:rPr>
      </w:pPr>
      <w:r>
        <w:rPr>
          <w:rFonts w:ascii="Times New Roman" w:hAnsi="Times New Roman"/>
        </w:rPr>
        <w:t xml:space="preserve">V analýze vplyvov v časti 4.1 žiadame uvádzať, že zákon bude mať </w:t>
      </w:r>
      <w:r w:rsidRPr="00386E62">
        <w:rPr>
          <w:rFonts w:ascii="Times New Roman" w:hAnsi="Times New Roman"/>
          <w:i/>
        </w:rPr>
        <w:t>negatívny</w:t>
      </w:r>
      <w:r>
        <w:rPr>
          <w:rFonts w:ascii="Times New Roman" w:hAnsi="Times New Roman"/>
        </w:rPr>
        <w:t xml:space="preserve"> vplyv na hospodárenie domácností. Zároveň žiadame doplniť percentuálne údaje o domácnostiach počtami ovplyvnených domácností v jednotlivých kategóriách.</w:t>
      </w:r>
    </w:p>
    <w:p w:rsidR="007C60E8" w:rsidRPr="007F689D" w:rsidP="007C60E8">
      <w:pPr>
        <w:bidi w:val="0"/>
        <w:spacing w:line="280" w:lineRule="atLeast"/>
        <w:jc w:val="both"/>
        <w:rPr>
          <w:rFonts w:ascii="Times New Roman" w:hAnsi="Times New Roman"/>
          <w:b/>
          <w:bCs/>
        </w:rPr>
      </w:pPr>
    </w:p>
    <w:p w:rsidR="007C60E8" w:rsidRPr="007F689D" w:rsidP="007C60E8">
      <w:pPr>
        <w:bidi w:val="0"/>
        <w:spacing w:line="280" w:lineRule="atLeast"/>
        <w:rPr>
          <w:rFonts w:ascii="Times New Roman" w:hAnsi="Times New Roman"/>
        </w:rPr>
      </w:pPr>
    </w:p>
    <w:p w:rsidR="00FF1BFC">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rsidRPr="00691FED" w:rsidP="007C60E8">
      <w:pPr>
        <w:bidi w:val="0"/>
        <w:jc w:val="center"/>
        <w:rPr>
          <w:rFonts w:ascii="Times New Roman" w:hAnsi="Times New Roman"/>
          <w:b/>
          <w:bCs/>
        </w:rPr>
      </w:pPr>
      <w:r w:rsidRPr="00691FED">
        <w:rPr>
          <w:rFonts w:ascii="Times New Roman" w:hAnsi="Times New Roman"/>
          <w:b/>
          <w:bCs/>
        </w:rPr>
        <w:t>Vplyvy na rozpočet verejnej správy,</w:t>
      </w:r>
    </w:p>
    <w:p w:rsidR="007C60E8" w:rsidRPr="00691FED" w:rsidP="007C60E8">
      <w:pPr>
        <w:bidi w:val="0"/>
        <w:jc w:val="center"/>
        <w:rPr>
          <w:rFonts w:ascii="Times New Roman" w:hAnsi="Times New Roman"/>
          <w:b/>
          <w:bCs/>
        </w:rPr>
      </w:pPr>
      <w:r w:rsidRPr="00691FED">
        <w:rPr>
          <w:rFonts w:ascii="Times New Roman" w:hAnsi="Times New Roman"/>
          <w:b/>
          <w:bCs/>
        </w:rPr>
        <w:t>na zamestnanosť vo verejnej správe a financovanie návrhu</w:t>
      </w:r>
    </w:p>
    <w:p w:rsidR="007C60E8" w:rsidRPr="00691FED" w:rsidP="007C60E8">
      <w:pPr>
        <w:bidi w:val="0"/>
        <w:rPr>
          <w:rFonts w:ascii="Times New Roman" w:hAnsi="Times New Roman"/>
        </w:rPr>
      </w:pPr>
    </w:p>
    <w:p w:rsidR="007C60E8" w:rsidRPr="00691FED" w:rsidP="007C60E8">
      <w:pPr>
        <w:bidi w:val="0"/>
        <w:rPr>
          <w:rFonts w:ascii="Times New Roman" w:hAnsi="Times New Roman"/>
          <w:b/>
        </w:rPr>
      </w:pPr>
      <w:r w:rsidRPr="00691FED">
        <w:rPr>
          <w:rFonts w:ascii="Times New Roman" w:hAnsi="Times New Roman"/>
          <w:b/>
        </w:rPr>
        <w:t>2.1. Zhrnutie vplyvov na rozpočet verejnej správy v návrhu</w:t>
      </w:r>
    </w:p>
    <w:p w:rsidR="007C60E8" w:rsidRPr="00691FED" w:rsidP="007C60E8">
      <w:pPr>
        <w:bidi w:val="0"/>
        <w:jc w:val="right"/>
        <w:rPr>
          <w:rFonts w:ascii="Times New Roman" w:hAnsi="Times New Roman"/>
        </w:rPr>
      </w:pPr>
      <w:r w:rsidRPr="00691FED">
        <w:rPr>
          <w:rFonts w:ascii="Times New Roman" w:hAnsi="Times New Roman"/>
        </w:rPr>
        <w:t xml:space="preserve">Tabuľka č. 1 </w:t>
      </w:r>
    </w:p>
    <w:tbl>
      <w:tblPr>
        <w:tblStyle w:val="TableNormal"/>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7C60E8" w:rsidRPr="00691FED" w:rsidP="001D3864">
            <w:pPr>
              <w:bidi w:val="0"/>
              <w:jc w:val="center"/>
              <w:rPr>
                <w:rFonts w:ascii="Times New Roman" w:hAnsi="Times New Roman"/>
                <w:b/>
                <w:bCs/>
                <w:color w:val="FFFFFF"/>
              </w:rPr>
            </w:pPr>
            <w:bookmarkStart w:id="0" w:name="OLE_LINK1"/>
            <w:r w:rsidRPr="00691FED">
              <w:rPr>
                <w:rFonts w:ascii="Times New Roman" w:hAnsi="Times New Roman"/>
                <w:b/>
                <w:bCs/>
                <w:color w:val="FFFFFF"/>
              </w:rPr>
              <w:t xml:space="preserve">Vplyvy na </w:t>
            </w:r>
            <w:r w:rsidRPr="00691FED">
              <w:rPr>
                <w:rFonts w:ascii="Times New Roman" w:hAnsi="Times New Roman"/>
                <w:b/>
                <w:bCs/>
              </w:rPr>
              <w:t>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7C60E8" w:rsidP="001D3864">
            <w:pPr>
              <w:bidi w:val="0"/>
              <w:jc w:val="center"/>
              <w:rPr>
                <w:rFonts w:ascii="Times New Roman" w:hAnsi="Times New Roman"/>
                <w:b/>
                <w:bCs/>
                <w:color w:val="FFFFFF"/>
              </w:rPr>
            </w:pPr>
            <w:r w:rsidRPr="00691FED">
              <w:rPr>
                <w:rFonts w:ascii="Times New Roman" w:hAnsi="Times New Roman"/>
                <w:b/>
                <w:bCs/>
                <w:color w:val="FFFFFF"/>
              </w:rPr>
              <w:t xml:space="preserve">Vplyv na rozpočet verejnej správy </w:t>
            </w:r>
            <w:r>
              <w:rPr>
                <w:rFonts w:ascii="Times New Roman" w:hAnsi="Times New Roman"/>
                <w:b/>
                <w:bCs/>
                <w:color w:val="FFFFFF"/>
              </w:rPr>
              <w:t xml:space="preserve">v ESA 95 </w:t>
            </w:r>
          </w:p>
          <w:p w:rsidR="007C60E8" w:rsidRPr="00691FED" w:rsidP="001D3864">
            <w:pPr>
              <w:bidi w:val="0"/>
              <w:jc w:val="center"/>
              <w:rPr>
                <w:rFonts w:ascii="Times New Roman" w:hAnsi="Times New Roman"/>
                <w:b/>
                <w:bCs/>
                <w:color w:val="FFFFFF"/>
              </w:rPr>
            </w:pPr>
            <w:r w:rsidRPr="00691FED">
              <w:rPr>
                <w:rFonts w:ascii="Times New Roman" w:hAnsi="Times New Roman"/>
                <w:b/>
                <w:bCs/>
              </w:rPr>
              <w:t>(v mil. eur)</w:t>
            </w:r>
          </w:p>
        </w:tc>
      </w:tr>
      <w:tr>
        <w:tblPrEx>
          <w:tblW w:w="9729" w:type="dxa"/>
          <w:jc w:val="center"/>
          <w:tblInd w:w="-479" w:type="dxa"/>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textDirection w:val="lrTb"/>
            <w:vAlign w:val="center"/>
          </w:tcPr>
          <w:p w:rsidR="007C60E8" w:rsidRPr="00691FED" w:rsidP="001D3864">
            <w:pPr>
              <w:bidi w:val="0"/>
              <w:jc w:val="center"/>
              <w:rPr>
                <w:rFonts w:ascii="Times New Roman" w:hAnsi="Times New Roman"/>
                <w:b/>
                <w:bCs/>
                <w:color w:val="FFFFFF"/>
              </w:rPr>
            </w:pP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7C60E8" w:rsidRPr="00691FED" w:rsidP="001D3864">
            <w:pPr>
              <w:bidi w:val="0"/>
              <w:jc w:val="center"/>
              <w:rPr>
                <w:rFonts w:ascii="Times New Roman" w:hAnsi="Times New Roman"/>
                <w:b/>
                <w:bCs/>
                <w:color w:val="FFFFFF"/>
              </w:rPr>
            </w:pPr>
            <w:r w:rsidRPr="00691FED">
              <w:rPr>
                <w:rFonts w:ascii="Times New Roman" w:hAnsi="Times New Roman"/>
                <w:b/>
                <w:bCs/>
                <w:color w:val="FFFFFF"/>
              </w:rPr>
              <w:t>2011</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7C60E8" w:rsidRPr="00691FED" w:rsidP="001D3864">
            <w:pPr>
              <w:bidi w:val="0"/>
              <w:jc w:val="center"/>
              <w:rPr>
                <w:rFonts w:ascii="Times New Roman" w:hAnsi="Times New Roman"/>
                <w:b/>
                <w:bCs/>
                <w:color w:val="FFFFFF"/>
              </w:rPr>
            </w:pPr>
            <w:r w:rsidRPr="00691FED">
              <w:rPr>
                <w:rFonts w:ascii="Times New Roman" w:hAnsi="Times New Roman"/>
                <w:b/>
                <w:bCs/>
                <w:color w:val="FFFFFF"/>
              </w:rPr>
              <w:t>2012</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7C60E8" w:rsidRPr="00691FED" w:rsidP="001D3864">
            <w:pPr>
              <w:bidi w:val="0"/>
              <w:jc w:val="center"/>
              <w:rPr>
                <w:rFonts w:ascii="Times New Roman" w:hAnsi="Times New Roman"/>
                <w:b/>
                <w:bCs/>
                <w:color w:val="FFFFFF"/>
              </w:rPr>
            </w:pPr>
            <w:r w:rsidRPr="00691FED">
              <w:rPr>
                <w:rFonts w:ascii="Times New Roman" w:hAnsi="Times New Roman"/>
                <w:b/>
                <w:bCs/>
                <w:color w:val="FFFFFF"/>
              </w:rPr>
              <w:t>2013</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7C60E8" w:rsidRPr="00691FED" w:rsidP="001D3864">
            <w:pPr>
              <w:bidi w:val="0"/>
              <w:jc w:val="center"/>
              <w:rPr>
                <w:rFonts w:ascii="Times New Roman" w:hAnsi="Times New Roman"/>
                <w:b/>
                <w:bCs/>
                <w:color w:val="FFFFFF"/>
              </w:rPr>
            </w:pPr>
            <w:r w:rsidRPr="00691FED">
              <w:rPr>
                <w:rFonts w:ascii="Times New Roman" w:hAnsi="Times New Roman"/>
                <w:b/>
                <w:bCs/>
                <w:color w:val="FFFFFF"/>
              </w:rPr>
              <w:t>2014</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C60E8" w:rsidRPr="00691FED" w:rsidP="001D3864">
            <w:pPr>
              <w:bidi w:val="0"/>
              <w:rPr>
                <w:rFonts w:ascii="Times New Roman" w:hAnsi="Times New Roman"/>
              </w:rPr>
            </w:pPr>
            <w:r w:rsidRPr="00691FED">
              <w:rPr>
                <w:rFonts w:ascii="Times New Roman" w:hAnsi="Times New Roman"/>
                <w:b/>
                <w:bCs/>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C60E8" w:rsidRPr="00691FED" w:rsidP="001D3864">
            <w:pPr>
              <w:bidi w:val="0"/>
              <w:jc w:val="right"/>
              <w:rPr>
                <w:rFonts w:ascii="Times New Roman" w:hAnsi="Times New Roman"/>
                <w:b/>
                <w:bCs/>
              </w:rPr>
            </w:pPr>
            <w:r w:rsidRPr="00691FED">
              <w:rPr>
                <w:rFonts w:ascii="Times New Roman" w:hAnsi="Times New Roman"/>
                <w:b/>
                <w:bCs/>
              </w:rPr>
              <w:t>8,6</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C60E8" w:rsidRPr="00691FED" w:rsidP="001D3864">
            <w:pPr>
              <w:bidi w:val="0"/>
              <w:jc w:val="right"/>
              <w:rPr>
                <w:rFonts w:ascii="Times New Roman" w:hAnsi="Times New Roman"/>
                <w:b/>
                <w:bCs/>
              </w:rPr>
            </w:pPr>
            <w:r w:rsidRPr="00691FED">
              <w:rPr>
                <w:rFonts w:ascii="Times New Roman" w:hAnsi="Times New Roman"/>
                <w:b/>
                <w:bCs/>
              </w:rPr>
              <w:t>14,2</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C60E8" w:rsidRPr="00691FED" w:rsidP="001D3864">
            <w:pPr>
              <w:bidi w:val="0"/>
              <w:jc w:val="right"/>
              <w:rPr>
                <w:rFonts w:ascii="Times New Roman" w:hAnsi="Times New Roman"/>
                <w:b/>
                <w:bCs/>
              </w:rPr>
            </w:pPr>
            <w:r w:rsidRPr="00691FED">
              <w:rPr>
                <w:rFonts w:ascii="Times New Roman" w:hAnsi="Times New Roman"/>
                <w:b/>
                <w:bCs/>
              </w:rPr>
              <w:t>14,2</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C60E8" w:rsidRPr="00691FED" w:rsidP="001D3864">
            <w:pPr>
              <w:bidi w:val="0"/>
              <w:jc w:val="right"/>
              <w:rPr>
                <w:rFonts w:ascii="Times New Roman" w:hAnsi="Times New Roman"/>
                <w:b/>
                <w:bCs/>
              </w:rPr>
            </w:pPr>
            <w:r w:rsidRPr="00691FED">
              <w:rPr>
                <w:rFonts w:ascii="Times New Roman" w:hAnsi="Times New Roman"/>
                <w:b/>
                <w:bCs/>
              </w:rPr>
              <w:t>14,2</w:t>
            </w:r>
          </w:p>
        </w:tc>
      </w:tr>
      <w:tr>
        <w:tblPrEx>
          <w:tblW w:w="9729" w:type="dxa"/>
          <w:jc w:val="center"/>
          <w:tblInd w:w="-479" w:type="dxa"/>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rPr>
                <w:rFonts w:ascii="Times New Roman" w:hAnsi="Times New Roman"/>
              </w:rPr>
            </w:pPr>
            <w:r w:rsidRPr="00691FED">
              <w:rPr>
                <w:rFonts w:ascii="Times New Roman" w:hAnsi="Times New Roman"/>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rPr>
            </w:pPr>
            <w:r w:rsidRPr="00691FED">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rPr>
            </w:pPr>
            <w:r w:rsidRPr="00691FED">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rPr>
            </w:pPr>
            <w:r w:rsidRPr="00691FED">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rPr>
            </w:pPr>
            <w:r w:rsidRPr="00691FED">
              <w:rPr>
                <w:rFonts w:ascii="Times New Roman" w:hAnsi="Times New Roman"/>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rPr>
                <w:rFonts w:ascii="Times New Roman" w:hAnsi="Times New Roman"/>
                <w:b/>
                <w:bCs/>
                <w:i/>
                <w:iCs/>
              </w:rPr>
            </w:pPr>
            <w:r w:rsidRPr="00691FED">
              <w:rPr>
                <w:rFonts w:ascii="Times New Roman" w:hAnsi="Times New Roman"/>
                <w:b/>
                <w:bCs/>
                <w:i/>
                <w:iCs/>
              </w:rPr>
              <w:t>z toho:</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b/>
                <w:bCs/>
                <w:i/>
                <w:iCs/>
              </w:rPr>
            </w:pP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rPr>
                <w:rFonts w:ascii="Times New Roman" w:hAnsi="Times New Roman"/>
                <w:b/>
                <w:bCs/>
                <w:i/>
                <w:iCs/>
              </w:rPr>
            </w:pPr>
            <w:r w:rsidRPr="00691FED">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b/>
                <w:bCs/>
                <w:i/>
                <w:iCs/>
              </w:rPr>
            </w:pPr>
            <w:r w:rsidRPr="00691FED">
              <w:rPr>
                <w:rFonts w:ascii="Times New Roman" w:hAnsi="Times New Roman"/>
                <w:b/>
                <w:bCs/>
                <w:i/>
                <w:iCs/>
              </w:rPr>
              <w:t>8,6</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b/>
                <w:bCs/>
                <w:i/>
                <w:iCs/>
              </w:rPr>
            </w:pPr>
            <w:r w:rsidRPr="00691FED">
              <w:rPr>
                <w:rFonts w:ascii="Times New Roman" w:hAnsi="Times New Roman"/>
                <w:b/>
                <w:bCs/>
                <w:i/>
                <w:iCs/>
              </w:rPr>
              <w:t>14,2</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b/>
                <w:bCs/>
                <w:i/>
                <w:iCs/>
              </w:rPr>
            </w:pPr>
            <w:r w:rsidRPr="00691FED">
              <w:rPr>
                <w:rFonts w:ascii="Times New Roman" w:hAnsi="Times New Roman"/>
                <w:b/>
                <w:bCs/>
                <w:i/>
                <w:iCs/>
              </w:rPr>
              <w:t>14,2</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b/>
                <w:bCs/>
                <w:i/>
                <w:iCs/>
              </w:rPr>
            </w:pPr>
            <w:r w:rsidRPr="00691FED">
              <w:rPr>
                <w:rFonts w:ascii="Times New Roman" w:hAnsi="Times New Roman"/>
                <w:b/>
                <w:bCs/>
                <w:i/>
                <w:iCs/>
              </w:rPr>
              <w:t>14,2</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rPr>
                <w:rFonts w:ascii="Times New Roman" w:hAnsi="Times New Roman"/>
                <w:b/>
                <w:bCs/>
                <w:i/>
                <w:iCs/>
              </w:rPr>
            </w:pPr>
            <w:r w:rsidRPr="00691FED">
              <w:rPr>
                <w:rFonts w:ascii="Times New Roman" w:hAnsi="Times New Roman"/>
                <w:b/>
                <w:bCs/>
                <w:i/>
                <w:iCs/>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b/>
                <w:bCs/>
                <w:i/>
                <w:iCs/>
              </w:rPr>
            </w:pPr>
            <w:r w:rsidRPr="00691FED">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b/>
                <w:bCs/>
                <w:i/>
                <w:iCs/>
              </w:rPr>
            </w:pPr>
            <w:r w:rsidRPr="00691FED">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b/>
                <w:bCs/>
                <w:i/>
                <w:iCs/>
              </w:rPr>
            </w:pPr>
            <w:r w:rsidRPr="00691FED">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b/>
                <w:bCs/>
                <w:i/>
                <w:iCs/>
              </w:rPr>
            </w:pPr>
            <w:r w:rsidRPr="00691FED">
              <w:rPr>
                <w:rFonts w:ascii="Times New Roman" w:hAnsi="Times New Roman"/>
                <w:b/>
                <w:bCs/>
                <w:i/>
                <w:iCs/>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C60E8" w:rsidRPr="00691FED" w:rsidP="001D3864">
            <w:pPr>
              <w:bidi w:val="0"/>
              <w:rPr>
                <w:rFonts w:ascii="Times New Roman" w:hAnsi="Times New Roman"/>
                <w:b/>
                <w:bCs/>
              </w:rPr>
            </w:pPr>
            <w:r w:rsidRPr="00691FED">
              <w:rPr>
                <w:rFonts w:ascii="Times New Roman" w:hAnsi="Times New Roman"/>
                <w:b/>
                <w:bCs/>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C60E8" w:rsidRPr="00691FED" w:rsidP="001D3864">
            <w:pPr>
              <w:bidi w:val="0"/>
              <w:jc w:val="right"/>
              <w:rPr>
                <w:rFonts w:ascii="Times New Roman" w:hAnsi="Times New Roman"/>
                <w:b/>
                <w:bCs/>
              </w:rPr>
            </w:pPr>
            <w:r w:rsidRPr="00691FED">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C60E8" w:rsidRPr="00691FED" w:rsidP="001D3864">
            <w:pPr>
              <w:bidi w:val="0"/>
              <w:jc w:val="right"/>
              <w:rPr>
                <w:rFonts w:ascii="Times New Roman" w:hAnsi="Times New Roman"/>
                <w:b/>
                <w:bCs/>
              </w:rPr>
            </w:pPr>
            <w:r w:rsidRPr="00691FED">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C60E8" w:rsidRPr="00691FED" w:rsidP="001D3864">
            <w:pPr>
              <w:bidi w:val="0"/>
              <w:jc w:val="right"/>
              <w:rPr>
                <w:rFonts w:ascii="Times New Roman" w:hAnsi="Times New Roman"/>
                <w:b/>
                <w:bCs/>
              </w:rPr>
            </w:pPr>
            <w:r w:rsidRPr="00691FED">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C60E8" w:rsidRPr="00691FED" w:rsidP="001D3864">
            <w:pPr>
              <w:bidi w:val="0"/>
              <w:jc w:val="right"/>
              <w:rPr>
                <w:rFonts w:ascii="Times New Roman" w:hAnsi="Times New Roman"/>
                <w:b/>
                <w:bCs/>
              </w:rPr>
            </w:pPr>
            <w:r w:rsidRPr="00691FED">
              <w:rPr>
                <w:rFonts w:ascii="Times New Roman" w:hAnsi="Times New Roman"/>
                <w:b/>
                <w:bCs/>
              </w:rPr>
              <w:t xml:space="preserve">0   </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rPr>
                <w:rFonts w:ascii="Times New Roman" w:hAnsi="Times New Roman"/>
              </w:rPr>
            </w:pPr>
            <w:r w:rsidRPr="00691FED">
              <w:rPr>
                <w:rFonts w:ascii="Times New Roman" w:hAnsi="Times New Roman"/>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rPr>
            </w:pPr>
            <w:r w:rsidRPr="00691FED">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rPr>
            </w:pPr>
            <w:r w:rsidRPr="00691FED">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rPr>
            </w:pPr>
            <w:r w:rsidRPr="00691FED">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rPr>
            </w:pPr>
            <w:r w:rsidRPr="00691FED">
              <w:rPr>
                <w:rFonts w:ascii="Times New Roman" w:hAnsi="Times New Roman"/>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rPr>
                <w:rFonts w:ascii="Times New Roman" w:hAnsi="Times New Roman"/>
                <w:b/>
                <w:bCs/>
                <w:i/>
                <w:iCs/>
              </w:rPr>
            </w:pPr>
            <w:r w:rsidRPr="00691FED">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b/>
                <w:bCs/>
                <w:i/>
                <w:iCs/>
              </w:rPr>
            </w:pP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rPr>
                <w:rFonts w:ascii="Times New Roman" w:hAnsi="Times New Roman"/>
                <w:b/>
                <w:bCs/>
                <w:i/>
                <w:iCs/>
              </w:rPr>
            </w:pPr>
            <w:r w:rsidRPr="00691FED">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b/>
                <w:bCs/>
                <w:i/>
                <w:iCs/>
              </w:rPr>
            </w:pPr>
            <w:r w:rsidRPr="00691FED">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b/>
                <w:bCs/>
                <w:i/>
                <w:iCs/>
              </w:rPr>
            </w:pPr>
            <w:r w:rsidRPr="00691FED">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b/>
                <w:bCs/>
                <w:i/>
                <w:iCs/>
              </w:rPr>
            </w:pPr>
            <w:r w:rsidRPr="00691FED">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b/>
                <w:bCs/>
                <w:i/>
                <w:iCs/>
              </w:rPr>
            </w:pPr>
            <w:r w:rsidRPr="00691FED">
              <w:rPr>
                <w:rFonts w:ascii="Times New Roman" w:hAnsi="Times New Roman"/>
                <w:b/>
                <w:bCs/>
                <w:i/>
                <w:iCs/>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rPr>
                <w:rFonts w:ascii="Times New Roman" w:hAnsi="Times New Roman"/>
                <w:b/>
                <w:bCs/>
                <w:i/>
                <w:iCs/>
              </w:rPr>
            </w:pPr>
            <w:r w:rsidRPr="00691FED">
              <w:rPr>
                <w:rFonts w:ascii="Times New Roman" w:hAnsi="Times New Roman"/>
                <w:b/>
                <w:bCs/>
                <w:i/>
                <w:iCs/>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b/>
                <w:bCs/>
                <w:i/>
                <w:iCs/>
              </w:rPr>
            </w:pPr>
            <w:r w:rsidRPr="00691FED">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b/>
                <w:bCs/>
                <w:i/>
                <w:iCs/>
              </w:rPr>
            </w:pPr>
            <w:r w:rsidRPr="00691FED">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b/>
                <w:bCs/>
                <w:i/>
                <w:iCs/>
              </w:rPr>
            </w:pPr>
            <w:r w:rsidRPr="00691FED">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b/>
                <w:bCs/>
                <w:i/>
                <w:iCs/>
              </w:rPr>
            </w:pPr>
            <w:r w:rsidRPr="00691FED">
              <w:rPr>
                <w:rFonts w:ascii="Times New Roman" w:hAnsi="Times New Roman"/>
                <w:b/>
                <w:bCs/>
                <w:i/>
                <w:iCs/>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C60E8" w:rsidRPr="00691FED" w:rsidP="001D3864">
            <w:pPr>
              <w:bidi w:val="0"/>
              <w:rPr>
                <w:rFonts w:ascii="Times New Roman" w:hAnsi="Times New Roman"/>
                <w:b/>
                <w:bCs/>
              </w:rPr>
            </w:pPr>
            <w:r w:rsidRPr="00691FED">
              <w:rPr>
                <w:rFonts w:ascii="Times New Roman" w:hAnsi="Times New Roman"/>
                <w:b/>
                <w:bCs/>
              </w:rPr>
              <w:t xml:space="preserve">Celková zamestnanosť </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C60E8" w:rsidRPr="00691FED" w:rsidP="001D3864">
            <w:pPr>
              <w:bidi w:val="0"/>
              <w:jc w:val="right"/>
              <w:rPr>
                <w:rFonts w:ascii="Times New Roman" w:hAnsi="Times New Roman"/>
                <w:b/>
                <w:bCs/>
              </w:rPr>
            </w:pPr>
            <w:r w:rsidRPr="00691FED">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C60E8" w:rsidRPr="00691FED" w:rsidP="001D3864">
            <w:pPr>
              <w:bidi w:val="0"/>
              <w:jc w:val="right"/>
              <w:rPr>
                <w:rFonts w:ascii="Times New Roman" w:hAnsi="Times New Roman"/>
                <w:b/>
                <w:bCs/>
              </w:rPr>
            </w:pPr>
            <w:r w:rsidRPr="00691FED">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C60E8" w:rsidRPr="00691FED" w:rsidP="001D3864">
            <w:pPr>
              <w:bidi w:val="0"/>
              <w:jc w:val="right"/>
              <w:rPr>
                <w:rFonts w:ascii="Times New Roman" w:hAnsi="Times New Roman"/>
                <w:b/>
                <w:bCs/>
              </w:rPr>
            </w:pPr>
            <w:r w:rsidRPr="00691FED">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C60E8" w:rsidRPr="00691FED" w:rsidP="001D3864">
            <w:pPr>
              <w:bidi w:val="0"/>
              <w:jc w:val="right"/>
              <w:rPr>
                <w:rFonts w:ascii="Times New Roman" w:hAnsi="Times New Roman"/>
                <w:b/>
                <w:bCs/>
              </w:rPr>
            </w:pPr>
            <w:r w:rsidRPr="00691FED">
              <w:rPr>
                <w:rFonts w:ascii="Times New Roman" w:hAnsi="Times New Roman"/>
                <w:b/>
                <w:bCs/>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rPr>
                <w:rFonts w:ascii="Times New Roman" w:hAnsi="Times New Roman"/>
              </w:rPr>
            </w:pPr>
            <w:r w:rsidRPr="00691FED">
              <w:rPr>
                <w:rFonts w:ascii="Times New Roman" w:hAnsi="Times New Roman"/>
                <w:b/>
                <w:i/>
              </w:rPr>
              <w:t>- z toho vplyv na ŠR</w:t>
            </w:r>
            <w:r w:rsidRPr="00691FED">
              <w:rPr>
                <w:rFonts w:ascii="Times New Roman" w:hAnsi="Times New Roman"/>
              </w:rPr>
              <w:t xml:space="preserve">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i/>
              </w:rPr>
            </w:pPr>
            <w:r w:rsidRPr="00691FED">
              <w:rPr>
                <w:rFonts w:ascii="Times New Roman" w:hAnsi="Times New Roman"/>
                <w:i/>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i/>
              </w:rPr>
            </w:pPr>
            <w:r w:rsidRPr="00691FED">
              <w:rPr>
                <w:rFonts w:ascii="Times New Roman" w:hAnsi="Times New Roman"/>
                <w:i/>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i/>
              </w:rPr>
            </w:pPr>
            <w:r w:rsidRPr="00691FED">
              <w:rPr>
                <w:rFonts w:ascii="Times New Roman" w:hAnsi="Times New Roman"/>
                <w:i/>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i/>
              </w:rPr>
            </w:pPr>
            <w:r w:rsidRPr="00691FED">
              <w:rPr>
                <w:rFonts w:ascii="Times New Roman" w:hAnsi="Times New Roman"/>
                <w:i/>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C60E8" w:rsidRPr="00691FED" w:rsidP="001D3864">
            <w:pPr>
              <w:bidi w:val="0"/>
              <w:rPr>
                <w:rFonts w:ascii="Times New Roman" w:hAnsi="Times New Roman"/>
                <w:b/>
                <w:bCs/>
              </w:rPr>
            </w:pPr>
            <w:r w:rsidRPr="00691FED">
              <w:rPr>
                <w:rFonts w:ascii="Times New Roman" w:hAnsi="Times New Roman"/>
                <w:b/>
                <w:bCs/>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C60E8" w:rsidRPr="00691FED" w:rsidP="001D3864">
            <w:pPr>
              <w:bidi w:val="0"/>
              <w:jc w:val="right"/>
              <w:rPr>
                <w:rFonts w:ascii="Times New Roman" w:hAnsi="Times New Roman"/>
                <w:b/>
                <w:bCs/>
              </w:rPr>
            </w:pPr>
            <w:r w:rsidRPr="00691FED">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C60E8" w:rsidRPr="00691FED" w:rsidP="001D3864">
            <w:pPr>
              <w:bidi w:val="0"/>
              <w:jc w:val="right"/>
              <w:rPr>
                <w:rFonts w:ascii="Times New Roman" w:hAnsi="Times New Roman"/>
                <w:b/>
                <w:bCs/>
              </w:rPr>
            </w:pPr>
            <w:r w:rsidRPr="00691FED">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C60E8" w:rsidRPr="00691FED" w:rsidP="001D3864">
            <w:pPr>
              <w:bidi w:val="0"/>
              <w:jc w:val="right"/>
              <w:rPr>
                <w:rFonts w:ascii="Times New Roman" w:hAnsi="Times New Roman"/>
                <w:b/>
                <w:bCs/>
              </w:rPr>
            </w:pPr>
            <w:r w:rsidRPr="00691FED">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C60E8" w:rsidRPr="00691FED" w:rsidP="001D3864">
            <w:pPr>
              <w:bidi w:val="0"/>
              <w:jc w:val="right"/>
              <w:rPr>
                <w:rFonts w:ascii="Times New Roman" w:hAnsi="Times New Roman"/>
                <w:b/>
                <w:bCs/>
              </w:rPr>
            </w:pPr>
            <w:r w:rsidRPr="00691FED">
              <w:rPr>
                <w:rFonts w:ascii="Times New Roman" w:hAnsi="Times New Roman"/>
                <w:b/>
                <w:bCs/>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rPr>
                <w:rFonts w:ascii="Times New Roman" w:hAnsi="Times New Roman"/>
              </w:rPr>
            </w:pPr>
            <w:r w:rsidRPr="00691FED">
              <w:rPr>
                <w:rFonts w:ascii="Times New Roman" w:hAnsi="Times New Roman"/>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i/>
              </w:rPr>
            </w:pPr>
            <w:r w:rsidRPr="00691FED">
              <w:rPr>
                <w:rFonts w:ascii="Times New Roman" w:hAnsi="Times New Roman"/>
                <w:i/>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i/>
              </w:rPr>
            </w:pPr>
            <w:r w:rsidRPr="00691FED">
              <w:rPr>
                <w:rFonts w:ascii="Times New Roman" w:hAnsi="Times New Roman"/>
                <w:i/>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i/>
              </w:rPr>
            </w:pPr>
            <w:r w:rsidRPr="00691FED">
              <w:rPr>
                <w:rFonts w:ascii="Times New Roman" w:hAnsi="Times New Roman"/>
                <w:i/>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60E8" w:rsidRPr="00691FED" w:rsidP="001D3864">
            <w:pPr>
              <w:bidi w:val="0"/>
              <w:jc w:val="right"/>
              <w:rPr>
                <w:rFonts w:ascii="Times New Roman" w:hAnsi="Times New Roman"/>
                <w:i/>
              </w:rPr>
            </w:pPr>
            <w:r w:rsidRPr="00691FED">
              <w:rPr>
                <w:rFonts w:ascii="Times New Roman" w:hAnsi="Times New Roman"/>
                <w:i/>
              </w:rPr>
              <w:t>0</w:t>
            </w:r>
          </w:p>
        </w:tc>
      </w:tr>
    </w:tbl>
    <w:p w:rsidR="007C60E8" w:rsidRPr="00691FED" w:rsidP="007C60E8">
      <w:pPr>
        <w:bidi w:val="0"/>
        <w:rPr>
          <w:rFonts w:ascii="Times New Roman" w:hAnsi="Times New Roman"/>
        </w:rPr>
      </w:pPr>
      <w:bookmarkEnd w:id="0"/>
    </w:p>
    <w:p w:rsidR="007C60E8" w:rsidRPr="00691FED" w:rsidP="007C60E8">
      <w:pPr>
        <w:bidi w:val="0"/>
        <w:rPr>
          <w:rFonts w:ascii="Times New Roman" w:hAnsi="Times New Roman"/>
          <w:b/>
          <w:bCs/>
        </w:rPr>
      </w:pPr>
      <w:r w:rsidRPr="00691FED">
        <w:rPr>
          <w:rFonts w:ascii="Times New Roman" w:hAnsi="Times New Roman"/>
          <w:b/>
          <w:bCs/>
        </w:rPr>
        <w:t>2.2. Financovanie návrhu</w:t>
      </w:r>
    </w:p>
    <w:p w:rsidR="007C60E8" w:rsidRPr="00691FED" w:rsidP="007C60E8">
      <w:pPr>
        <w:bidi w:val="0"/>
        <w:jc w:val="both"/>
        <w:rPr>
          <w:rFonts w:ascii="Times New Roman" w:hAnsi="Times New Roman"/>
          <w:b/>
          <w:bCs/>
        </w:rPr>
      </w:pPr>
    </w:p>
    <w:p w:rsidR="007C60E8" w:rsidRPr="00691FED" w:rsidP="007C60E8">
      <w:pPr>
        <w:pStyle w:val="Zkladntext"/>
        <w:bidi w:val="0"/>
        <w:ind w:firstLine="708"/>
        <w:jc w:val="both"/>
        <w:rPr>
          <w:rFonts w:ascii="Times New Roman" w:hAnsi="Times New Roman"/>
          <w:bCs/>
        </w:rPr>
      </w:pPr>
      <w:r w:rsidRPr="00691FED">
        <w:rPr>
          <w:rFonts w:ascii="Times New Roman" w:hAnsi="Times New Roman"/>
          <w:bCs/>
        </w:rPr>
        <w:t>Návrh zákona, ktorým sa mení a dopĺňa zákon</w:t>
      </w:r>
      <w:r w:rsidRPr="00691FED">
        <w:rPr>
          <w:rFonts w:ascii="Times New Roman" w:hAnsi="Times New Roman"/>
          <w:b/>
          <w:bCs/>
        </w:rPr>
        <w:t xml:space="preserve"> </w:t>
      </w:r>
      <w:r w:rsidRPr="00691FED">
        <w:rPr>
          <w:rFonts w:ascii="Times New Roman" w:hAnsi="Times New Roman"/>
          <w:bCs/>
        </w:rPr>
        <w:t xml:space="preserve">č. 609/2007 Z. z. o spotrebnej dani z </w:t>
      </w:r>
      <w:r w:rsidRPr="00691FED">
        <w:rPr>
          <w:rFonts w:ascii="Times New Roman" w:hAnsi="Times New Roman"/>
        </w:rPr>
        <w:t xml:space="preserve">elektriny, uhlia a zemného plynu a o zmene a doplnení zákona č. 98/2004 Z. z. o spotrebnej dani z </w:t>
      </w:r>
      <w:r w:rsidRPr="00691FED">
        <w:rPr>
          <w:rFonts w:ascii="Times New Roman" w:hAnsi="Times New Roman"/>
          <w:bCs/>
        </w:rPr>
        <w:t xml:space="preserve">minerálneho oleja v znení neskorších predpisov </w:t>
      </w:r>
      <w:r>
        <w:rPr>
          <w:rFonts w:ascii="Times New Roman" w:hAnsi="Times New Roman"/>
          <w:bCs/>
        </w:rPr>
        <w:t xml:space="preserve">v znení neskorších predpisov </w:t>
      </w:r>
      <w:r w:rsidRPr="00691FED">
        <w:rPr>
          <w:rFonts w:ascii="Times New Roman" w:hAnsi="Times New Roman"/>
          <w:bCs/>
        </w:rPr>
        <w:t>(ďalej len „zákon“) nemá vplyv na financovanie verejnej správy, z tohto dôvodu sa tabuľka – financovanie návrhu (tabuľka č. 2) nepredkladá.</w:t>
      </w:r>
    </w:p>
    <w:p w:rsidR="007C60E8" w:rsidRPr="00691FED" w:rsidP="007C60E8">
      <w:pPr>
        <w:bidi w:val="0"/>
        <w:rPr>
          <w:rFonts w:ascii="Times New Roman" w:hAnsi="Times New Roman"/>
          <w:b/>
          <w:bCs/>
        </w:rPr>
      </w:pPr>
    </w:p>
    <w:p w:rsidR="007C60E8" w:rsidRPr="00691FED" w:rsidP="007C60E8">
      <w:pPr>
        <w:bidi w:val="0"/>
        <w:rPr>
          <w:rFonts w:ascii="Times New Roman" w:hAnsi="Times New Roman"/>
          <w:b/>
          <w:bCs/>
        </w:rPr>
      </w:pPr>
      <w:r w:rsidRPr="00691FED">
        <w:rPr>
          <w:rFonts w:ascii="Times New Roman" w:hAnsi="Times New Roman"/>
          <w:b/>
          <w:bCs/>
        </w:rPr>
        <w:t>2.3. Popis a charakteristika návrhu</w:t>
      </w:r>
    </w:p>
    <w:p w:rsidR="007C60E8" w:rsidRPr="00691FED" w:rsidP="007C60E8">
      <w:pPr>
        <w:bidi w:val="0"/>
        <w:rPr>
          <w:rFonts w:ascii="Times New Roman" w:hAnsi="Times New Roman"/>
        </w:rPr>
      </w:pPr>
    </w:p>
    <w:p w:rsidR="007C60E8" w:rsidRPr="00691FED" w:rsidP="007C60E8">
      <w:pPr>
        <w:bidi w:val="0"/>
        <w:jc w:val="both"/>
        <w:rPr>
          <w:rFonts w:ascii="Times New Roman" w:hAnsi="Times New Roman"/>
          <w:b/>
          <w:bCs/>
        </w:rPr>
      </w:pPr>
      <w:r w:rsidRPr="00691FED">
        <w:rPr>
          <w:rFonts w:ascii="Times New Roman" w:hAnsi="Times New Roman"/>
          <w:b/>
          <w:bCs/>
        </w:rPr>
        <w:t>2.3.1. Popis návrhu:</w:t>
      </w:r>
    </w:p>
    <w:p w:rsidR="007C60E8" w:rsidRPr="00691FED" w:rsidP="007C60E8">
      <w:pPr>
        <w:bidi w:val="0"/>
        <w:rPr>
          <w:rFonts w:ascii="Times New Roman" w:hAnsi="Times New Roman"/>
        </w:rPr>
      </w:pPr>
    </w:p>
    <w:p w:rsidR="007C60E8" w:rsidRPr="00691FED" w:rsidP="007C60E8">
      <w:pPr>
        <w:bidi w:val="0"/>
        <w:ind w:firstLine="708"/>
        <w:jc w:val="both"/>
        <w:rPr>
          <w:rFonts w:ascii="Times New Roman" w:hAnsi="Times New Roman"/>
        </w:rPr>
      </w:pPr>
      <w:r w:rsidRPr="00691FED">
        <w:rPr>
          <w:rFonts w:ascii="Times New Roman" w:hAnsi="Times New Roman"/>
        </w:rPr>
        <w:t>Vzhľadom k tomu, že smernica  Rady 2003/96/ES o reštrukturalizácii právneho rámca spoločenstva pre zdaňovanie energetických výrobkov a elektriny neumožňuje oslobodenie od spotrebnej dane na uhlie a zemný plyn použité teplárenskými spoločnosťami na výrobu tepla, sa tieto oslobodenia od spotrebnej dane vypúšťajú. Zároveň sa vypúšťa oslobodenie od spotrebnej dane zemného plynu (CNG)</w:t>
      </w:r>
      <w:r>
        <w:rPr>
          <w:rFonts w:ascii="Times New Roman" w:hAnsi="Times New Roman"/>
        </w:rPr>
        <w:t>,</w:t>
      </w:r>
      <w:r w:rsidRPr="00691FED">
        <w:rPr>
          <w:rFonts w:ascii="Times New Roman" w:hAnsi="Times New Roman"/>
        </w:rPr>
        <w:t xml:space="preserve"> ktorý je používaný ako pohonná látka.</w:t>
      </w:r>
    </w:p>
    <w:p w:rsidR="007C60E8" w:rsidRPr="00691FED" w:rsidP="007C60E8">
      <w:pPr>
        <w:bidi w:val="0"/>
        <w:jc w:val="both"/>
        <w:rPr>
          <w:rFonts w:ascii="Times New Roman" w:hAnsi="Times New Roman"/>
        </w:rPr>
      </w:pPr>
    </w:p>
    <w:p w:rsidR="007C60E8" w:rsidRPr="00691FED" w:rsidP="007C60E8">
      <w:pPr>
        <w:bidi w:val="0"/>
        <w:rPr>
          <w:rFonts w:ascii="Times New Roman" w:hAnsi="Times New Roman"/>
          <w:b/>
          <w:bCs/>
        </w:rPr>
      </w:pPr>
      <w:r w:rsidRPr="00691FED">
        <w:rPr>
          <w:rFonts w:ascii="Times New Roman" w:hAnsi="Times New Roman"/>
          <w:b/>
          <w:bCs/>
        </w:rPr>
        <w:t>2.3.2. Charakteristika návrhu podľa bodu 2.3.2. Metodiky:</w:t>
      </w:r>
    </w:p>
    <w:p w:rsidR="007C60E8" w:rsidRPr="00691FED" w:rsidP="007C60E8">
      <w:pPr>
        <w:bidi w:val="0"/>
        <w:rPr>
          <w:rFonts w:ascii="Times New Roman" w:hAnsi="Times New Roman"/>
        </w:rPr>
      </w:pPr>
    </w:p>
    <w:p w:rsidR="007C60E8" w:rsidRPr="00691FED" w:rsidP="007C60E8">
      <w:pPr>
        <w:pStyle w:val="BodyText"/>
        <w:bidi w:val="0"/>
        <w:rPr>
          <w:rFonts w:ascii="Times New Roman" w:hAnsi="Times New Roman"/>
          <w:b/>
        </w:rPr>
      </w:pPr>
      <w:r w:rsidRPr="00691FED">
        <w:rPr>
          <w:rFonts w:ascii="Times New Roman" w:hAnsi="Times New Roman"/>
          <w:bdr w:val="single" w:sz="4" w:space="0" w:color="auto"/>
        </w:rPr>
        <w:t xml:space="preserve">     </w:t>
      </w:r>
      <w:r w:rsidRPr="00691FED">
        <w:rPr>
          <w:rFonts w:ascii="Times New Roman" w:hAnsi="Times New Roman"/>
        </w:rPr>
        <w:t xml:space="preserve">  </w:t>
      </w:r>
      <w:r w:rsidRPr="00691FED">
        <w:rPr>
          <w:rFonts w:ascii="Times New Roman" w:hAnsi="Times New Roman"/>
          <w:b/>
        </w:rPr>
        <w:t>zmena sadzby</w:t>
      </w:r>
    </w:p>
    <w:p w:rsidR="007C60E8" w:rsidRPr="00691FED" w:rsidP="007C60E8">
      <w:pPr>
        <w:pStyle w:val="BodyText"/>
        <w:bidi w:val="0"/>
        <w:rPr>
          <w:rFonts w:ascii="Times New Roman" w:hAnsi="Times New Roman"/>
          <w:b/>
        </w:rPr>
      </w:pPr>
      <w:r w:rsidRPr="00691FED">
        <w:rPr>
          <w:rFonts w:ascii="Times New Roman" w:hAnsi="Times New Roman"/>
          <w:b/>
          <w:bdr w:val="single" w:sz="4" w:space="0" w:color="auto"/>
        </w:rPr>
        <w:t xml:space="preserve">     </w:t>
      </w:r>
      <w:r w:rsidRPr="00691FED">
        <w:rPr>
          <w:rFonts w:ascii="Times New Roman" w:hAnsi="Times New Roman"/>
          <w:b/>
        </w:rPr>
        <w:t xml:space="preserve">  zmena v nároku</w:t>
      </w:r>
    </w:p>
    <w:p w:rsidR="007C60E8" w:rsidRPr="00691FED" w:rsidP="007C60E8">
      <w:pPr>
        <w:pStyle w:val="BodyText"/>
        <w:bidi w:val="0"/>
        <w:rPr>
          <w:rFonts w:ascii="Times New Roman" w:hAnsi="Times New Roman"/>
          <w:b/>
        </w:rPr>
      </w:pPr>
      <w:r w:rsidRPr="00691FED">
        <w:rPr>
          <w:rFonts w:ascii="Times New Roman" w:hAnsi="Times New Roman"/>
          <w:b/>
          <w:bdr w:val="single" w:sz="4" w:space="0" w:color="auto"/>
        </w:rPr>
        <w:t xml:space="preserve">     </w:t>
      </w:r>
      <w:r w:rsidRPr="00691FED">
        <w:rPr>
          <w:rFonts w:ascii="Times New Roman" w:hAnsi="Times New Roman"/>
          <w:b/>
        </w:rPr>
        <w:t xml:space="preserve">  nová služba alebo nariadenie (alebo ich zrušenie)</w:t>
      </w:r>
    </w:p>
    <w:p w:rsidR="007C60E8" w:rsidRPr="00691FED" w:rsidP="007C60E8">
      <w:pPr>
        <w:pStyle w:val="BodyText"/>
        <w:bidi w:val="0"/>
        <w:rPr>
          <w:rFonts w:ascii="Times New Roman" w:hAnsi="Times New Roman"/>
          <w:b/>
        </w:rPr>
      </w:pPr>
      <w:r w:rsidRPr="00691FED">
        <w:rPr>
          <w:rFonts w:ascii="Times New Roman" w:hAnsi="Times New Roman"/>
          <w:b/>
          <w:bdr w:val="single" w:sz="4" w:space="0" w:color="auto"/>
        </w:rPr>
        <w:t xml:space="preserve">     </w:t>
      </w:r>
      <w:r w:rsidRPr="00691FED">
        <w:rPr>
          <w:rFonts w:ascii="Times New Roman" w:hAnsi="Times New Roman"/>
          <w:b/>
        </w:rPr>
        <w:t xml:space="preserve">  kombinovaný návrh</w:t>
      </w:r>
    </w:p>
    <w:p w:rsidR="007C60E8" w:rsidRPr="00691FED" w:rsidP="007C60E8">
      <w:pPr>
        <w:pStyle w:val="BodyText"/>
        <w:bidi w:val="0"/>
        <w:rPr>
          <w:rFonts w:ascii="Times New Roman" w:hAnsi="Times New Roman"/>
          <w:b/>
        </w:rPr>
      </w:pPr>
      <w:r w:rsidRPr="00691FED">
        <w:rPr>
          <w:rFonts w:ascii="Times New Roman" w:hAnsi="Times New Roman"/>
          <w:b/>
          <w:bdr w:val="single" w:sz="4" w:space="0" w:color="auto"/>
        </w:rPr>
        <w:t xml:space="preserve"> </w:t>
      </w:r>
      <w:r w:rsidRPr="00691FED">
        <w:rPr>
          <w:rFonts w:ascii="Times New Roman" w:hAnsi="Times New Roman"/>
          <w:bdr w:val="single" w:sz="4" w:space="0" w:color="auto"/>
        </w:rPr>
        <w:t>X</w:t>
      </w:r>
      <w:r w:rsidRPr="00691FED">
        <w:rPr>
          <w:rFonts w:ascii="Times New Roman" w:hAnsi="Times New Roman"/>
          <w:b/>
          <w:bdr w:val="single" w:sz="4" w:space="0" w:color="auto"/>
        </w:rPr>
        <w:t xml:space="preserve"> </w:t>
      </w:r>
      <w:r w:rsidRPr="00691FED">
        <w:rPr>
          <w:rFonts w:ascii="Times New Roman" w:hAnsi="Times New Roman"/>
          <w:b/>
        </w:rPr>
        <w:t xml:space="preserve">  iné </w:t>
      </w:r>
    </w:p>
    <w:p w:rsidR="007C60E8" w:rsidRPr="00691FED" w:rsidP="007C60E8">
      <w:pPr>
        <w:bidi w:val="0"/>
        <w:ind w:firstLine="708"/>
        <w:jc w:val="both"/>
        <w:rPr>
          <w:rFonts w:ascii="Times New Roman" w:hAnsi="Times New Roman"/>
        </w:rPr>
      </w:pPr>
      <w:r w:rsidRPr="00691FED">
        <w:rPr>
          <w:rFonts w:ascii="Times New Roman" w:hAnsi="Times New Roman"/>
        </w:rPr>
        <w:t xml:space="preserve">Uhlie a zemný plyn použité teplárenskými spoločnosťami na výrobu tepla sa bude na základe návrhu zákona zdaňovať spotrebnou daňou, a to </w:t>
      </w:r>
      <w:r>
        <w:rPr>
          <w:rFonts w:ascii="Times New Roman" w:hAnsi="Times New Roman"/>
        </w:rPr>
        <w:t xml:space="preserve">zemný plyn </w:t>
      </w:r>
      <w:r w:rsidRPr="00691FED">
        <w:rPr>
          <w:rFonts w:ascii="Times New Roman" w:hAnsi="Times New Roman"/>
        </w:rPr>
        <w:t>vo výške 1,32 eura/MWh</w:t>
      </w:r>
      <w:r>
        <w:rPr>
          <w:rFonts w:ascii="Times New Roman" w:hAnsi="Times New Roman"/>
        </w:rPr>
        <w:t xml:space="preserve"> a uhlie vo výške 10,62 eura/t</w:t>
      </w:r>
      <w:r w:rsidRPr="00691FED">
        <w:rPr>
          <w:rFonts w:ascii="Times New Roman" w:hAnsi="Times New Roman"/>
        </w:rPr>
        <w:t xml:space="preserve">. Zemný plyn (CNG) používaný ako pohonná látka sa bude na základe návrhu zákona zdaňovať spotrebnou daňou, a to výške 13,27 eura/MWh. </w:t>
      </w:r>
    </w:p>
    <w:p w:rsidR="007C60E8" w:rsidRPr="00691FED" w:rsidP="007C60E8">
      <w:pPr>
        <w:bidi w:val="0"/>
        <w:rPr>
          <w:rFonts w:ascii="Times New Roman" w:hAnsi="Times New Roman"/>
        </w:rPr>
      </w:pPr>
    </w:p>
    <w:p w:rsidR="007C60E8" w:rsidRPr="00691FED" w:rsidP="007C60E8">
      <w:pPr>
        <w:bidi w:val="0"/>
        <w:rPr>
          <w:rFonts w:ascii="Times New Roman" w:hAnsi="Times New Roman"/>
        </w:rPr>
      </w:pPr>
      <w:r w:rsidRPr="00691FED">
        <w:rPr>
          <w:rFonts w:ascii="Times New Roman" w:hAnsi="Times New Roman"/>
          <w:b/>
          <w:bCs/>
        </w:rPr>
        <w:t>2.3.3. Predpoklady vývoja objemu aktivít:</w:t>
      </w:r>
    </w:p>
    <w:p w:rsidR="007C60E8" w:rsidRPr="00691FED" w:rsidP="007C60E8">
      <w:pPr>
        <w:bidi w:val="0"/>
        <w:rPr>
          <w:rFonts w:ascii="Times New Roman" w:hAnsi="Times New Roman"/>
        </w:rPr>
      </w:pPr>
    </w:p>
    <w:p w:rsidR="007C60E8" w:rsidRPr="00691FED" w:rsidP="007C60E8">
      <w:pPr>
        <w:pStyle w:val="BodyText"/>
        <w:tabs>
          <w:tab w:val="num" w:pos="1080"/>
        </w:tabs>
        <w:bidi w:val="0"/>
        <w:jc w:val="both"/>
        <w:rPr>
          <w:rFonts w:ascii="Times New Roman" w:hAnsi="Times New Roman"/>
          <w:b/>
          <w:bCs/>
        </w:rPr>
      </w:pPr>
      <w:r w:rsidRPr="00691FED">
        <w:rPr>
          <w:rFonts w:ascii="Times New Roman" w:hAnsi="Times New Roman"/>
          <w:b/>
          <w:bCs/>
        </w:rPr>
        <w:t>Návrh zákona nemá vplyv na objem aktivít, z tohto dôvodu sa tabuľka č. 3 – objem aktivít nepredkladá.</w:t>
      </w:r>
    </w:p>
    <w:p w:rsidR="007C60E8" w:rsidRPr="00691FED" w:rsidP="007C60E8">
      <w:pPr>
        <w:bidi w:val="0"/>
        <w:rPr>
          <w:rFonts w:ascii="Times New Roman" w:hAnsi="Times New Roman"/>
        </w:rPr>
      </w:pPr>
    </w:p>
    <w:p w:rsidR="007C60E8" w:rsidRPr="00691FED" w:rsidP="007C60E8">
      <w:pPr>
        <w:bidi w:val="0"/>
        <w:rPr>
          <w:rFonts w:ascii="Times New Roman" w:hAnsi="Times New Roman"/>
          <w:b/>
          <w:bCs/>
        </w:rPr>
      </w:pPr>
      <w:r w:rsidRPr="00691FED">
        <w:rPr>
          <w:rFonts w:ascii="Times New Roman" w:hAnsi="Times New Roman"/>
          <w:b/>
          <w:bCs/>
        </w:rPr>
        <w:t>2.3.4. Výpočty vplyvov na verejné financie</w:t>
      </w:r>
    </w:p>
    <w:p w:rsidR="007C60E8" w:rsidRPr="00691FED" w:rsidP="007C60E8">
      <w:pPr>
        <w:bidi w:val="0"/>
        <w:rPr>
          <w:rFonts w:ascii="Times New Roman" w:hAnsi="Times New Roman"/>
        </w:rPr>
      </w:pPr>
    </w:p>
    <w:p w:rsidR="007C60E8" w:rsidRPr="00691FED" w:rsidP="007C60E8">
      <w:pPr>
        <w:pStyle w:val="BodyText21"/>
        <w:overflowPunct/>
        <w:autoSpaceDE/>
        <w:autoSpaceDN/>
        <w:bidi w:val="0"/>
        <w:adjustRightInd/>
        <w:textAlignment w:val="auto"/>
        <w:rPr>
          <w:rFonts w:ascii="Times New Roman" w:hAnsi="Times New Roman"/>
          <w:szCs w:val="24"/>
        </w:rPr>
      </w:pPr>
    </w:p>
    <w:p w:rsidR="007C60E8" w:rsidRPr="00691FED" w:rsidP="007C60E8">
      <w:pPr>
        <w:pStyle w:val="BodyText"/>
        <w:tabs>
          <w:tab w:val="num" w:pos="1080"/>
        </w:tabs>
        <w:bidi w:val="0"/>
        <w:jc w:val="both"/>
        <w:rPr>
          <w:rFonts w:ascii="Times New Roman" w:hAnsi="Times New Roman"/>
          <w:b/>
          <w:bCs/>
        </w:rPr>
      </w:pPr>
    </w:p>
    <w:p w:rsidR="007C60E8" w:rsidRPr="00691FED" w:rsidP="007C60E8">
      <w:pPr>
        <w:pStyle w:val="BodyText"/>
        <w:tabs>
          <w:tab w:val="num" w:pos="1080"/>
        </w:tabs>
        <w:bidi w:val="0"/>
        <w:jc w:val="both"/>
        <w:rPr>
          <w:rFonts w:ascii="Times New Roman" w:hAnsi="Times New Roman"/>
          <w:b/>
          <w:bCs/>
        </w:rPr>
      </w:pPr>
    </w:p>
    <w:p w:rsidR="007C60E8" w:rsidRPr="00691FED" w:rsidP="007C60E8">
      <w:pPr>
        <w:pStyle w:val="BodyText"/>
        <w:tabs>
          <w:tab w:val="num" w:pos="1080"/>
        </w:tabs>
        <w:bidi w:val="0"/>
        <w:jc w:val="both"/>
        <w:rPr>
          <w:rFonts w:ascii="Times New Roman" w:hAnsi="Times New Roman"/>
          <w:b/>
          <w:bCs/>
        </w:rPr>
      </w:pPr>
    </w:p>
    <w:p w:rsidR="007C60E8" w:rsidRPr="00691FED" w:rsidP="007C60E8">
      <w:pPr>
        <w:pStyle w:val="BodyText"/>
        <w:tabs>
          <w:tab w:val="num" w:pos="1080"/>
        </w:tabs>
        <w:bidi w:val="0"/>
        <w:jc w:val="both"/>
        <w:rPr>
          <w:rFonts w:ascii="Times New Roman" w:hAnsi="Times New Roman"/>
          <w:b/>
          <w:bCs/>
        </w:rPr>
      </w:pPr>
    </w:p>
    <w:p w:rsidR="007C60E8" w:rsidRPr="00691FED" w:rsidP="007C60E8">
      <w:pPr>
        <w:pStyle w:val="BodyText"/>
        <w:tabs>
          <w:tab w:val="num" w:pos="1080"/>
        </w:tabs>
        <w:bidi w:val="0"/>
        <w:jc w:val="both"/>
        <w:rPr>
          <w:rFonts w:ascii="Times New Roman" w:hAnsi="Times New Roman"/>
          <w:b/>
          <w:bCs/>
        </w:rPr>
      </w:pPr>
    </w:p>
    <w:p w:rsidR="007C60E8" w:rsidRPr="00691FED" w:rsidP="007C60E8">
      <w:pPr>
        <w:pStyle w:val="BodyText"/>
        <w:tabs>
          <w:tab w:val="num" w:pos="1080"/>
        </w:tabs>
        <w:bidi w:val="0"/>
        <w:jc w:val="both"/>
        <w:rPr>
          <w:rFonts w:ascii="Times New Roman" w:hAnsi="Times New Roman"/>
          <w:b/>
          <w:bCs/>
        </w:rPr>
      </w:pPr>
    </w:p>
    <w:p w:rsidR="007C60E8" w:rsidRPr="00691FED" w:rsidP="007C60E8">
      <w:pPr>
        <w:pStyle w:val="BodyText"/>
        <w:tabs>
          <w:tab w:val="num" w:pos="1080"/>
        </w:tabs>
        <w:bidi w:val="0"/>
        <w:jc w:val="both"/>
        <w:rPr>
          <w:rFonts w:ascii="Times New Roman" w:hAnsi="Times New Roman"/>
          <w:b/>
          <w:bCs/>
        </w:rPr>
      </w:pPr>
    </w:p>
    <w:p w:rsidR="007C60E8" w:rsidRPr="00691FED" w:rsidP="007C60E8">
      <w:pPr>
        <w:pStyle w:val="BodyText"/>
        <w:tabs>
          <w:tab w:val="num" w:pos="1080"/>
        </w:tabs>
        <w:bidi w:val="0"/>
        <w:jc w:val="both"/>
        <w:rPr>
          <w:rFonts w:ascii="Times New Roman" w:hAnsi="Times New Roman"/>
          <w:b/>
          <w:bCs/>
        </w:rPr>
      </w:pPr>
    </w:p>
    <w:p w:rsidR="007C60E8" w:rsidRPr="00691FED" w:rsidP="007C60E8">
      <w:pPr>
        <w:pStyle w:val="BodyText"/>
        <w:tabs>
          <w:tab w:val="num" w:pos="1080"/>
        </w:tabs>
        <w:bidi w:val="0"/>
        <w:jc w:val="both"/>
        <w:rPr>
          <w:rFonts w:ascii="Times New Roman" w:hAnsi="Times New Roman"/>
          <w:b/>
          <w:bCs/>
        </w:rPr>
      </w:pPr>
    </w:p>
    <w:p w:rsidR="007C60E8" w:rsidRPr="00691FED" w:rsidP="007C60E8">
      <w:pPr>
        <w:pStyle w:val="BodyText"/>
        <w:tabs>
          <w:tab w:val="num" w:pos="1080"/>
        </w:tabs>
        <w:bidi w:val="0"/>
        <w:jc w:val="both"/>
        <w:rPr>
          <w:rFonts w:ascii="Times New Roman" w:hAnsi="Times New Roman"/>
          <w:b/>
          <w:bCs/>
        </w:rPr>
      </w:pPr>
    </w:p>
    <w:p w:rsidR="007C60E8" w:rsidRPr="00691FED" w:rsidP="007C60E8">
      <w:pPr>
        <w:pStyle w:val="BodyText"/>
        <w:tabs>
          <w:tab w:val="num" w:pos="1080"/>
        </w:tabs>
        <w:bidi w:val="0"/>
        <w:jc w:val="both"/>
        <w:rPr>
          <w:rFonts w:ascii="Times New Roman" w:hAnsi="Times New Roman"/>
          <w:b/>
          <w:bCs/>
        </w:rPr>
        <w:sectPr w:rsidSect="00832DC7">
          <w:footerReference w:type="even" r:id="rId4"/>
          <w:footerReference w:type="default" r:id="rId5"/>
          <w:footerReference w:type="first" r:id="rId6"/>
          <w:pgSz w:w="11906" w:h="16838"/>
          <w:pgMar w:top="1134" w:right="1418" w:bottom="1134" w:left="1418" w:header="709" w:footer="709" w:gutter="0"/>
          <w:lnNumType w:distance="0"/>
          <w:cols w:space="708"/>
          <w:noEndnote w:val="0"/>
          <w:titlePg/>
          <w:bidi w:val="0"/>
          <w:docGrid w:linePitch="360"/>
        </w:sectPr>
      </w:pPr>
    </w:p>
    <w:p w:rsidR="007C60E8" w:rsidRPr="00691FED" w:rsidP="007C60E8">
      <w:pPr>
        <w:pStyle w:val="BodyText"/>
        <w:tabs>
          <w:tab w:val="num" w:pos="1080"/>
        </w:tabs>
        <w:bidi w:val="0"/>
        <w:jc w:val="right"/>
        <w:rPr>
          <w:rFonts w:ascii="Times New Roman" w:hAnsi="Times New Roman"/>
          <w:b/>
          <w:bCs/>
        </w:rPr>
      </w:pPr>
      <w:r w:rsidRPr="00691FED">
        <w:rPr>
          <w:rFonts w:ascii="Times New Roman" w:hAnsi="Times New Roman"/>
          <w:b/>
          <w:bCs/>
        </w:rPr>
        <w:t xml:space="preserve">Tabuľka č. 4 </w:t>
      </w:r>
    </w:p>
    <w:p w:rsidR="007C60E8" w:rsidRPr="00691FED" w:rsidP="007C60E8">
      <w:pPr>
        <w:pStyle w:val="BodyText"/>
        <w:tabs>
          <w:tab w:val="num" w:pos="1080"/>
        </w:tabs>
        <w:bidi w:val="0"/>
        <w:jc w:val="both"/>
        <w:rPr>
          <w:rFonts w:ascii="Times New Roman" w:hAnsi="Times New Roman"/>
          <w:b/>
          <w:bCs/>
        </w:rPr>
      </w:pPr>
    </w:p>
    <w:tbl>
      <w:tblPr>
        <w:tblStyle w:val="TableNormal"/>
        <w:tblpPr w:leftFromText="141" w:rightFromText="141" w:horzAnchor="margin" w:tblpXSpec="center" w:tblpY="533"/>
        <w:tblW w:w="13111" w:type="dxa"/>
        <w:tblCellMar>
          <w:left w:w="70" w:type="dxa"/>
          <w:right w:w="70" w:type="dxa"/>
        </w:tblCellMar>
      </w:tblPr>
      <w:tblGrid>
        <w:gridCol w:w="4950"/>
        <w:gridCol w:w="1500"/>
        <w:gridCol w:w="1500"/>
        <w:gridCol w:w="1500"/>
        <w:gridCol w:w="1500"/>
        <w:gridCol w:w="2161"/>
      </w:tblGrid>
      <w:tr>
        <w:tblPrEx>
          <w:tblW w:w="13111"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7C60E8" w:rsidRPr="00691FED" w:rsidP="001D3864">
            <w:pPr>
              <w:bidi w:val="0"/>
              <w:jc w:val="center"/>
              <w:rPr>
                <w:rFonts w:ascii="Times New Roman" w:hAnsi="Times New Roman"/>
                <w:b/>
                <w:bCs/>
                <w:color w:val="FFFFFF"/>
              </w:rPr>
            </w:pPr>
            <w:r w:rsidRPr="00691FED">
              <w:rPr>
                <w:rFonts w:ascii="Times New Roman" w:hAnsi="Times New Roman"/>
                <w:b/>
                <w:bCs/>
                <w:color w:val="FFFFFF"/>
              </w:rPr>
              <w:t>Príjmy (v mil. eur)</w:t>
            </w:r>
          </w:p>
        </w:tc>
        <w:tc>
          <w:tcPr>
            <w:tcW w:w="600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7C60E8" w:rsidRPr="00691FED" w:rsidP="001D3864">
            <w:pPr>
              <w:bidi w:val="0"/>
              <w:jc w:val="center"/>
              <w:rPr>
                <w:rFonts w:ascii="Times New Roman" w:hAnsi="Times New Roman"/>
                <w:b/>
                <w:bCs/>
                <w:color w:val="FFFFFF"/>
              </w:rPr>
            </w:pPr>
            <w:r w:rsidRPr="00691FED">
              <w:rPr>
                <w:rFonts w:ascii="Times New Roman" w:hAnsi="Times New Roman"/>
                <w:b/>
                <w:bCs/>
                <w:color w:val="FFFFFF"/>
              </w:rPr>
              <w:t>Vplyv na rozpočet verejnej správy</w:t>
            </w:r>
            <w:r>
              <w:rPr>
                <w:rFonts w:ascii="Times New Roman" w:hAnsi="Times New Roman"/>
                <w:b/>
                <w:bCs/>
                <w:color w:val="FFFFFF"/>
              </w:rPr>
              <w:t xml:space="preserve"> v ESA 95</w:t>
            </w:r>
          </w:p>
        </w:tc>
        <w:tc>
          <w:tcPr>
            <w:tcW w:w="2161"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7C60E8" w:rsidRPr="00691FED" w:rsidP="001D3864">
            <w:pPr>
              <w:bidi w:val="0"/>
              <w:jc w:val="center"/>
              <w:rPr>
                <w:rFonts w:ascii="Times New Roman" w:hAnsi="Times New Roman"/>
                <w:b/>
                <w:bCs/>
                <w:color w:val="FFFFFF"/>
              </w:rPr>
            </w:pPr>
            <w:r w:rsidRPr="00691FED">
              <w:rPr>
                <w:rFonts w:ascii="Times New Roman" w:hAnsi="Times New Roman"/>
                <w:b/>
                <w:bCs/>
                <w:color w:val="FFFFFF"/>
              </w:rPr>
              <w:t>poznámka</w:t>
            </w:r>
          </w:p>
        </w:tc>
      </w:tr>
      <w:tr>
        <w:tblPrEx>
          <w:tblW w:w="13111"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7C60E8" w:rsidRPr="00691FED" w:rsidP="001D3864">
            <w:pPr>
              <w:bidi w:val="0"/>
              <w:rPr>
                <w:rFonts w:ascii="Times New Roman" w:hAnsi="Times New Roman"/>
                <w:b/>
                <w:bCs/>
                <w:color w:val="FFFFFF"/>
              </w:rPr>
            </w:pPr>
          </w:p>
        </w:tc>
        <w:tc>
          <w:tcPr>
            <w:tcW w:w="1500" w:type="dxa"/>
            <w:tcBorders>
              <w:top w:val="nil"/>
              <w:left w:val="nil"/>
              <w:bottom w:val="single" w:sz="4" w:space="0" w:color="auto"/>
              <w:right w:val="single" w:sz="4" w:space="0" w:color="auto"/>
            </w:tcBorders>
            <w:shd w:val="clear" w:color="auto" w:fill="000000"/>
            <w:textDirection w:val="lrTb"/>
            <w:vAlign w:val="top"/>
          </w:tcPr>
          <w:p w:rsidR="007C60E8" w:rsidRPr="00691FED" w:rsidP="001D3864">
            <w:pPr>
              <w:bidi w:val="0"/>
              <w:jc w:val="center"/>
              <w:rPr>
                <w:rFonts w:ascii="Times New Roman" w:hAnsi="Times New Roman"/>
                <w:b/>
                <w:bCs/>
                <w:color w:val="FFFFFF"/>
              </w:rPr>
            </w:pPr>
            <w:r w:rsidRPr="00691FED">
              <w:rPr>
                <w:rFonts w:ascii="Times New Roman" w:hAnsi="Times New Roman"/>
                <w:b/>
                <w:bCs/>
                <w:color w:val="FFFFFF"/>
              </w:rPr>
              <w:t>2011</w:t>
            </w:r>
          </w:p>
        </w:tc>
        <w:tc>
          <w:tcPr>
            <w:tcW w:w="1500" w:type="dxa"/>
            <w:tcBorders>
              <w:top w:val="nil"/>
              <w:left w:val="nil"/>
              <w:bottom w:val="single" w:sz="4" w:space="0" w:color="auto"/>
              <w:right w:val="single" w:sz="4" w:space="0" w:color="auto"/>
            </w:tcBorders>
            <w:shd w:val="clear" w:color="auto" w:fill="000000"/>
            <w:textDirection w:val="lrTb"/>
            <w:vAlign w:val="top"/>
          </w:tcPr>
          <w:p w:rsidR="007C60E8" w:rsidRPr="00691FED" w:rsidP="001D3864">
            <w:pPr>
              <w:bidi w:val="0"/>
              <w:jc w:val="center"/>
              <w:rPr>
                <w:rFonts w:ascii="Times New Roman" w:hAnsi="Times New Roman"/>
                <w:b/>
                <w:bCs/>
                <w:color w:val="FFFFFF"/>
              </w:rPr>
            </w:pPr>
            <w:r w:rsidRPr="00691FED">
              <w:rPr>
                <w:rFonts w:ascii="Times New Roman" w:hAnsi="Times New Roman"/>
                <w:b/>
                <w:bCs/>
                <w:color w:val="FFFFFF"/>
              </w:rPr>
              <w:t>2012</w:t>
            </w:r>
          </w:p>
        </w:tc>
        <w:tc>
          <w:tcPr>
            <w:tcW w:w="1500" w:type="dxa"/>
            <w:tcBorders>
              <w:top w:val="nil"/>
              <w:left w:val="nil"/>
              <w:bottom w:val="single" w:sz="4" w:space="0" w:color="auto"/>
              <w:right w:val="single" w:sz="4" w:space="0" w:color="auto"/>
            </w:tcBorders>
            <w:shd w:val="clear" w:color="auto" w:fill="000000"/>
            <w:textDirection w:val="lrTb"/>
            <w:vAlign w:val="top"/>
          </w:tcPr>
          <w:p w:rsidR="007C60E8" w:rsidRPr="00691FED" w:rsidP="001D3864">
            <w:pPr>
              <w:bidi w:val="0"/>
              <w:jc w:val="center"/>
              <w:rPr>
                <w:rFonts w:ascii="Times New Roman" w:hAnsi="Times New Roman"/>
                <w:b/>
                <w:bCs/>
                <w:color w:val="FFFFFF"/>
              </w:rPr>
            </w:pPr>
            <w:r w:rsidRPr="00691FED">
              <w:rPr>
                <w:rFonts w:ascii="Times New Roman" w:hAnsi="Times New Roman"/>
                <w:b/>
                <w:bCs/>
                <w:color w:val="FFFFFF"/>
              </w:rPr>
              <w:t>2013</w:t>
            </w:r>
          </w:p>
        </w:tc>
        <w:tc>
          <w:tcPr>
            <w:tcW w:w="1500" w:type="dxa"/>
            <w:tcBorders>
              <w:top w:val="nil"/>
              <w:left w:val="nil"/>
              <w:bottom w:val="single" w:sz="4" w:space="0" w:color="auto"/>
              <w:right w:val="single" w:sz="4" w:space="0" w:color="auto"/>
            </w:tcBorders>
            <w:shd w:val="clear" w:color="auto" w:fill="000000"/>
            <w:textDirection w:val="lrTb"/>
            <w:vAlign w:val="top"/>
          </w:tcPr>
          <w:p w:rsidR="007C60E8" w:rsidRPr="00691FED" w:rsidP="001D3864">
            <w:pPr>
              <w:bidi w:val="0"/>
              <w:jc w:val="center"/>
              <w:rPr>
                <w:rFonts w:ascii="Times New Roman" w:hAnsi="Times New Roman"/>
                <w:b/>
                <w:bCs/>
                <w:color w:val="FFFFFF"/>
              </w:rPr>
            </w:pPr>
            <w:r w:rsidRPr="00691FED">
              <w:rPr>
                <w:rFonts w:ascii="Times New Roman" w:hAnsi="Times New Roman"/>
                <w:b/>
                <w:bCs/>
                <w:color w:val="FFFFFF"/>
              </w:rPr>
              <w:t>2014</w:t>
            </w:r>
          </w:p>
        </w:tc>
        <w:tc>
          <w:tcPr>
            <w:tcW w:w="2161" w:type="dxa"/>
            <w:vMerge/>
            <w:tcBorders>
              <w:top w:val="single" w:sz="4" w:space="0" w:color="auto"/>
              <w:left w:val="single" w:sz="4" w:space="0" w:color="auto"/>
              <w:bottom w:val="single" w:sz="4" w:space="0" w:color="auto"/>
              <w:right w:val="single" w:sz="4" w:space="0" w:color="auto"/>
            </w:tcBorders>
            <w:textDirection w:val="lrTb"/>
            <w:vAlign w:val="center"/>
          </w:tcPr>
          <w:p w:rsidR="007C60E8" w:rsidRPr="00691FED" w:rsidP="001D3864">
            <w:pPr>
              <w:bidi w:val="0"/>
              <w:rPr>
                <w:rFonts w:ascii="Times New Roman" w:hAnsi="Times New Roman"/>
                <w:b/>
                <w:bCs/>
                <w:color w:val="FFFFFF"/>
              </w:rPr>
            </w:pPr>
          </w:p>
        </w:tc>
      </w:tr>
      <w:tr>
        <w:tblPrEx>
          <w:tblW w:w="13111"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C60E8" w:rsidRPr="00691FED" w:rsidP="001D3864">
            <w:pPr>
              <w:pStyle w:val="Default"/>
              <w:bidi w:val="0"/>
              <w:rPr>
                <w:rFonts w:ascii="Times New Roman" w:hAnsi="Times New Roman" w:cs="Times New Roman"/>
              </w:rPr>
            </w:pPr>
            <w:r w:rsidRPr="00691FED">
              <w:rPr>
                <w:rFonts w:ascii="Times New Roman" w:hAnsi="Times New Roman" w:cs="Times New Roman"/>
                <w:b/>
                <w:bCs/>
              </w:rPr>
              <w:t>Daňové príjmy (132013)</w:t>
            </w:r>
            <w:r w:rsidRPr="00691FED">
              <w:rPr>
                <w:rFonts w:ascii="Times New Roman" w:hAnsi="Times New Roman" w:cs="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7C60E8" w:rsidRPr="00691FED" w:rsidP="001D3864">
            <w:pPr>
              <w:bidi w:val="0"/>
              <w:jc w:val="center"/>
              <w:rPr>
                <w:rFonts w:ascii="Times New Roman" w:hAnsi="Times New Roman"/>
                <w:b/>
                <w:bCs/>
              </w:rPr>
            </w:pPr>
            <w:r w:rsidRPr="00691FED">
              <w:rPr>
                <w:rFonts w:ascii="Times New Roman" w:hAnsi="Times New Roman"/>
                <w:b/>
                <w:bCs/>
              </w:rPr>
              <w:t>6,8</w:t>
            </w:r>
          </w:p>
        </w:tc>
        <w:tc>
          <w:tcPr>
            <w:tcW w:w="1500" w:type="dxa"/>
            <w:tcBorders>
              <w:top w:val="nil"/>
              <w:left w:val="nil"/>
              <w:bottom w:val="single" w:sz="4" w:space="0" w:color="auto"/>
              <w:right w:val="single" w:sz="4" w:space="0" w:color="auto"/>
            </w:tcBorders>
            <w:textDirection w:val="lrTb"/>
            <w:vAlign w:val="top"/>
          </w:tcPr>
          <w:p w:rsidR="007C60E8" w:rsidRPr="00691FED" w:rsidP="001D3864">
            <w:pPr>
              <w:bidi w:val="0"/>
              <w:jc w:val="center"/>
              <w:rPr>
                <w:rFonts w:ascii="Times New Roman" w:hAnsi="Times New Roman"/>
                <w:b/>
                <w:bCs/>
              </w:rPr>
            </w:pPr>
            <w:r w:rsidRPr="00691FED">
              <w:rPr>
                <w:rFonts w:ascii="Times New Roman" w:hAnsi="Times New Roman"/>
                <w:b/>
                <w:bCs/>
              </w:rPr>
              <w:t>11,1</w:t>
            </w:r>
          </w:p>
        </w:tc>
        <w:tc>
          <w:tcPr>
            <w:tcW w:w="1500" w:type="dxa"/>
            <w:tcBorders>
              <w:top w:val="nil"/>
              <w:left w:val="nil"/>
              <w:bottom w:val="single" w:sz="4" w:space="0" w:color="auto"/>
              <w:right w:val="single" w:sz="4" w:space="0" w:color="auto"/>
            </w:tcBorders>
            <w:textDirection w:val="lrTb"/>
            <w:vAlign w:val="top"/>
          </w:tcPr>
          <w:p w:rsidR="007C60E8" w:rsidRPr="00691FED" w:rsidP="001D3864">
            <w:pPr>
              <w:bidi w:val="0"/>
              <w:jc w:val="center"/>
              <w:rPr>
                <w:rFonts w:ascii="Times New Roman" w:hAnsi="Times New Roman"/>
                <w:b/>
                <w:bCs/>
              </w:rPr>
            </w:pPr>
            <w:r w:rsidRPr="00691FED">
              <w:rPr>
                <w:rFonts w:ascii="Times New Roman" w:hAnsi="Times New Roman"/>
                <w:b/>
                <w:bCs/>
              </w:rPr>
              <w:t>11,1</w:t>
            </w:r>
          </w:p>
        </w:tc>
        <w:tc>
          <w:tcPr>
            <w:tcW w:w="1500" w:type="dxa"/>
            <w:tcBorders>
              <w:top w:val="nil"/>
              <w:left w:val="nil"/>
              <w:bottom w:val="single" w:sz="4" w:space="0" w:color="auto"/>
              <w:right w:val="single" w:sz="4" w:space="0" w:color="auto"/>
            </w:tcBorders>
            <w:textDirection w:val="lrTb"/>
            <w:vAlign w:val="top"/>
          </w:tcPr>
          <w:p w:rsidR="007C60E8" w:rsidRPr="00691FED" w:rsidP="001D3864">
            <w:pPr>
              <w:bidi w:val="0"/>
              <w:jc w:val="center"/>
              <w:rPr>
                <w:rFonts w:ascii="Times New Roman" w:hAnsi="Times New Roman"/>
                <w:b/>
                <w:bCs/>
              </w:rPr>
            </w:pPr>
            <w:r w:rsidRPr="00691FED">
              <w:rPr>
                <w:rFonts w:ascii="Times New Roman" w:hAnsi="Times New Roman"/>
                <w:b/>
                <w:bCs/>
              </w:rPr>
              <w:t>11,1</w:t>
            </w:r>
          </w:p>
        </w:tc>
        <w:tc>
          <w:tcPr>
            <w:tcW w:w="2161" w:type="dxa"/>
            <w:tcBorders>
              <w:top w:val="nil"/>
              <w:left w:val="nil"/>
              <w:bottom w:val="single" w:sz="4" w:space="0" w:color="auto"/>
              <w:right w:val="single" w:sz="4" w:space="0" w:color="auto"/>
            </w:tcBorders>
            <w:noWrap/>
            <w:textDirection w:val="lrTb"/>
            <w:vAlign w:val="bottom"/>
          </w:tcPr>
          <w:p w:rsidR="007C60E8" w:rsidRPr="00691FED" w:rsidP="001D3864">
            <w:pPr>
              <w:bidi w:val="0"/>
              <w:rPr>
                <w:rFonts w:ascii="Times New Roman" w:hAnsi="Times New Roman"/>
              </w:rPr>
            </w:pPr>
            <w:r w:rsidRPr="00691FED">
              <w:rPr>
                <w:rFonts w:ascii="Times New Roman" w:hAnsi="Times New Roman"/>
              </w:rPr>
              <w:t> </w:t>
            </w:r>
          </w:p>
        </w:tc>
      </w:tr>
      <w:tr>
        <w:tblPrEx>
          <w:tblW w:w="13111"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C60E8" w:rsidRPr="00691FED" w:rsidP="001D3864">
            <w:pPr>
              <w:bidi w:val="0"/>
              <w:rPr>
                <w:rFonts w:ascii="Times New Roman" w:hAnsi="Times New Roman"/>
                <w:b/>
                <w:bCs/>
              </w:rPr>
            </w:pPr>
            <w:r w:rsidRPr="00691FED">
              <w:rPr>
                <w:rFonts w:ascii="Times New Roman" w:hAnsi="Times New Roman"/>
                <w:b/>
                <w:bCs/>
              </w:rPr>
              <w:t>Daňové príjmy (132012)</w:t>
            </w:r>
          </w:p>
        </w:tc>
        <w:tc>
          <w:tcPr>
            <w:tcW w:w="1500" w:type="dxa"/>
            <w:tcBorders>
              <w:top w:val="nil"/>
              <w:left w:val="nil"/>
              <w:bottom w:val="single" w:sz="4" w:space="0" w:color="auto"/>
              <w:right w:val="single" w:sz="4" w:space="0" w:color="auto"/>
            </w:tcBorders>
            <w:textDirection w:val="lrTb"/>
            <w:vAlign w:val="top"/>
          </w:tcPr>
          <w:p w:rsidR="007C60E8" w:rsidRPr="00691FED" w:rsidP="001D3864">
            <w:pPr>
              <w:bidi w:val="0"/>
              <w:jc w:val="center"/>
              <w:rPr>
                <w:rFonts w:ascii="Times New Roman" w:hAnsi="Times New Roman"/>
                <w:b/>
                <w:bCs/>
              </w:rPr>
            </w:pPr>
            <w:r w:rsidRPr="00691FED">
              <w:rPr>
                <w:rFonts w:ascii="Times New Roman" w:hAnsi="Times New Roman"/>
                <w:b/>
                <w:bCs/>
              </w:rPr>
              <w:t>1,8</w:t>
            </w:r>
          </w:p>
        </w:tc>
        <w:tc>
          <w:tcPr>
            <w:tcW w:w="1500" w:type="dxa"/>
            <w:tcBorders>
              <w:top w:val="nil"/>
              <w:left w:val="nil"/>
              <w:bottom w:val="single" w:sz="4" w:space="0" w:color="auto"/>
              <w:right w:val="single" w:sz="4" w:space="0" w:color="auto"/>
            </w:tcBorders>
            <w:textDirection w:val="lrTb"/>
            <w:vAlign w:val="top"/>
          </w:tcPr>
          <w:p w:rsidR="007C60E8" w:rsidRPr="00691FED" w:rsidP="001D3864">
            <w:pPr>
              <w:bidi w:val="0"/>
              <w:jc w:val="center"/>
              <w:rPr>
                <w:rFonts w:ascii="Times New Roman" w:hAnsi="Times New Roman"/>
                <w:b/>
                <w:bCs/>
              </w:rPr>
            </w:pPr>
            <w:r w:rsidRPr="00691FED">
              <w:rPr>
                <w:rFonts w:ascii="Times New Roman" w:hAnsi="Times New Roman"/>
                <w:b/>
                <w:bCs/>
              </w:rPr>
              <w:t>3,1</w:t>
            </w:r>
          </w:p>
        </w:tc>
        <w:tc>
          <w:tcPr>
            <w:tcW w:w="1500" w:type="dxa"/>
            <w:tcBorders>
              <w:top w:val="nil"/>
              <w:left w:val="nil"/>
              <w:bottom w:val="single" w:sz="4" w:space="0" w:color="auto"/>
              <w:right w:val="single" w:sz="4" w:space="0" w:color="auto"/>
            </w:tcBorders>
            <w:textDirection w:val="lrTb"/>
            <w:vAlign w:val="top"/>
          </w:tcPr>
          <w:p w:rsidR="007C60E8" w:rsidRPr="00691FED" w:rsidP="001D3864">
            <w:pPr>
              <w:bidi w:val="0"/>
              <w:jc w:val="center"/>
              <w:rPr>
                <w:rFonts w:ascii="Times New Roman" w:hAnsi="Times New Roman"/>
                <w:b/>
                <w:bCs/>
              </w:rPr>
            </w:pPr>
            <w:r w:rsidRPr="00691FED">
              <w:rPr>
                <w:rFonts w:ascii="Times New Roman" w:hAnsi="Times New Roman"/>
                <w:b/>
                <w:bCs/>
              </w:rPr>
              <w:t>3,1</w:t>
            </w:r>
          </w:p>
        </w:tc>
        <w:tc>
          <w:tcPr>
            <w:tcW w:w="1500" w:type="dxa"/>
            <w:tcBorders>
              <w:top w:val="nil"/>
              <w:left w:val="nil"/>
              <w:bottom w:val="single" w:sz="4" w:space="0" w:color="auto"/>
              <w:right w:val="single" w:sz="4" w:space="0" w:color="auto"/>
            </w:tcBorders>
            <w:textDirection w:val="lrTb"/>
            <w:vAlign w:val="top"/>
          </w:tcPr>
          <w:p w:rsidR="007C60E8" w:rsidRPr="00691FED" w:rsidP="001D3864">
            <w:pPr>
              <w:bidi w:val="0"/>
              <w:jc w:val="center"/>
              <w:rPr>
                <w:rFonts w:ascii="Times New Roman" w:hAnsi="Times New Roman"/>
                <w:b/>
                <w:bCs/>
              </w:rPr>
            </w:pPr>
            <w:r w:rsidRPr="00691FED">
              <w:rPr>
                <w:rFonts w:ascii="Times New Roman" w:hAnsi="Times New Roman"/>
                <w:b/>
                <w:bCs/>
              </w:rPr>
              <w:t>3,1</w:t>
            </w:r>
          </w:p>
        </w:tc>
        <w:tc>
          <w:tcPr>
            <w:tcW w:w="2161" w:type="dxa"/>
            <w:tcBorders>
              <w:top w:val="nil"/>
              <w:left w:val="nil"/>
              <w:bottom w:val="single" w:sz="4" w:space="0" w:color="auto"/>
              <w:right w:val="single" w:sz="4" w:space="0" w:color="auto"/>
            </w:tcBorders>
            <w:noWrap/>
            <w:textDirection w:val="lrTb"/>
            <w:vAlign w:val="bottom"/>
          </w:tcPr>
          <w:p w:rsidR="007C60E8" w:rsidRPr="00691FED" w:rsidP="001D3864">
            <w:pPr>
              <w:bidi w:val="0"/>
              <w:rPr>
                <w:rFonts w:ascii="Times New Roman" w:hAnsi="Times New Roman"/>
              </w:rPr>
            </w:pPr>
          </w:p>
        </w:tc>
      </w:tr>
      <w:tr>
        <w:tblPrEx>
          <w:tblW w:w="13111"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C60E8" w:rsidRPr="00691FED" w:rsidP="001D3864">
            <w:pPr>
              <w:bidi w:val="0"/>
              <w:rPr>
                <w:rFonts w:ascii="Times New Roman" w:hAnsi="Times New Roman"/>
                <w:b/>
                <w:bCs/>
              </w:rPr>
            </w:pPr>
            <w:r w:rsidRPr="00691FED">
              <w:rPr>
                <w:rFonts w:ascii="Times New Roman" w:hAnsi="Times New Roman"/>
                <w:b/>
                <w:bCs/>
              </w:rPr>
              <w:t>Nedaňové príjmy (200)</w:t>
            </w:r>
            <w:r w:rsidRPr="00691FED">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7C60E8" w:rsidRPr="00691FED" w:rsidP="001D3864">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7C60E8" w:rsidRPr="00691FED" w:rsidP="001D3864">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7C60E8" w:rsidRPr="00691FED" w:rsidP="001D3864">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7C60E8" w:rsidRPr="00691FED" w:rsidP="001D3864">
            <w:pPr>
              <w:bidi w:val="0"/>
              <w:jc w:val="center"/>
              <w:rPr>
                <w:rFonts w:ascii="Times New Roman" w:hAnsi="Times New Roman"/>
                <w:b/>
                <w:bCs/>
              </w:rPr>
            </w:pPr>
          </w:p>
        </w:tc>
        <w:tc>
          <w:tcPr>
            <w:tcW w:w="2161" w:type="dxa"/>
            <w:tcBorders>
              <w:top w:val="nil"/>
              <w:left w:val="nil"/>
              <w:bottom w:val="single" w:sz="4" w:space="0" w:color="auto"/>
              <w:right w:val="single" w:sz="4" w:space="0" w:color="auto"/>
            </w:tcBorders>
            <w:noWrap/>
            <w:textDirection w:val="lrTb"/>
            <w:vAlign w:val="bottom"/>
          </w:tcPr>
          <w:p w:rsidR="007C60E8" w:rsidRPr="00691FED" w:rsidP="001D3864">
            <w:pPr>
              <w:bidi w:val="0"/>
              <w:rPr>
                <w:rFonts w:ascii="Times New Roman" w:hAnsi="Times New Roman"/>
              </w:rPr>
            </w:pPr>
            <w:r w:rsidRPr="00691FED">
              <w:rPr>
                <w:rFonts w:ascii="Times New Roman" w:hAnsi="Times New Roman"/>
              </w:rPr>
              <w:t> </w:t>
            </w:r>
          </w:p>
        </w:tc>
      </w:tr>
      <w:tr>
        <w:tblPrEx>
          <w:tblW w:w="13111"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C60E8" w:rsidRPr="00691FED" w:rsidP="001D3864">
            <w:pPr>
              <w:bidi w:val="0"/>
              <w:rPr>
                <w:rFonts w:ascii="Times New Roman" w:hAnsi="Times New Roman"/>
                <w:b/>
                <w:bCs/>
              </w:rPr>
            </w:pPr>
            <w:r w:rsidRPr="00691FED">
              <w:rPr>
                <w:rFonts w:ascii="Times New Roman" w:hAnsi="Times New Roman"/>
                <w:b/>
                <w:bCs/>
              </w:rPr>
              <w:t>Granty a transfery (300)</w:t>
            </w:r>
            <w:r w:rsidRPr="00691FED">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7C60E8" w:rsidRPr="00691FED" w:rsidP="001D3864">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7C60E8" w:rsidRPr="00691FED" w:rsidP="001D3864">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7C60E8" w:rsidRPr="00691FED" w:rsidP="001D3864">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7C60E8" w:rsidRPr="00691FED" w:rsidP="001D3864">
            <w:pPr>
              <w:bidi w:val="0"/>
              <w:jc w:val="center"/>
              <w:rPr>
                <w:rFonts w:ascii="Times New Roman" w:hAnsi="Times New Roman"/>
                <w:b/>
                <w:bCs/>
              </w:rPr>
            </w:pPr>
          </w:p>
        </w:tc>
        <w:tc>
          <w:tcPr>
            <w:tcW w:w="2161" w:type="dxa"/>
            <w:tcBorders>
              <w:top w:val="nil"/>
              <w:left w:val="nil"/>
              <w:bottom w:val="single" w:sz="4" w:space="0" w:color="auto"/>
              <w:right w:val="single" w:sz="4" w:space="0" w:color="auto"/>
            </w:tcBorders>
            <w:noWrap/>
            <w:textDirection w:val="lrTb"/>
            <w:vAlign w:val="bottom"/>
          </w:tcPr>
          <w:p w:rsidR="007C60E8" w:rsidRPr="00691FED" w:rsidP="001D3864">
            <w:pPr>
              <w:bidi w:val="0"/>
              <w:rPr>
                <w:rFonts w:ascii="Times New Roman" w:hAnsi="Times New Roman"/>
              </w:rPr>
            </w:pPr>
            <w:r w:rsidRPr="00691FED">
              <w:rPr>
                <w:rFonts w:ascii="Times New Roman" w:hAnsi="Times New Roman"/>
              </w:rPr>
              <w:t> </w:t>
            </w:r>
          </w:p>
        </w:tc>
      </w:tr>
      <w:tr>
        <w:tblPrEx>
          <w:tblW w:w="13111"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C60E8" w:rsidRPr="00691FED" w:rsidP="001D3864">
            <w:pPr>
              <w:bidi w:val="0"/>
              <w:rPr>
                <w:rFonts w:ascii="Times New Roman" w:hAnsi="Times New Roman"/>
                <w:b/>
                <w:bCs/>
              </w:rPr>
            </w:pPr>
            <w:r w:rsidRPr="00691FED">
              <w:rPr>
                <w:rFonts w:ascii="Times New Roman" w:hAnsi="Times New Roman"/>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7C60E8" w:rsidRPr="00691FED" w:rsidP="001D3864">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shd w:val="clear" w:color="auto" w:fill="FFFF99"/>
            <w:textDirection w:val="lrTb"/>
            <w:vAlign w:val="top"/>
          </w:tcPr>
          <w:p w:rsidR="007C60E8" w:rsidRPr="00691FED" w:rsidP="001D3864">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shd w:val="clear" w:color="auto" w:fill="FFFF99"/>
            <w:textDirection w:val="lrTb"/>
            <w:vAlign w:val="top"/>
          </w:tcPr>
          <w:p w:rsidR="007C60E8" w:rsidRPr="00691FED" w:rsidP="001D3864">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shd w:val="clear" w:color="auto" w:fill="FFFF99"/>
            <w:textDirection w:val="lrTb"/>
            <w:vAlign w:val="top"/>
          </w:tcPr>
          <w:p w:rsidR="007C60E8" w:rsidRPr="00691FED" w:rsidP="001D3864">
            <w:pPr>
              <w:bidi w:val="0"/>
              <w:jc w:val="center"/>
              <w:rPr>
                <w:rFonts w:ascii="Times New Roman" w:hAnsi="Times New Roman"/>
                <w:b/>
                <w:bCs/>
              </w:rPr>
            </w:pPr>
          </w:p>
        </w:tc>
        <w:tc>
          <w:tcPr>
            <w:tcW w:w="2161" w:type="dxa"/>
            <w:tcBorders>
              <w:top w:val="nil"/>
              <w:left w:val="nil"/>
              <w:bottom w:val="single" w:sz="4" w:space="0" w:color="auto"/>
              <w:right w:val="single" w:sz="4" w:space="0" w:color="auto"/>
            </w:tcBorders>
            <w:noWrap/>
            <w:textDirection w:val="lrTb"/>
            <w:vAlign w:val="bottom"/>
          </w:tcPr>
          <w:p w:rsidR="007C60E8" w:rsidRPr="00691FED" w:rsidP="001D3864">
            <w:pPr>
              <w:bidi w:val="0"/>
              <w:rPr>
                <w:rFonts w:ascii="Times New Roman" w:hAnsi="Times New Roman"/>
              </w:rPr>
            </w:pPr>
            <w:r w:rsidRPr="00691FED">
              <w:rPr>
                <w:rFonts w:ascii="Times New Roman" w:hAnsi="Times New Roman"/>
              </w:rPr>
              <w:t> </w:t>
            </w:r>
          </w:p>
        </w:tc>
      </w:tr>
      <w:tr>
        <w:tblPrEx>
          <w:tblW w:w="13111"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C60E8" w:rsidRPr="00691FED" w:rsidP="001D3864">
            <w:pPr>
              <w:bidi w:val="0"/>
              <w:rPr>
                <w:rFonts w:ascii="Times New Roman" w:hAnsi="Times New Roman"/>
                <w:b/>
                <w:bCs/>
              </w:rPr>
            </w:pPr>
            <w:r w:rsidRPr="00691FED">
              <w:rPr>
                <w:rFonts w:ascii="Times New Roman" w:hAnsi="Times New Roman"/>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7C60E8" w:rsidRPr="00691FED" w:rsidP="001D3864">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shd w:val="clear" w:color="auto" w:fill="FFFF99"/>
            <w:textDirection w:val="lrTb"/>
            <w:vAlign w:val="top"/>
          </w:tcPr>
          <w:p w:rsidR="007C60E8" w:rsidRPr="00691FED" w:rsidP="001D3864">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shd w:val="clear" w:color="auto" w:fill="FFFF99"/>
            <w:textDirection w:val="lrTb"/>
            <w:vAlign w:val="top"/>
          </w:tcPr>
          <w:p w:rsidR="007C60E8" w:rsidRPr="00691FED" w:rsidP="001D3864">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shd w:val="clear" w:color="auto" w:fill="FFFF99"/>
            <w:textDirection w:val="lrTb"/>
            <w:vAlign w:val="top"/>
          </w:tcPr>
          <w:p w:rsidR="007C60E8" w:rsidRPr="00691FED" w:rsidP="001D3864">
            <w:pPr>
              <w:bidi w:val="0"/>
              <w:jc w:val="center"/>
              <w:rPr>
                <w:rFonts w:ascii="Times New Roman" w:hAnsi="Times New Roman"/>
                <w:b/>
                <w:bCs/>
              </w:rPr>
            </w:pPr>
          </w:p>
        </w:tc>
        <w:tc>
          <w:tcPr>
            <w:tcW w:w="2161" w:type="dxa"/>
            <w:tcBorders>
              <w:top w:val="nil"/>
              <w:left w:val="nil"/>
              <w:bottom w:val="single" w:sz="4" w:space="0" w:color="auto"/>
              <w:right w:val="single" w:sz="4" w:space="0" w:color="auto"/>
            </w:tcBorders>
            <w:noWrap/>
            <w:textDirection w:val="lrTb"/>
            <w:vAlign w:val="bottom"/>
          </w:tcPr>
          <w:p w:rsidR="007C60E8" w:rsidRPr="00691FED" w:rsidP="001D3864">
            <w:pPr>
              <w:bidi w:val="0"/>
              <w:rPr>
                <w:rFonts w:ascii="Times New Roman" w:hAnsi="Times New Roman"/>
              </w:rPr>
            </w:pPr>
            <w:r w:rsidRPr="00691FED">
              <w:rPr>
                <w:rFonts w:ascii="Times New Roman" w:hAnsi="Times New Roman"/>
              </w:rPr>
              <w:t> </w:t>
            </w:r>
          </w:p>
        </w:tc>
      </w:tr>
      <w:tr>
        <w:tblPrEx>
          <w:tblW w:w="13111"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000000"/>
            <w:textDirection w:val="lrTb"/>
            <w:vAlign w:val="top"/>
          </w:tcPr>
          <w:p w:rsidR="007C60E8" w:rsidRPr="00691FED" w:rsidP="001D3864">
            <w:pPr>
              <w:bidi w:val="0"/>
              <w:rPr>
                <w:rFonts w:ascii="Times New Roman" w:hAnsi="Times New Roman"/>
                <w:b/>
                <w:bCs/>
                <w:color w:val="FFFFFF"/>
              </w:rPr>
            </w:pPr>
            <w:r w:rsidRPr="00691FED">
              <w:rPr>
                <w:rFonts w:ascii="Times New Roman" w:hAnsi="Times New Roman"/>
                <w:b/>
                <w:bCs/>
                <w:color w:val="FFFFFF"/>
              </w:rPr>
              <w:t>Dopad na príjmy verejnej správy celkom</w:t>
            </w:r>
          </w:p>
        </w:tc>
        <w:tc>
          <w:tcPr>
            <w:tcW w:w="1500" w:type="dxa"/>
            <w:tcBorders>
              <w:top w:val="nil"/>
              <w:left w:val="nil"/>
              <w:bottom w:val="single" w:sz="4" w:space="0" w:color="auto"/>
              <w:right w:val="single" w:sz="4" w:space="0" w:color="auto"/>
            </w:tcBorders>
            <w:shd w:val="clear" w:color="auto" w:fill="000000"/>
            <w:textDirection w:val="lrTb"/>
            <w:vAlign w:val="top"/>
          </w:tcPr>
          <w:p w:rsidR="007C60E8" w:rsidRPr="00691FED" w:rsidP="001D3864">
            <w:pPr>
              <w:bidi w:val="0"/>
              <w:jc w:val="center"/>
              <w:rPr>
                <w:rFonts w:ascii="Times New Roman" w:hAnsi="Times New Roman"/>
                <w:b/>
                <w:bCs/>
                <w:color w:val="FFFFFF"/>
              </w:rPr>
            </w:pPr>
            <w:r w:rsidRPr="00691FED">
              <w:rPr>
                <w:rFonts w:ascii="Times New Roman" w:hAnsi="Times New Roman"/>
                <w:b/>
                <w:bCs/>
                <w:color w:val="FFFFFF"/>
              </w:rPr>
              <w:t>8,6</w:t>
            </w:r>
          </w:p>
        </w:tc>
        <w:tc>
          <w:tcPr>
            <w:tcW w:w="1500" w:type="dxa"/>
            <w:tcBorders>
              <w:top w:val="nil"/>
              <w:left w:val="nil"/>
              <w:bottom w:val="single" w:sz="4" w:space="0" w:color="auto"/>
              <w:right w:val="single" w:sz="4" w:space="0" w:color="auto"/>
            </w:tcBorders>
            <w:shd w:val="clear" w:color="auto" w:fill="000000"/>
            <w:textDirection w:val="lrTb"/>
            <w:vAlign w:val="top"/>
          </w:tcPr>
          <w:p w:rsidR="007C60E8" w:rsidRPr="00691FED" w:rsidP="001D3864">
            <w:pPr>
              <w:bidi w:val="0"/>
              <w:jc w:val="center"/>
              <w:rPr>
                <w:rFonts w:ascii="Times New Roman" w:hAnsi="Times New Roman"/>
                <w:b/>
                <w:bCs/>
                <w:color w:val="FFFFFF"/>
              </w:rPr>
            </w:pPr>
            <w:r w:rsidRPr="00691FED">
              <w:rPr>
                <w:rFonts w:ascii="Times New Roman" w:hAnsi="Times New Roman"/>
                <w:b/>
                <w:bCs/>
                <w:color w:val="FFFFFF"/>
              </w:rPr>
              <w:t>14,2</w:t>
            </w:r>
          </w:p>
        </w:tc>
        <w:tc>
          <w:tcPr>
            <w:tcW w:w="1500" w:type="dxa"/>
            <w:tcBorders>
              <w:top w:val="nil"/>
              <w:left w:val="nil"/>
              <w:bottom w:val="single" w:sz="4" w:space="0" w:color="auto"/>
              <w:right w:val="single" w:sz="4" w:space="0" w:color="auto"/>
            </w:tcBorders>
            <w:shd w:val="clear" w:color="auto" w:fill="000000"/>
            <w:textDirection w:val="lrTb"/>
            <w:vAlign w:val="top"/>
          </w:tcPr>
          <w:p w:rsidR="007C60E8" w:rsidRPr="00691FED" w:rsidP="001D3864">
            <w:pPr>
              <w:bidi w:val="0"/>
              <w:jc w:val="center"/>
              <w:rPr>
                <w:rFonts w:ascii="Times New Roman" w:hAnsi="Times New Roman"/>
                <w:b/>
                <w:bCs/>
                <w:color w:val="FFFFFF"/>
              </w:rPr>
            </w:pPr>
            <w:r w:rsidRPr="00691FED">
              <w:rPr>
                <w:rFonts w:ascii="Times New Roman" w:hAnsi="Times New Roman"/>
                <w:b/>
                <w:bCs/>
                <w:color w:val="FFFFFF"/>
              </w:rPr>
              <w:t>14,2</w:t>
            </w:r>
          </w:p>
        </w:tc>
        <w:tc>
          <w:tcPr>
            <w:tcW w:w="1500" w:type="dxa"/>
            <w:tcBorders>
              <w:top w:val="nil"/>
              <w:left w:val="nil"/>
              <w:bottom w:val="single" w:sz="4" w:space="0" w:color="auto"/>
              <w:right w:val="single" w:sz="4" w:space="0" w:color="auto"/>
            </w:tcBorders>
            <w:shd w:val="clear" w:color="auto" w:fill="000000"/>
            <w:textDirection w:val="lrTb"/>
            <w:vAlign w:val="top"/>
          </w:tcPr>
          <w:p w:rsidR="007C60E8" w:rsidRPr="00691FED" w:rsidP="001D3864">
            <w:pPr>
              <w:bidi w:val="0"/>
              <w:jc w:val="center"/>
              <w:rPr>
                <w:rFonts w:ascii="Times New Roman" w:hAnsi="Times New Roman"/>
                <w:b/>
                <w:bCs/>
                <w:color w:val="FFFFFF"/>
              </w:rPr>
            </w:pPr>
            <w:r w:rsidRPr="00691FED">
              <w:rPr>
                <w:rFonts w:ascii="Times New Roman" w:hAnsi="Times New Roman"/>
                <w:b/>
                <w:bCs/>
                <w:color w:val="FFFFFF"/>
              </w:rPr>
              <w:t>14,2</w:t>
            </w:r>
          </w:p>
        </w:tc>
        <w:tc>
          <w:tcPr>
            <w:tcW w:w="2161" w:type="dxa"/>
            <w:tcBorders>
              <w:top w:val="nil"/>
              <w:left w:val="nil"/>
              <w:bottom w:val="single" w:sz="4" w:space="0" w:color="auto"/>
              <w:right w:val="single" w:sz="4" w:space="0" w:color="auto"/>
            </w:tcBorders>
            <w:shd w:val="clear" w:color="auto" w:fill="000000"/>
            <w:noWrap/>
            <w:textDirection w:val="lrTb"/>
            <w:vAlign w:val="bottom"/>
          </w:tcPr>
          <w:p w:rsidR="007C60E8" w:rsidRPr="00691FED" w:rsidP="001D3864">
            <w:pPr>
              <w:bidi w:val="0"/>
              <w:rPr>
                <w:rFonts w:ascii="Times New Roman" w:hAnsi="Times New Roman"/>
                <w:color w:val="FFFFFF"/>
              </w:rPr>
            </w:pPr>
            <w:r w:rsidRPr="00691FED">
              <w:rPr>
                <w:rFonts w:ascii="Times New Roman" w:hAnsi="Times New Roman"/>
                <w:color w:val="FFFFFF"/>
              </w:rPr>
              <w:t> </w:t>
            </w:r>
          </w:p>
        </w:tc>
      </w:tr>
    </w:tbl>
    <w:p w:rsidR="007C60E8" w:rsidRPr="00691FED" w:rsidP="007C60E8">
      <w:pPr>
        <w:pStyle w:val="BodyText"/>
        <w:tabs>
          <w:tab w:val="num" w:pos="1080"/>
        </w:tabs>
        <w:bidi w:val="0"/>
        <w:jc w:val="both"/>
        <w:rPr>
          <w:rFonts w:ascii="Times New Roman" w:hAnsi="Times New Roman"/>
          <w:b/>
          <w:bCs/>
        </w:rPr>
      </w:pPr>
      <w:r w:rsidRPr="00691FED">
        <w:rPr>
          <w:rFonts w:ascii="Times New Roman" w:hAnsi="Times New Roman"/>
          <w:b/>
          <w:bCs/>
        </w:rPr>
        <w:t>1 –  príjmy rozpísať až do položiek platnej ekonomickej klasifikácie</w:t>
      </w:r>
    </w:p>
    <w:p w:rsidR="007C60E8" w:rsidRPr="00691FED" w:rsidP="007C60E8">
      <w:pPr>
        <w:pStyle w:val="BodyText"/>
        <w:tabs>
          <w:tab w:val="num" w:pos="1080"/>
        </w:tabs>
        <w:bidi w:val="0"/>
        <w:jc w:val="both"/>
        <w:rPr>
          <w:rFonts w:ascii="Times New Roman" w:hAnsi="Times New Roman"/>
          <w:b/>
          <w:bCs/>
        </w:rPr>
      </w:pPr>
    </w:p>
    <w:p w:rsidR="007C60E8" w:rsidRPr="00691FED" w:rsidP="007C60E8">
      <w:pPr>
        <w:pStyle w:val="BodyText"/>
        <w:tabs>
          <w:tab w:val="num" w:pos="1080"/>
        </w:tabs>
        <w:bidi w:val="0"/>
        <w:ind w:right="-578"/>
        <w:jc w:val="right"/>
        <w:rPr>
          <w:rFonts w:ascii="Times New Roman" w:hAnsi="Times New Roman"/>
          <w:b/>
          <w:bCs/>
        </w:rPr>
      </w:pPr>
    </w:p>
    <w:p w:rsidR="007C60E8" w:rsidRPr="00691FED" w:rsidP="007C60E8">
      <w:pPr>
        <w:pStyle w:val="BodyText"/>
        <w:tabs>
          <w:tab w:val="num" w:pos="1080"/>
        </w:tabs>
        <w:bidi w:val="0"/>
        <w:rPr>
          <w:rFonts w:ascii="Times New Roman" w:hAnsi="Times New Roman"/>
          <w:b/>
          <w:bCs/>
        </w:rPr>
      </w:pPr>
      <w:r w:rsidRPr="00691FED">
        <w:rPr>
          <w:rFonts w:ascii="Times New Roman" w:hAnsi="Times New Roman"/>
          <w:b/>
          <w:bCs/>
        </w:rPr>
        <w:t>Návrh zákona nemá vplyv na výdavkovú časť rozpočtu verejnej správy, z tohto dôvodu sa tabuľka vplyvu na rozpočet verejnej správy - výdavková časť (tabuľka č. 5) nepredkladá.</w:t>
      </w:r>
    </w:p>
    <w:p w:rsidR="007C60E8" w:rsidRPr="00691FED" w:rsidP="007C60E8">
      <w:pPr>
        <w:pStyle w:val="BodyText"/>
        <w:tabs>
          <w:tab w:val="num" w:pos="1080"/>
        </w:tabs>
        <w:bidi w:val="0"/>
        <w:rPr>
          <w:rFonts w:ascii="Times New Roman" w:hAnsi="Times New Roman"/>
          <w:b/>
          <w:bCs/>
        </w:rPr>
      </w:pPr>
    </w:p>
    <w:p w:rsidR="007C60E8" w:rsidRPr="00691FED" w:rsidP="007C60E8">
      <w:pPr>
        <w:pStyle w:val="BodyText"/>
        <w:tabs>
          <w:tab w:val="num" w:pos="1080"/>
        </w:tabs>
        <w:bidi w:val="0"/>
        <w:rPr>
          <w:rFonts w:ascii="Times New Roman" w:hAnsi="Times New Roman"/>
          <w:b/>
          <w:bCs/>
        </w:rPr>
        <w:sectPr>
          <w:pgSz w:w="16838" w:h="11906" w:orient="landscape"/>
          <w:pgMar w:top="1418" w:right="1418" w:bottom="1418" w:left="1418" w:header="709" w:footer="709" w:gutter="0"/>
          <w:lnNumType w:distance="0"/>
          <w:cols w:space="708"/>
          <w:noEndnote w:val="0"/>
          <w:bidi w:val="0"/>
          <w:docGrid w:linePitch="360"/>
        </w:sectPr>
      </w:pPr>
      <w:r w:rsidRPr="00691FED">
        <w:rPr>
          <w:rFonts w:ascii="Times New Roman" w:hAnsi="Times New Roman"/>
          <w:b/>
          <w:bCs/>
        </w:rPr>
        <w:t>Návrh zákona nemá vplyv na zamestnanosť vo verejnej správe, z tohto dôvodu sa tabuľka vplyvov na zamestnanosť (tabuľka č. 6) nepredkladá.</w:t>
      </w:r>
    </w:p>
    <w:p w:rsidR="007C60E8" w:rsidRPr="002D06DD" w:rsidP="007C60E8">
      <w:pPr>
        <w:bidi w:val="0"/>
        <w:jc w:val="center"/>
        <w:rPr>
          <w:rFonts w:ascii="Times New Roman" w:hAnsi="Times New Roman"/>
          <w:b/>
          <w:bCs/>
        </w:rPr>
      </w:pPr>
      <w:r w:rsidRPr="002D06DD">
        <w:rPr>
          <w:rFonts w:ascii="Times New Roman" w:hAnsi="Times New Roman"/>
          <w:b/>
          <w:bCs/>
        </w:rPr>
        <w:t>Vplyvy na podnikateľské prostredie</w:t>
      </w:r>
    </w:p>
    <w:p w:rsidR="007C60E8" w:rsidRPr="002D06DD" w:rsidP="007C60E8">
      <w:pPr>
        <w:bidi w:val="0"/>
        <w:rPr>
          <w:rFonts w:ascii="Times New Roman" w:hAnsi="Times New Roman"/>
          <w:b/>
          <w:bCs/>
        </w:rPr>
      </w:pPr>
    </w:p>
    <w:p w:rsidR="007C60E8" w:rsidRPr="002D06DD" w:rsidP="007C60E8">
      <w:pPr>
        <w:bidi w:val="0"/>
        <w:rPr>
          <w:rFonts w:ascii="Times New Roman" w:hAnsi="Times New Roman"/>
          <w:b/>
          <w:bCs/>
        </w:rPr>
      </w:pPr>
    </w:p>
    <w:tbl>
      <w:tblPr>
        <w:tblStyle w:val="TableNormal"/>
        <w:tblW w:w="9195" w:type="dxa"/>
        <w:tblInd w:w="55" w:type="dxa"/>
        <w:tblCellMar>
          <w:left w:w="70" w:type="dxa"/>
          <w:right w:w="70" w:type="dxa"/>
        </w:tblCellMar>
      </w:tblPr>
      <w:tblGrid>
        <w:gridCol w:w="4155"/>
        <w:gridCol w:w="5040"/>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7C60E8" w:rsidRPr="002D06DD" w:rsidP="001D3864">
            <w:pPr>
              <w:bidi w:val="0"/>
              <w:jc w:val="center"/>
              <w:rPr>
                <w:rFonts w:ascii="Times New Roman" w:hAnsi="Times New Roman"/>
                <w:b/>
                <w:bCs/>
                <w:color w:val="FFFFFF"/>
              </w:rPr>
            </w:pPr>
            <w:r w:rsidRPr="002D06DD">
              <w:rPr>
                <w:rFonts w:ascii="Times New Roman" w:hAnsi="Times New Roman"/>
                <w:b/>
                <w:bCs/>
                <w:color w:val="FFFFFF"/>
              </w:rPr>
              <w:t>Vplyvy na podnikateľské prostredie</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7C60E8" w:rsidRPr="002D06DD" w:rsidP="001D3864">
            <w:pPr>
              <w:bidi w:val="0"/>
              <w:jc w:val="both"/>
              <w:rPr>
                <w:rFonts w:ascii="Times New Roman" w:hAnsi="Times New Roman"/>
              </w:rPr>
            </w:pPr>
            <w:r w:rsidRPr="002D06DD">
              <w:rPr>
                <w:rFonts w:ascii="Times New Roman" w:hAnsi="Times New Roman"/>
                <w:b/>
              </w:rPr>
              <w:t>3.1</w:t>
            </w:r>
            <w:r w:rsidRPr="002D06DD">
              <w:rPr>
                <w:rFonts w:ascii="Times New Roman" w:hAnsi="Times New Roman"/>
              </w:rPr>
              <w:t xml:space="preserve">. Ktoré podnikateľské subjekty budú predkladaným návrhom ovplyvnené? </w:t>
            </w:r>
          </w:p>
        </w:tc>
        <w:tc>
          <w:tcPr>
            <w:tcW w:w="5040" w:type="dxa"/>
            <w:tcBorders>
              <w:top w:val="nil"/>
              <w:left w:val="nil"/>
              <w:bottom w:val="single" w:sz="4" w:space="0" w:color="auto"/>
              <w:right w:val="single" w:sz="8" w:space="0" w:color="auto"/>
            </w:tcBorders>
            <w:noWrap/>
            <w:textDirection w:val="lrTb"/>
            <w:vAlign w:val="center"/>
          </w:tcPr>
          <w:p w:rsidR="007C60E8" w:rsidRPr="002D06DD" w:rsidP="001D3864">
            <w:pPr>
              <w:bidi w:val="0"/>
              <w:jc w:val="both"/>
              <w:rPr>
                <w:rFonts w:ascii="Times New Roman" w:hAnsi="Times New Roman"/>
              </w:rPr>
            </w:pPr>
          </w:p>
          <w:p w:rsidR="007C60E8" w:rsidRPr="002D06DD" w:rsidP="001D3864">
            <w:pPr>
              <w:bidi w:val="0"/>
              <w:jc w:val="both"/>
              <w:rPr>
                <w:rFonts w:ascii="Times New Roman" w:hAnsi="Times New Roman"/>
              </w:rPr>
            </w:pPr>
            <w:r w:rsidRPr="002D06DD">
              <w:rPr>
                <w:rFonts w:ascii="Times New Roman" w:hAnsi="Times New Roman"/>
              </w:rPr>
              <w:t>Predkladaný návrh zákona bude mať vplyv na tie podnikateľské subjekty, ktoré používajú zemný plyn ako pohonnú látku (CNG).</w:t>
            </w:r>
          </w:p>
          <w:p w:rsidR="007C60E8" w:rsidRPr="002D06DD" w:rsidP="001D3864">
            <w:pPr>
              <w:bidi w:val="0"/>
              <w:jc w:val="both"/>
              <w:rPr>
                <w:rFonts w:ascii="Times New Roman" w:hAnsi="Times New Roman"/>
              </w:rPr>
            </w:pP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7C60E8" w:rsidRPr="002D06DD" w:rsidP="001D3864">
            <w:pPr>
              <w:bidi w:val="0"/>
              <w:jc w:val="both"/>
              <w:rPr>
                <w:rFonts w:ascii="Times New Roman" w:hAnsi="Times New Roman"/>
                <w:b/>
              </w:rPr>
            </w:pPr>
          </w:p>
          <w:p w:rsidR="007C60E8" w:rsidRPr="002D06DD" w:rsidP="001D3864">
            <w:pPr>
              <w:bidi w:val="0"/>
              <w:jc w:val="both"/>
              <w:rPr>
                <w:rFonts w:ascii="Times New Roman" w:hAnsi="Times New Roman"/>
              </w:rPr>
            </w:pPr>
            <w:r w:rsidRPr="002D06DD">
              <w:rPr>
                <w:rFonts w:ascii="Times New Roman" w:hAnsi="Times New Roman"/>
                <w:b/>
              </w:rPr>
              <w:t>3.2</w:t>
            </w:r>
            <w:r w:rsidRPr="002D06DD">
              <w:rPr>
                <w:rFonts w:ascii="Times New Roman" w:hAnsi="Times New Roman"/>
              </w:rPr>
              <w:t>. Aký je predpokladaný charakter a rozsah nákladov a prínosov?</w:t>
            </w:r>
          </w:p>
          <w:p w:rsidR="007C60E8" w:rsidRPr="002D06DD" w:rsidP="001D3864">
            <w:pPr>
              <w:bidi w:val="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7C60E8" w:rsidRPr="002D06DD" w:rsidP="001D3864">
            <w:pPr>
              <w:bidi w:val="0"/>
              <w:jc w:val="both"/>
              <w:rPr>
                <w:rFonts w:ascii="Times New Roman" w:hAnsi="Times New Roman"/>
                <w:lang w:val="pt-BR"/>
              </w:rPr>
            </w:pPr>
            <w:r>
              <w:rPr>
                <w:rFonts w:ascii="Times New Roman" w:hAnsi="Times New Roman"/>
                <w:lang w:val="pt-BR"/>
              </w:rPr>
              <w:t>Predpokladá sa zvýšenie výrobných nákladov dotknutých podnikateľských podnikov.</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7C60E8" w:rsidRPr="002D06DD" w:rsidP="001D3864">
            <w:pPr>
              <w:bidi w:val="0"/>
              <w:jc w:val="both"/>
              <w:rPr>
                <w:rFonts w:ascii="Times New Roman" w:hAnsi="Times New Roman"/>
              </w:rPr>
            </w:pPr>
          </w:p>
          <w:p w:rsidR="007C60E8" w:rsidRPr="002D06DD" w:rsidP="001D3864">
            <w:pPr>
              <w:bidi w:val="0"/>
              <w:jc w:val="both"/>
              <w:rPr>
                <w:rFonts w:ascii="Times New Roman" w:hAnsi="Times New Roman"/>
              </w:rPr>
            </w:pPr>
            <w:r w:rsidRPr="002D06DD">
              <w:rPr>
                <w:rFonts w:ascii="Times New Roman" w:hAnsi="Times New Roman"/>
                <w:b/>
              </w:rPr>
              <w:t>3.3</w:t>
            </w:r>
            <w:r w:rsidRPr="002D06DD">
              <w:rPr>
                <w:rFonts w:ascii="Times New Roman" w:hAnsi="Times New Roman"/>
              </w:rPr>
              <w:t>. Aká je predpokladaná výška administratívnych nákladov, ktoré podniky vynaložia v súvislosti s implementáciou návrhu?</w:t>
            </w:r>
          </w:p>
          <w:p w:rsidR="007C60E8" w:rsidRPr="002D06DD" w:rsidP="001D3864">
            <w:pPr>
              <w:bidi w:val="0"/>
              <w:ind w:left="360" w:hanging="36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7C60E8" w:rsidRPr="002D06DD" w:rsidP="001D3864">
            <w:pPr>
              <w:bidi w:val="0"/>
              <w:jc w:val="both"/>
              <w:rPr>
                <w:rFonts w:ascii="Times New Roman" w:hAnsi="Times New Roman"/>
              </w:rPr>
            </w:pPr>
            <w:r w:rsidRPr="002D06DD">
              <w:rPr>
                <w:rFonts w:ascii="Times New Roman" w:hAnsi="Times New Roman"/>
              </w:rPr>
              <w:t>Nepredpokladajú sa žiadne administratívne náklady.</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7C60E8" w:rsidRPr="002D06DD" w:rsidP="001D3864">
            <w:pPr>
              <w:bidi w:val="0"/>
              <w:jc w:val="both"/>
              <w:rPr>
                <w:rFonts w:ascii="Times New Roman" w:hAnsi="Times New Roman"/>
              </w:rPr>
            </w:pPr>
          </w:p>
          <w:p w:rsidR="007C60E8" w:rsidRPr="002D06DD" w:rsidP="001D3864">
            <w:pPr>
              <w:bidi w:val="0"/>
              <w:jc w:val="both"/>
              <w:rPr>
                <w:rFonts w:ascii="Times New Roman" w:hAnsi="Times New Roman"/>
              </w:rPr>
            </w:pPr>
            <w:r w:rsidRPr="002D06DD">
              <w:rPr>
                <w:rFonts w:ascii="Times New Roman" w:hAnsi="Times New Roman"/>
                <w:b/>
              </w:rPr>
              <w:t>3.4</w:t>
            </w:r>
            <w:r w:rsidRPr="002D06DD">
              <w:rPr>
                <w:rFonts w:ascii="Times New Roman" w:hAnsi="Times New Roman"/>
              </w:rPr>
              <w:t>. Aké sú dôsledky pripravovaného návrhu pre fungovanie podnikateľských subjektov na slovenskom trhu (ako sa zmenia operácie na trhu?)</w:t>
            </w:r>
          </w:p>
          <w:p w:rsidR="007C60E8" w:rsidRPr="002D06DD" w:rsidP="001D3864">
            <w:pPr>
              <w:bidi w:val="0"/>
              <w:ind w:left="36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7C60E8" w:rsidRPr="002D06DD" w:rsidP="001D3864">
            <w:pPr>
              <w:bidi w:val="0"/>
              <w:jc w:val="both"/>
              <w:rPr>
                <w:rFonts w:ascii="Times New Roman" w:hAnsi="Times New Roman"/>
              </w:rPr>
            </w:pPr>
            <w:r>
              <w:rPr>
                <w:rFonts w:ascii="Times New Roman" w:hAnsi="Times New Roman"/>
                <w:lang w:val="pt-BR"/>
              </w:rPr>
              <w:t>Celkový ohadovaný vplyv zvýšenia sadzby spotrebnej dane na CNG bude predstavovať pre podnikateľov zvýšenie nákladov o 2,64 mil. Eur. Pre platiteľov DPH je vplyv nákladov len vo výške zmeny spotrebnej dane, DPH si uplatňujú pri vstupe.</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7C60E8" w:rsidRPr="002D06DD" w:rsidP="001D3864">
            <w:pPr>
              <w:bidi w:val="0"/>
              <w:jc w:val="both"/>
              <w:rPr>
                <w:rFonts w:ascii="Times New Roman" w:hAnsi="Times New Roman"/>
              </w:rPr>
            </w:pPr>
          </w:p>
          <w:p w:rsidR="007C60E8" w:rsidRPr="002D06DD" w:rsidP="001D3864">
            <w:pPr>
              <w:bidi w:val="0"/>
              <w:jc w:val="both"/>
              <w:rPr>
                <w:rFonts w:ascii="Times New Roman" w:hAnsi="Times New Roman"/>
              </w:rPr>
            </w:pPr>
            <w:r w:rsidRPr="002D06DD">
              <w:rPr>
                <w:rFonts w:ascii="Times New Roman" w:hAnsi="Times New Roman"/>
                <w:b/>
              </w:rPr>
              <w:t>3.5</w:t>
            </w:r>
            <w:r w:rsidRPr="002D06DD">
              <w:rPr>
                <w:rFonts w:ascii="Times New Roman" w:hAnsi="Times New Roman"/>
              </w:rPr>
              <w:t>. Aké sú predpokladané spoločensko-ekonomické dôsledky pripravovaných regulácií?</w:t>
            </w:r>
          </w:p>
          <w:p w:rsidR="007C60E8" w:rsidRPr="002D06DD" w:rsidP="001D3864">
            <w:pPr>
              <w:bidi w:val="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7C60E8" w:rsidRPr="002D06DD" w:rsidP="001D3864">
            <w:pPr>
              <w:bidi w:val="0"/>
              <w:jc w:val="both"/>
              <w:rPr>
                <w:rFonts w:ascii="Times New Roman" w:hAnsi="Times New Roman"/>
              </w:rPr>
            </w:pPr>
            <w:r w:rsidRPr="002D06DD">
              <w:rPr>
                <w:rFonts w:ascii="Times New Roman" w:hAnsi="Times New Roman"/>
              </w:rPr>
              <w:t>Predpokladá sa nárast cien v autobusovej a osobnej doprave.</w:t>
            </w:r>
            <w:r>
              <w:rPr>
                <w:rFonts w:ascii="Times New Roman" w:hAnsi="Times New Roman"/>
              </w:rPr>
              <w:t xml:space="preserve"> Predpokladané zvýšenie ceny 1 kg CNG z dôvodu zrušenia oslobodenia od spotrebnej dane predstavuje 0,17 eur/kg, pričom vrátane zvýšenia DPH na 20 % by sa mala koncová cena CNG zvýšiť o 0,2 eur/kg.</w:t>
            </w:r>
          </w:p>
        </w:tc>
      </w:tr>
    </w:tbl>
    <w:p w:rsidR="007C60E8" w:rsidRPr="002D06DD" w:rsidP="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8E39E9">
      <w:pPr>
        <w:bidi w:val="0"/>
        <w:rPr>
          <w:rFonts w:ascii="Times New Roman" w:hAnsi="Times New Roman"/>
        </w:rPr>
      </w:pPr>
    </w:p>
    <w:p w:rsidR="008E39E9">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8E39E9">
      <w:pPr>
        <w:bidi w:val="0"/>
        <w:rPr>
          <w:rFonts w:ascii="Times New Roman" w:hAnsi="Times New Roman"/>
        </w:rPr>
      </w:pPr>
    </w:p>
    <w:p w:rsidR="007C60E8" w:rsidRPr="001B2760" w:rsidP="007C60E8">
      <w:pPr>
        <w:bidi w:val="0"/>
        <w:rPr>
          <w:rFonts w:ascii="Times New Roman" w:hAnsi="Times New Roman"/>
          <w:b/>
        </w:rPr>
      </w:pPr>
      <w:r w:rsidRPr="001B2760">
        <w:rPr>
          <w:rFonts w:ascii="Times New Roman" w:hAnsi="Times New Roman"/>
          <w:b/>
        </w:rPr>
        <w:t>Sociálne vplyvy - vplyvy na hospodárenie obyvateľstva, sociálnu exklúziu, rovnosť príležitostí a rodovú rovnosť a na zamestnanosť</w:t>
      </w:r>
    </w:p>
    <w:p w:rsidR="007C60E8" w:rsidRPr="001B2760" w:rsidP="007C60E8">
      <w:pPr>
        <w:bidi w:val="0"/>
        <w:rPr>
          <w:rFonts w:ascii="Times New Roman" w:hAnsi="Times New Roman"/>
          <w:b/>
          <w:bCs/>
        </w:rPr>
      </w:pPr>
    </w:p>
    <w:p w:rsidR="007C60E8" w:rsidRPr="001B2760" w:rsidP="007C60E8">
      <w:pPr>
        <w:bidi w:val="0"/>
        <w:rPr>
          <w:rFonts w:ascii="Times New Roman" w:hAnsi="Times New Roman"/>
          <w:b/>
          <w:bCs/>
        </w:rPr>
      </w:pPr>
    </w:p>
    <w:tbl>
      <w:tblPr>
        <w:tblStyle w:val="TableNormal"/>
        <w:tblW w:w="9015" w:type="dxa"/>
        <w:jc w:val="center"/>
        <w:tblCellMar>
          <w:left w:w="70" w:type="dxa"/>
          <w:right w:w="70" w:type="dxa"/>
        </w:tblCellMar>
      </w:tblPr>
      <w:tblGrid>
        <w:gridCol w:w="4875"/>
        <w:gridCol w:w="414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7C60E8" w:rsidRPr="001B2760" w:rsidP="001D3864">
            <w:pPr>
              <w:bidi w:val="0"/>
              <w:jc w:val="center"/>
              <w:rPr>
                <w:rFonts w:ascii="Times New Roman" w:hAnsi="Times New Roman"/>
                <w:b/>
                <w:bCs/>
                <w:color w:val="FFFFFF"/>
              </w:rPr>
            </w:pPr>
            <w:r w:rsidRPr="001B2760">
              <w:rPr>
                <w:rFonts w:ascii="Times New Roman" w:hAnsi="Times New Roman"/>
                <w:b/>
                <w:bCs/>
                <w:color w:val="FFFFFF"/>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7C60E8" w:rsidRPr="001B2760" w:rsidP="001D3864">
            <w:pPr>
              <w:bidi w:val="0"/>
              <w:jc w:val="both"/>
              <w:rPr>
                <w:rFonts w:ascii="Times New Roman" w:hAnsi="Times New Roman"/>
              </w:rPr>
            </w:pPr>
            <w:r w:rsidRPr="001B2760">
              <w:rPr>
                <w:rFonts w:ascii="Times New Roman" w:hAnsi="Times New Roman"/>
                <w:b/>
              </w:rPr>
              <w:t>4.1.</w:t>
            </w:r>
            <w:r w:rsidRPr="001B2760">
              <w:rPr>
                <w:rFonts w:ascii="Times New Roman" w:hAnsi="Times New Roman"/>
              </w:rPr>
              <w:t xml:space="preserve"> Identifikujte vplyv na hospodárenie   domácností a špecifikujte ovplyvnené skupiny domácností, ktoré budú pozitívne/negatívne ovplyvnené.  </w:t>
            </w:r>
          </w:p>
        </w:tc>
        <w:tc>
          <w:tcPr>
            <w:tcW w:w="4140" w:type="dxa"/>
            <w:tcBorders>
              <w:top w:val="single" w:sz="4" w:space="0" w:color="auto"/>
              <w:left w:val="nil"/>
              <w:bottom w:val="single" w:sz="4" w:space="0" w:color="auto"/>
              <w:right w:val="single" w:sz="4" w:space="0" w:color="auto"/>
            </w:tcBorders>
            <w:textDirection w:val="lrTb"/>
            <w:vAlign w:val="top"/>
          </w:tcPr>
          <w:p w:rsidR="007C60E8" w:rsidRPr="003C64AC" w:rsidP="001D3864">
            <w:pPr>
              <w:bidi w:val="0"/>
              <w:rPr>
                <w:rFonts w:ascii="Times New Roman" w:hAnsi="Times New Roman"/>
              </w:rPr>
            </w:pPr>
            <w:r w:rsidRPr="003C64AC">
              <w:rPr>
                <w:rFonts w:ascii="Times New Roman" w:hAnsi="Times New Roman"/>
              </w:rPr>
              <w:t>Predpokladá sa, že zrušenie oslobodenia uhlia a zemného plynu používaného na výrobu tepla teplárenskými spoločnosťami určeného pre domácnosti bude mať nepriamo vplyv na tieto domácnosti, a to zvýšením ceny za odobraté teplo.</w:t>
            </w:r>
          </w:p>
          <w:p w:rsidR="007C60E8" w:rsidRPr="003C64AC" w:rsidP="001D3864">
            <w:pPr>
              <w:bidi w:val="0"/>
              <w:rPr>
                <w:rFonts w:ascii="Times New Roman" w:hAnsi="Times New Roman"/>
              </w:rPr>
            </w:pPr>
            <w:r w:rsidRPr="003C64AC">
              <w:rPr>
                <w:rFonts w:ascii="Times New Roman" w:hAnsi="Times New Roman"/>
              </w:rPr>
              <w:t>Pre domácnosti, ktoré používajú teplo z teplární vyrábané kombinovane zo zemného plynu, uhlia a biomasy sa zvýši cena tepla vrátane DPH v priemere o 2,8% t. j. o 22,1 eur/rok. V prípade teplární vyrábajúcich teplo pre domácnosti len zo zemného plynu, by bol nárast ceny tepla vrátane DPH v priemere o 2,6% t. j. o 20,6 eur/rok. V prípade teplární vyrábajúcich teplo len z uhlia by bol nárast ceny vrátane DPH o 4,2% t. j. o 33,5 eur/rok.</w:t>
            </w:r>
          </w:p>
          <w:p w:rsidR="007C60E8" w:rsidRPr="003C64AC" w:rsidP="001D3864">
            <w:pPr>
              <w:bidi w:val="0"/>
              <w:rPr>
                <w:rFonts w:ascii="Times New Roman" w:hAnsi="Times New Roman"/>
              </w:rPr>
            </w:pPr>
            <w:r w:rsidRPr="003C64AC">
              <w:rPr>
                <w:rFonts w:ascii="Times New Roman" w:hAnsi="Times New Roman"/>
              </w:rPr>
              <w:t>Počty ovplyvnených domácností v jednotlivých kategóriách nie je možné kvantifikovať z dôvodu, že Ministerstvo financií Slovenskej republiky nedisponuje informáciami o percentuálnych vstupoch médií, ktoré používajú teplárenské spoločnosti na výrobu tepla, pričom percentuálne zloženie médií je počas roka variabilné.</w:t>
            </w:r>
            <w:r w:rsidRPr="003C64AC">
              <w:rPr>
                <w:rFonts w:ascii="Times New Roman" w:hAnsi="Times New Roman"/>
                <w:sz w:val="20"/>
                <w:szCs w:val="20"/>
              </w:rPr>
              <w:t xml:space="preserve"> </w:t>
            </w:r>
            <w:r w:rsidRPr="003C64AC">
              <w:rPr>
                <w:rFonts w:ascii="Times New Roman" w:hAnsi="Times New Roman"/>
              </w:rPr>
              <w:t xml:space="preserve">Podľa URSO je v štruktúre bytov a rodinných domov podiel domácností zásobovaných teplom z centrálneho zdroja na Slovensku približne 40%, ďalších 5% domácností v bytoch využívajú vlastnú kotolňu a zvyšných 55% domácností žije v domoch s vlastným vykurovaním. </w:t>
            </w:r>
          </w:p>
          <w:p w:rsidR="007C60E8" w:rsidRPr="003C64AC" w:rsidP="001D3864">
            <w:pPr>
              <w:bidi w:val="0"/>
              <w:rPr>
                <w:rFonts w:ascii="Times New Roman" w:hAnsi="Times New Roman"/>
              </w:rPr>
            </w:pPr>
            <w:r w:rsidRPr="003C64AC">
              <w:rPr>
                <w:rFonts w:ascii="Times New Roman" w:hAnsi="Times New Roman"/>
              </w:rPr>
              <w:t xml:space="preserve">Zákon bude mať negatívny vplyv na hospodárenie domácností. </w:t>
            </w:r>
          </w:p>
          <w:p w:rsidR="007C60E8" w:rsidRPr="001B2760" w:rsidP="001D3864">
            <w:pPr>
              <w:bidi w:val="0"/>
              <w:rPr>
                <w:rFonts w:ascii="Times New Roman" w:hAnsi="Times New Roman"/>
              </w:rPr>
            </w:pPr>
            <w:r w:rsidRPr="003C64AC">
              <w:rPr>
                <w:rFonts w:ascii="Times New Roman" w:hAnsi="Times New Roman"/>
              </w:rPr>
              <w:t>V prípade zrušenia oslobodenia zemného plynu určeného ako pohonná látka, sa predpokladá negatívny dopad na cenu a služby poskytované autobusovou prepravou.</w:t>
            </w:r>
            <w:r>
              <w:rPr>
                <w:rFonts w:ascii="Times New Roman" w:hAnsi="Times New Roman"/>
              </w:rPr>
              <w:t xml:space="preserve"> Predpokladané zvýšenie ceny 1 kg CNG z dôvodu zrušenia oslobodenia od spotrebnej dane predstavuje 0,17 eur/kg, pričom vrátane zvýšenia DPH na 20 % by sa mala koncová cena CNG zvýšiť o 0,2 eur/kg.</w:t>
            </w:r>
          </w:p>
        </w:tc>
      </w:tr>
      <w:tr>
        <w:tblPrEx>
          <w:tblW w:w="9015" w:type="dxa"/>
          <w:jc w:val="center"/>
          <w:tblCellMar>
            <w:left w:w="70" w:type="dxa"/>
            <w:right w:w="70" w:type="dxa"/>
          </w:tblCellMar>
        </w:tblPrEx>
        <w:trPr>
          <w:cantSplit/>
          <w:trHeight w:val="528"/>
          <w:jc w:val="center"/>
        </w:trPr>
        <w:tc>
          <w:tcPr>
            <w:tcW w:w="4875" w:type="dxa"/>
            <w:tcBorders>
              <w:top w:val="single" w:sz="4" w:space="0" w:color="auto"/>
              <w:left w:val="single" w:sz="4" w:space="0" w:color="auto"/>
              <w:bottom w:val="nil"/>
              <w:right w:val="single" w:sz="4" w:space="0" w:color="auto"/>
            </w:tcBorders>
            <w:textDirection w:val="lrTb"/>
            <w:vAlign w:val="center"/>
          </w:tcPr>
          <w:p w:rsidR="007C60E8" w:rsidRPr="001B2760" w:rsidP="001D3864">
            <w:pPr>
              <w:bidi w:val="0"/>
              <w:ind w:firstLine="480" w:firstLineChars="200"/>
              <w:jc w:val="both"/>
              <w:rPr>
                <w:rFonts w:ascii="Times New Roman" w:hAnsi="Times New Roman"/>
              </w:rPr>
            </w:pPr>
            <w:r w:rsidRPr="001B2760">
              <w:rPr>
                <w:rFonts w:ascii="Times New Roman" w:hAnsi="Times New Roman"/>
              </w:rPr>
              <w:t xml:space="preserve">Kvantifikujte: </w:t>
            </w:r>
          </w:p>
        </w:tc>
        <w:tc>
          <w:tcPr>
            <w:tcW w:w="4140" w:type="dxa"/>
            <w:vMerge w:val="restart"/>
            <w:tcBorders>
              <w:top w:val="none" w:sz="0" w:space="0" w:color="auto"/>
              <w:left w:val="nil"/>
              <w:bottom w:val="single" w:sz="4" w:space="0" w:color="auto"/>
              <w:right w:val="single" w:sz="4" w:space="0" w:color="auto"/>
            </w:tcBorders>
            <w:textDirection w:val="lrTb"/>
            <w:vAlign w:val="top"/>
          </w:tcPr>
          <w:p w:rsidR="007C60E8" w:rsidRPr="001B2760" w:rsidP="001D3864">
            <w:pPr>
              <w:bidi w:val="0"/>
              <w:jc w:val="both"/>
              <w:rPr>
                <w:rFonts w:ascii="Times New Roman" w:hAnsi="Times New Roman"/>
              </w:rPr>
            </w:pPr>
          </w:p>
          <w:p w:rsidR="007C60E8" w:rsidRPr="001B2760" w:rsidP="001D3864">
            <w:pPr>
              <w:bidi w:val="0"/>
              <w:jc w:val="both"/>
              <w:rPr>
                <w:rFonts w:ascii="Times New Roman" w:hAnsi="Times New Roman"/>
              </w:rPr>
            </w:pPr>
            <w:r w:rsidRPr="001B2760">
              <w:rPr>
                <w:rFonts w:ascii="Times New Roman" w:hAnsi="Times New Roman"/>
              </w:rPr>
              <w:t>Nekvantifikované.</w:t>
            </w:r>
          </w:p>
        </w:tc>
      </w:tr>
      <w:tr>
        <w:tblPrEx>
          <w:tblW w:w="9015" w:type="dxa"/>
          <w:jc w:val="center"/>
          <w:tblCellMar>
            <w:left w:w="70" w:type="dxa"/>
            <w:right w:w="70" w:type="dxa"/>
          </w:tblCellMar>
        </w:tblPrEx>
        <w:trPr>
          <w:cantSplit/>
          <w:trHeight w:val="549"/>
          <w:jc w:val="center"/>
        </w:trPr>
        <w:tc>
          <w:tcPr>
            <w:tcW w:w="4875" w:type="dxa"/>
            <w:tcBorders>
              <w:top w:val="nil"/>
              <w:left w:val="single" w:sz="4" w:space="0" w:color="auto"/>
              <w:bottom w:val="nil"/>
              <w:right w:val="single" w:sz="4" w:space="0" w:color="auto"/>
            </w:tcBorders>
            <w:textDirection w:val="lrTb"/>
            <w:vAlign w:val="center"/>
          </w:tcPr>
          <w:p w:rsidR="007C60E8" w:rsidRPr="001B2760" w:rsidP="001D3864">
            <w:pPr>
              <w:bidi w:val="0"/>
              <w:ind w:firstLine="720" w:firstLineChars="300"/>
              <w:jc w:val="both"/>
              <w:rPr>
                <w:rFonts w:ascii="Times New Roman" w:hAnsi="Times New Roman"/>
              </w:rPr>
            </w:pPr>
            <w:r w:rsidRPr="001B2760">
              <w:rPr>
                <w:rFonts w:ascii="Times New Roman" w:hAnsi="Times New Roman"/>
              </w:rPr>
              <w:t>- Rast alebo pokles príjmov/výdavkov na priemerného obyvateľa</w:t>
            </w:r>
          </w:p>
        </w:tc>
        <w:tc>
          <w:tcPr>
            <w:tcW w:w="4140" w:type="dxa"/>
            <w:vMerge/>
            <w:tcBorders>
              <w:top w:val="nil"/>
              <w:left w:val="nil"/>
              <w:bottom w:val="single" w:sz="4" w:space="0" w:color="auto"/>
              <w:right w:val="single" w:sz="4" w:space="0" w:color="auto"/>
            </w:tcBorders>
            <w:textDirection w:val="lrTb"/>
            <w:vAlign w:val="center"/>
          </w:tcPr>
          <w:p w:rsidR="007C60E8" w:rsidRPr="001B2760" w:rsidP="001D3864">
            <w:pPr>
              <w:bidi w:val="0"/>
              <w:rPr>
                <w:rFonts w:ascii="Times New Roman" w:hAnsi="Times New Roman"/>
              </w:rPr>
            </w:pPr>
          </w:p>
        </w:tc>
      </w:tr>
      <w:tr>
        <w:tblPrEx>
          <w:tblW w:w="9015" w:type="dxa"/>
          <w:jc w:val="center"/>
          <w:tblCellMar>
            <w:left w:w="70" w:type="dxa"/>
            <w:right w:w="70" w:type="dxa"/>
          </w:tblCellMar>
        </w:tblPrEx>
        <w:trPr>
          <w:cantSplit/>
          <w:trHeight w:val="870"/>
          <w:jc w:val="center"/>
        </w:trPr>
        <w:tc>
          <w:tcPr>
            <w:tcW w:w="4875" w:type="dxa"/>
            <w:tcBorders>
              <w:top w:val="nil"/>
              <w:left w:val="single" w:sz="4" w:space="0" w:color="auto"/>
              <w:bottom w:val="nil"/>
              <w:right w:val="single" w:sz="4" w:space="0" w:color="auto"/>
            </w:tcBorders>
            <w:textDirection w:val="lrTb"/>
            <w:vAlign w:val="center"/>
          </w:tcPr>
          <w:p w:rsidR="007C60E8" w:rsidRPr="001B2760" w:rsidP="001D3864">
            <w:pPr>
              <w:bidi w:val="0"/>
              <w:ind w:firstLine="720" w:firstLineChars="300"/>
              <w:jc w:val="both"/>
              <w:rPr>
                <w:rFonts w:ascii="Times New Roman" w:hAnsi="Times New Roman"/>
              </w:rPr>
            </w:pPr>
            <w:r w:rsidRPr="001B2760">
              <w:rPr>
                <w:rFonts w:ascii="Times New Roman" w:hAnsi="Times New Roman"/>
              </w:rPr>
              <w:t>- Rast alebo pokles príjmov/výdavkov                  za jednotlivé ovplyvnené  skupiny domácností</w:t>
            </w:r>
          </w:p>
          <w:p w:rsidR="007C60E8" w:rsidRPr="001B2760" w:rsidP="001D3864">
            <w:pPr>
              <w:bidi w:val="0"/>
              <w:ind w:firstLine="720" w:firstLineChars="300"/>
              <w:jc w:val="both"/>
              <w:rPr>
                <w:rFonts w:ascii="Times New Roman" w:hAnsi="Times New Roman"/>
              </w:rPr>
            </w:pPr>
            <w:r w:rsidRPr="001B2760">
              <w:rPr>
                <w:rFonts w:ascii="Times New Roman" w:hAnsi="Times New Roman"/>
              </w:rPr>
              <w:t>- Celkový počet obyvateľstva/domácností ovplyvnených predkladaným materiálom</w:t>
            </w:r>
          </w:p>
        </w:tc>
        <w:tc>
          <w:tcPr>
            <w:tcW w:w="4140" w:type="dxa"/>
            <w:vMerge/>
            <w:tcBorders>
              <w:top w:val="nil"/>
              <w:left w:val="nil"/>
              <w:bottom w:val="single" w:sz="4" w:space="0" w:color="auto"/>
              <w:right w:val="single" w:sz="4" w:space="0" w:color="auto"/>
            </w:tcBorders>
            <w:textDirection w:val="lrTb"/>
            <w:vAlign w:val="center"/>
          </w:tcPr>
          <w:p w:rsidR="007C60E8" w:rsidRPr="001B2760" w:rsidP="001D3864">
            <w:pPr>
              <w:bidi w:val="0"/>
              <w:rPr>
                <w:rFonts w:ascii="Times New Roman" w:hAnsi="Times New Roman"/>
              </w:rPr>
            </w:pPr>
          </w:p>
        </w:tc>
      </w:tr>
      <w:tr>
        <w:tblPrEx>
          <w:tblW w:w="9015" w:type="dxa"/>
          <w:jc w:val="center"/>
          <w:tblCellMar>
            <w:left w:w="70" w:type="dxa"/>
            <w:right w:w="70" w:type="dxa"/>
          </w:tblCellMar>
        </w:tblPrEx>
        <w:trPr>
          <w:cantSplit/>
          <w:trHeight w:val="128"/>
          <w:jc w:val="center"/>
        </w:trPr>
        <w:tc>
          <w:tcPr>
            <w:tcW w:w="4875" w:type="dxa"/>
            <w:tcBorders>
              <w:top w:val="nil"/>
              <w:left w:val="single" w:sz="4" w:space="0" w:color="auto"/>
              <w:bottom w:val="nil"/>
              <w:right w:val="single" w:sz="4" w:space="0" w:color="auto"/>
            </w:tcBorders>
            <w:textDirection w:val="lrTb"/>
            <w:vAlign w:val="center"/>
          </w:tcPr>
          <w:p w:rsidR="007C60E8" w:rsidRPr="001B2760" w:rsidP="001D3864">
            <w:pPr>
              <w:bidi w:val="0"/>
              <w:ind w:firstLine="720" w:firstLineChars="300"/>
              <w:jc w:val="both"/>
              <w:rPr>
                <w:rFonts w:ascii="Times New Roman" w:hAnsi="Times New Roman"/>
              </w:rPr>
            </w:pPr>
          </w:p>
        </w:tc>
        <w:tc>
          <w:tcPr>
            <w:tcW w:w="4140" w:type="dxa"/>
            <w:vMerge/>
            <w:tcBorders>
              <w:top w:val="nil"/>
              <w:left w:val="nil"/>
              <w:bottom w:val="single" w:sz="4" w:space="0" w:color="auto"/>
              <w:right w:val="single" w:sz="4" w:space="0" w:color="auto"/>
            </w:tcBorders>
            <w:textDirection w:val="lrTb"/>
            <w:vAlign w:val="center"/>
          </w:tcPr>
          <w:p w:rsidR="007C60E8" w:rsidRPr="001B2760" w:rsidP="001D3864">
            <w:pPr>
              <w:bidi w:val="0"/>
              <w:rPr>
                <w:rFonts w:ascii="Times New Roman" w:hAnsi="Times New Roman"/>
              </w:rPr>
            </w:pPr>
          </w:p>
        </w:tc>
      </w:tr>
      <w:tr>
        <w:tblPrEx>
          <w:tblW w:w="9015" w:type="dxa"/>
          <w:jc w:val="center"/>
          <w:tblCellMar>
            <w:left w:w="70" w:type="dxa"/>
            <w:right w:w="70" w:type="dxa"/>
          </w:tblCellMar>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7C60E8" w:rsidRPr="001B2760" w:rsidP="001D3864">
            <w:pPr>
              <w:bidi w:val="0"/>
              <w:jc w:val="both"/>
              <w:rPr>
                <w:rFonts w:ascii="Times New Roman" w:hAnsi="Times New Roman"/>
              </w:rPr>
            </w:pPr>
            <w:r w:rsidRPr="001B2760">
              <w:rPr>
                <w:rFonts w:ascii="Times New Roman" w:hAnsi="Times New Roman"/>
                <w:b/>
              </w:rPr>
              <w:t>4.2.</w:t>
            </w:r>
            <w:r w:rsidRPr="001B2760">
              <w:rPr>
                <w:rFonts w:ascii="Times New Roman" w:hAnsi="Times New Roman"/>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4" w:space="0" w:color="auto"/>
              <w:right w:val="single" w:sz="4" w:space="0" w:color="auto"/>
            </w:tcBorders>
            <w:textDirection w:val="lrTb"/>
            <w:vAlign w:val="top"/>
          </w:tcPr>
          <w:p w:rsidR="007C60E8" w:rsidRPr="001B2760" w:rsidP="001D3864">
            <w:pPr>
              <w:bidi w:val="0"/>
              <w:jc w:val="both"/>
              <w:rPr>
                <w:rFonts w:ascii="Times New Roman" w:hAnsi="Times New Roman"/>
              </w:rPr>
            </w:pPr>
            <w:r w:rsidRPr="001B2760">
              <w:rPr>
                <w:rFonts w:ascii="Times New Roman" w:hAnsi="Times New Roman"/>
              </w:rPr>
              <w:t> </w:t>
            </w:r>
          </w:p>
          <w:p w:rsidR="007C60E8" w:rsidRPr="001B2760" w:rsidP="001D3864">
            <w:pPr>
              <w:bidi w:val="0"/>
              <w:jc w:val="both"/>
              <w:rPr>
                <w:rFonts w:ascii="Times New Roman" w:hAnsi="Times New Roman"/>
              </w:rPr>
            </w:pPr>
            <w:r w:rsidRPr="001B2760">
              <w:rPr>
                <w:rFonts w:ascii="Times New Roman" w:hAnsi="Times New Roman"/>
              </w:rPr>
              <w:t>Bez vplyvu.</w:t>
            </w:r>
          </w:p>
        </w:tc>
      </w:tr>
      <w:tr>
        <w:tblPrEx>
          <w:tblW w:w="9015" w:type="dxa"/>
          <w:jc w:val="center"/>
          <w:tblCellMar>
            <w:left w:w="70" w:type="dxa"/>
            <w:right w:w="70" w:type="dxa"/>
          </w:tblCellMar>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7C60E8" w:rsidRPr="001B2760" w:rsidP="001D3864">
            <w:pPr>
              <w:bidi w:val="0"/>
              <w:jc w:val="both"/>
              <w:rPr>
                <w:rFonts w:ascii="Times New Roman" w:hAnsi="Times New Roman"/>
              </w:rPr>
            </w:pPr>
          </w:p>
          <w:p w:rsidR="007C60E8" w:rsidRPr="001B2760" w:rsidP="001D3864">
            <w:pPr>
              <w:bidi w:val="0"/>
              <w:jc w:val="both"/>
              <w:rPr>
                <w:rFonts w:ascii="Times New Roman" w:hAnsi="Times New Roman"/>
              </w:rPr>
            </w:pPr>
            <w:r w:rsidRPr="001B2760">
              <w:rPr>
                <w:rFonts w:ascii="Times New Roman" w:hAnsi="Times New Roman"/>
                <w:b/>
              </w:rPr>
              <w:t>4.3.</w:t>
            </w:r>
            <w:r w:rsidRPr="001B2760">
              <w:rPr>
                <w:rFonts w:ascii="Times New Roman" w:hAnsi="Times New Roman"/>
              </w:rPr>
              <w:t xml:space="preserve">  Zhodnoťte vplyv na rovnosť príležitostí:</w:t>
            </w:r>
          </w:p>
          <w:p w:rsidR="007C60E8" w:rsidRPr="001B2760" w:rsidP="001D3864">
            <w:pPr>
              <w:bidi w:val="0"/>
              <w:jc w:val="both"/>
              <w:rPr>
                <w:rFonts w:ascii="Times New Roman" w:hAnsi="Times New Roman"/>
              </w:rPr>
            </w:pPr>
          </w:p>
          <w:p w:rsidR="007C60E8" w:rsidRPr="001B2760" w:rsidP="001D3864">
            <w:pPr>
              <w:bidi w:val="0"/>
              <w:jc w:val="both"/>
              <w:rPr>
                <w:rFonts w:ascii="Times New Roman" w:hAnsi="Times New Roman"/>
              </w:rPr>
            </w:pPr>
            <w:r w:rsidRPr="001B2760">
              <w:rPr>
                <w:rFonts w:ascii="Times New Roman" w:hAnsi="Times New Roman"/>
              </w:rPr>
              <w:t>Zhodnoťte vplyv na rodovú rovnosť.</w:t>
            </w:r>
          </w:p>
          <w:p w:rsidR="007C60E8" w:rsidRPr="001B2760" w:rsidP="001D3864">
            <w:pPr>
              <w:bidi w:val="0"/>
              <w:jc w:val="both"/>
              <w:rPr>
                <w:rFonts w:ascii="Times New Roman" w:hAnsi="Times New Roman"/>
              </w:rPr>
            </w:pPr>
          </w:p>
        </w:tc>
        <w:tc>
          <w:tcPr>
            <w:tcW w:w="4140" w:type="dxa"/>
            <w:tcBorders>
              <w:top w:val="nil"/>
              <w:left w:val="nil"/>
              <w:bottom w:val="single" w:sz="4" w:space="0" w:color="auto"/>
              <w:right w:val="single" w:sz="4" w:space="0" w:color="auto"/>
            </w:tcBorders>
            <w:textDirection w:val="lrTb"/>
            <w:vAlign w:val="top"/>
          </w:tcPr>
          <w:p w:rsidR="007C60E8" w:rsidRPr="001B2760" w:rsidP="001D3864">
            <w:pPr>
              <w:bidi w:val="0"/>
              <w:jc w:val="both"/>
              <w:rPr>
                <w:rFonts w:ascii="Times New Roman" w:hAnsi="Times New Roman"/>
              </w:rPr>
            </w:pPr>
          </w:p>
          <w:p w:rsidR="007C60E8" w:rsidRPr="001B2760" w:rsidP="001D3864">
            <w:pPr>
              <w:bidi w:val="0"/>
              <w:jc w:val="both"/>
              <w:rPr>
                <w:rFonts w:ascii="Times New Roman" w:hAnsi="Times New Roman"/>
              </w:rPr>
            </w:pPr>
            <w:r w:rsidRPr="001B2760">
              <w:rPr>
                <w:rFonts w:ascii="Times New Roman" w:hAnsi="Times New Roman"/>
              </w:rPr>
              <w:t> Bez vplyvu.</w:t>
            </w:r>
          </w:p>
        </w:tc>
      </w:tr>
      <w:tr>
        <w:tblPrEx>
          <w:tblW w:w="9015" w:type="dxa"/>
          <w:jc w:val="center"/>
          <w:tblCellMar>
            <w:left w:w="70" w:type="dxa"/>
            <w:right w:w="70" w:type="dxa"/>
          </w:tblCellMar>
        </w:tblPrEx>
        <w:trPr>
          <w:trHeight w:val="2252"/>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7C60E8" w:rsidRPr="001B2760" w:rsidP="001D3864">
            <w:pPr>
              <w:bidi w:val="0"/>
              <w:jc w:val="both"/>
              <w:rPr>
                <w:rFonts w:ascii="Times New Roman" w:hAnsi="Times New Roman"/>
              </w:rPr>
            </w:pPr>
            <w:r w:rsidRPr="001B2760">
              <w:rPr>
                <w:rFonts w:ascii="Times New Roman" w:hAnsi="Times New Roman"/>
                <w:b/>
              </w:rPr>
              <w:t xml:space="preserve">4.4. </w:t>
            </w:r>
            <w:r w:rsidRPr="001B2760">
              <w:rPr>
                <w:rFonts w:ascii="Times New Roman" w:hAnsi="Times New Roman"/>
              </w:rPr>
              <w:t>Zhodnoťte vplyvy na zamestnanosť.</w:t>
            </w:r>
          </w:p>
          <w:p w:rsidR="007C60E8" w:rsidRPr="001B2760" w:rsidP="001D3864">
            <w:pPr>
              <w:bidi w:val="0"/>
              <w:jc w:val="both"/>
              <w:rPr>
                <w:rFonts w:ascii="Times New Roman" w:hAnsi="Times New Roman"/>
                <w:b/>
              </w:rPr>
            </w:pPr>
          </w:p>
          <w:p w:rsidR="007C60E8" w:rsidRPr="001B2760" w:rsidP="001D3864">
            <w:pPr>
              <w:bidi w:val="0"/>
              <w:jc w:val="both"/>
              <w:rPr>
                <w:rFonts w:ascii="Times New Roman" w:hAnsi="Times New Roman"/>
                <w:bCs/>
              </w:rPr>
            </w:pPr>
            <w:r w:rsidRPr="001B2760">
              <w:rPr>
                <w:rFonts w:ascii="Times New Roman" w:hAnsi="Times New Roman"/>
                <w:bCs/>
              </w:rPr>
              <w:t>Aké sú  vplyvy na zamestnanosť ?</w:t>
            </w:r>
          </w:p>
          <w:p w:rsidR="007C60E8" w:rsidRPr="001B2760" w:rsidP="001D3864">
            <w:pPr>
              <w:bidi w:val="0"/>
              <w:jc w:val="both"/>
              <w:rPr>
                <w:rFonts w:ascii="Times New Roman" w:hAnsi="Times New Roman"/>
              </w:rPr>
            </w:pPr>
            <w:r w:rsidRPr="001B2760">
              <w:rPr>
                <w:rFonts w:ascii="Times New Roman" w:hAnsi="Times New Roman"/>
                <w:bCs/>
              </w:rPr>
              <w:t>Ktoré skupiny zamestnancov budú ohrozené schválením predkladaného materiálu ?</w:t>
            </w:r>
          </w:p>
          <w:p w:rsidR="007C60E8" w:rsidRPr="001B2760" w:rsidP="001D3864">
            <w:pPr>
              <w:bidi w:val="0"/>
              <w:jc w:val="both"/>
              <w:rPr>
                <w:rFonts w:ascii="Times New Roman" w:hAnsi="Times New Roman"/>
                <w:bCs/>
              </w:rPr>
            </w:pPr>
            <w:r w:rsidRPr="001B2760">
              <w:rPr>
                <w:rFonts w:ascii="Times New Roman" w:hAnsi="Times New Roman"/>
                <w:bCs/>
              </w:rPr>
              <w:t>Hrozí v prípade schválenia predkladaného materiálu hromadné prepúšťanie ?</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7C60E8" w:rsidRPr="001B2760" w:rsidP="001D3864">
            <w:pPr>
              <w:bidi w:val="0"/>
              <w:jc w:val="both"/>
              <w:rPr>
                <w:rFonts w:ascii="Times New Roman" w:hAnsi="Times New Roman"/>
              </w:rPr>
            </w:pPr>
            <w:r w:rsidRPr="001B2760">
              <w:rPr>
                <w:rFonts w:ascii="Times New Roman" w:hAnsi="Times New Roman"/>
              </w:rPr>
              <w:t> </w:t>
            </w:r>
          </w:p>
          <w:p w:rsidR="007C60E8" w:rsidRPr="001B2760" w:rsidP="001D3864">
            <w:pPr>
              <w:bidi w:val="0"/>
              <w:jc w:val="both"/>
              <w:rPr>
                <w:rFonts w:ascii="Times New Roman" w:hAnsi="Times New Roman"/>
              </w:rPr>
            </w:pPr>
            <w:r w:rsidRPr="001B2760">
              <w:rPr>
                <w:rFonts w:ascii="Times New Roman" w:hAnsi="Times New Roman"/>
              </w:rPr>
              <w:t>Bez vplyvu.</w:t>
            </w:r>
          </w:p>
          <w:p w:rsidR="007C60E8" w:rsidRPr="001B2760" w:rsidP="001D3864">
            <w:pPr>
              <w:bidi w:val="0"/>
              <w:jc w:val="both"/>
              <w:rPr>
                <w:rFonts w:ascii="Times New Roman" w:hAnsi="Times New Roman"/>
              </w:rPr>
            </w:pPr>
          </w:p>
        </w:tc>
      </w:tr>
    </w:tbl>
    <w:p w:rsidR="007C60E8" w:rsidRPr="001B2760" w:rsidP="007C60E8">
      <w:pPr>
        <w:pStyle w:val="BodyText"/>
        <w:tabs>
          <w:tab w:val="num" w:pos="1080"/>
        </w:tabs>
        <w:bidi w:val="0"/>
        <w:jc w:val="both"/>
        <w:rPr>
          <w:rFonts w:ascii="Times New Roman" w:hAnsi="Times New Roman"/>
          <w:b/>
          <w:bCs/>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0A32D0">
      <w:pPr>
        <w:bidi w:val="0"/>
        <w:rPr>
          <w:rFonts w:ascii="Times New Roman" w:hAnsi="Times New Roman"/>
        </w:rPr>
      </w:pPr>
    </w:p>
    <w:p w:rsidR="008E39E9">
      <w:pPr>
        <w:bidi w:val="0"/>
        <w:rPr>
          <w:rFonts w:ascii="Times New Roman" w:hAnsi="Times New Roman"/>
        </w:rPr>
      </w:pPr>
    </w:p>
    <w:p w:rsidR="008E39E9">
      <w:pPr>
        <w:bidi w:val="0"/>
        <w:rPr>
          <w:rFonts w:ascii="Times New Roman" w:hAnsi="Times New Roman"/>
        </w:rPr>
      </w:pPr>
    </w:p>
    <w:p w:rsidR="008E39E9">
      <w:pPr>
        <w:bidi w:val="0"/>
        <w:rPr>
          <w:rFonts w:ascii="Times New Roman" w:hAnsi="Times New Roman"/>
        </w:rPr>
      </w:pPr>
    </w:p>
    <w:p w:rsidR="008E39E9">
      <w:pPr>
        <w:bidi w:val="0"/>
        <w:rPr>
          <w:rFonts w:ascii="Times New Roman" w:hAnsi="Times New Roman"/>
        </w:rPr>
      </w:pPr>
    </w:p>
    <w:p w:rsidR="008E39E9">
      <w:pPr>
        <w:bidi w:val="0"/>
        <w:rPr>
          <w:rFonts w:ascii="Times New Roman" w:hAnsi="Times New Roman"/>
        </w:rPr>
      </w:pPr>
    </w:p>
    <w:p w:rsidR="000A32D0">
      <w:pPr>
        <w:bidi w:val="0"/>
        <w:rPr>
          <w:rFonts w:ascii="Times New Roman" w:hAnsi="Times New Roman"/>
        </w:rPr>
      </w:pPr>
    </w:p>
    <w:p w:rsidR="007C60E8">
      <w:pPr>
        <w:bidi w:val="0"/>
        <w:rPr>
          <w:rFonts w:ascii="Times New Roman" w:hAnsi="Times New Roman"/>
        </w:rPr>
      </w:pPr>
    </w:p>
    <w:p w:rsidR="007C60E8">
      <w:pPr>
        <w:bidi w:val="0"/>
        <w:rPr>
          <w:rFonts w:ascii="Times New Roman" w:hAnsi="Times New Roman"/>
        </w:rPr>
      </w:pPr>
    </w:p>
    <w:p w:rsidR="001D3864" w:rsidRPr="00B5369F" w:rsidP="001D3864">
      <w:pPr>
        <w:pStyle w:val="Title"/>
        <w:bidi w:val="0"/>
        <w:rPr>
          <w:rFonts w:ascii="Times New Roman" w:hAnsi="Times New Roman"/>
        </w:rPr>
      </w:pPr>
      <w:r w:rsidRPr="00B5369F">
        <w:rPr>
          <w:rFonts w:ascii="Times New Roman" w:hAnsi="Times New Roman"/>
        </w:rPr>
        <w:t>DOLOŽKA ZLUČITEĽNOSTI</w:t>
      </w:r>
    </w:p>
    <w:p w:rsidR="001D3864" w:rsidRPr="00B5369F" w:rsidP="001D3864">
      <w:pPr>
        <w:pBdr>
          <w:bottom w:val="single" w:sz="12" w:space="1" w:color="auto"/>
        </w:pBdr>
        <w:bidi w:val="0"/>
        <w:jc w:val="center"/>
        <w:rPr>
          <w:rFonts w:ascii="Times New Roman" w:hAnsi="Times New Roman"/>
        </w:rPr>
      </w:pPr>
      <w:r w:rsidRPr="00B5369F">
        <w:rPr>
          <w:rFonts w:ascii="Times New Roman" w:hAnsi="Times New Roman"/>
        </w:rPr>
        <w:t xml:space="preserve">návrhu zákona, ktorým sa mení a dopĺňa zákon č. 609/2007 Z. z. o spotrebnej dani z elektriny, uhlia a zemného plynu a o zmene a doplnení zákona č. 98/2004 Z. z. o spotrebnej dani z minerálneho oleja v znení neskorších predpisov </w:t>
      </w:r>
      <w:r>
        <w:rPr>
          <w:rFonts w:ascii="Times New Roman" w:hAnsi="Times New Roman"/>
        </w:rPr>
        <w:t xml:space="preserve">v znení neskorších predpisov </w:t>
      </w:r>
      <w:r w:rsidRPr="00B5369F">
        <w:rPr>
          <w:rFonts w:ascii="Times New Roman" w:hAnsi="Times New Roman"/>
        </w:rPr>
        <w:t>s právom Európskej únie</w:t>
      </w:r>
    </w:p>
    <w:p w:rsidR="001D3864" w:rsidRPr="00B5369F" w:rsidP="001D3864">
      <w:pPr>
        <w:bidi w:val="0"/>
        <w:jc w:val="center"/>
        <w:rPr>
          <w:rFonts w:ascii="Times New Roman" w:hAnsi="Times New Roman"/>
        </w:rPr>
      </w:pPr>
    </w:p>
    <w:p w:rsidR="001D3864" w:rsidRPr="00B5369F" w:rsidP="001D3864">
      <w:pPr>
        <w:pStyle w:val="Zkladntext0"/>
        <w:tabs>
          <w:tab w:val="left" w:pos="284"/>
        </w:tabs>
        <w:bidi w:val="0"/>
        <w:spacing w:before="120"/>
        <w:rPr>
          <w:rFonts w:ascii="Times New Roman" w:hAnsi="Times New Roman"/>
          <w:b/>
          <w:bCs/>
          <w:sz w:val="24"/>
          <w:szCs w:val="24"/>
        </w:rPr>
      </w:pPr>
    </w:p>
    <w:p w:rsidR="001D3864" w:rsidRPr="00B5369F" w:rsidP="001D3864">
      <w:pPr>
        <w:pStyle w:val="Zkladntext0"/>
        <w:tabs>
          <w:tab w:val="left" w:pos="284"/>
        </w:tabs>
        <w:bidi w:val="0"/>
        <w:spacing w:before="120"/>
        <w:rPr>
          <w:rFonts w:ascii="Times New Roman" w:hAnsi="Times New Roman"/>
          <w:b/>
          <w:bCs/>
          <w:sz w:val="24"/>
          <w:szCs w:val="24"/>
        </w:rPr>
      </w:pPr>
      <w:r w:rsidRPr="00B5369F">
        <w:rPr>
          <w:rFonts w:ascii="Times New Roman" w:hAnsi="Times New Roman"/>
          <w:b/>
          <w:bCs/>
          <w:sz w:val="24"/>
          <w:szCs w:val="24"/>
        </w:rPr>
        <w:t>1.</w:t>
        <w:tab/>
        <w:t xml:space="preserve">Predkladateľ zákona: </w:t>
      </w:r>
    </w:p>
    <w:p w:rsidR="001D3864" w:rsidRPr="00B5369F" w:rsidP="001D3864">
      <w:pPr>
        <w:pStyle w:val="Zkladntext0"/>
        <w:bidi w:val="0"/>
        <w:spacing w:before="120"/>
        <w:ind w:left="284"/>
        <w:jc w:val="both"/>
        <w:rPr>
          <w:rFonts w:ascii="Times New Roman" w:hAnsi="Times New Roman"/>
          <w:sz w:val="24"/>
          <w:szCs w:val="24"/>
        </w:rPr>
      </w:pPr>
      <w:r w:rsidRPr="00B5369F">
        <w:rPr>
          <w:rFonts w:ascii="Times New Roman" w:hAnsi="Times New Roman"/>
          <w:sz w:val="24"/>
          <w:szCs w:val="24"/>
        </w:rPr>
        <w:t>Vláda Slovenskej republiky.</w:t>
      </w:r>
    </w:p>
    <w:p w:rsidR="001D3864" w:rsidRPr="00B5369F" w:rsidP="001D3864">
      <w:pPr>
        <w:pStyle w:val="Zkladntext0"/>
        <w:numPr>
          <w:ilvl w:val="0"/>
          <w:numId w:val="3"/>
        </w:numPr>
        <w:tabs>
          <w:tab w:val="left" w:pos="284"/>
          <w:tab w:val="clear" w:pos="360"/>
        </w:tabs>
        <w:bidi w:val="0"/>
        <w:spacing w:before="120" w:after="120"/>
        <w:ind w:left="0" w:firstLine="0"/>
        <w:jc w:val="both"/>
        <w:rPr>
          <w:rFonts w:ascii="Times New Roman" w:hAnsi="Times New Roman"/>
          <w:b/>
          <w:bCs/>
          <w:sz w:val="24"/>
          <w:szCs w:val="24"/>
        </w:rPr>
      </w:pPr>
      <w:r w:rsidRPr="00B5369F">
        <w:rPr>
          <w:rFonts w:ascii="Times New Roman" w:hAnsi="Times New Roman"/>
          <w:b/>
          <w:bCs/>
          <w:sz w:val="24"/>
          <w:szCs w:val="24"/>
        </w:rPr>
        <w:t xml:space="preserve">Názov návrhu zákona: </w:t>
      </w:r>
    </w:p>
    <w:p w:rsidR="001D3864" w:rsidRPr="00B5369F" w:rsidP="001D3864">
      <w:pPr>
        <w:bidi w:val="0"/>
        <w:ind w:left="284"/>
        <w:jc w:val="both"/>
        <w:rPr>
          <w:rFonts w:ascii="Times New Roman" w:hAnsi="Times New Roman"/>
        </w:rPr>
      </w:pPr>
      <w:r w:rsidRPr="00B5369F">
        <w:rPr>
          <w:rFonts w:ascii="Times New Roman" w:hAnsi="Times New Roman"/>
        </w:rPr>
        <w:t>Návrh zákona, ktorým sa mení a dopĺňa zákon č. 609/2007 Z. z. o spotrebnej dani z elektriny, uhlia a zemného plynu a o zmene a doplnení zákona č. 98/2004 Z.</w:t>
      </w:r>
      <w:r w:rsidR="00B46DE3">
        <w:rPr>
          <w:rFonts w:ascii="Times New Roman" w:hAnsi="Times New Roman"/>
        </w:rPr>
        <w:t xml:space="preserve"> </w:t>
      </w:r>
      <w:r w:rsidRPr="00B5369F">
        <w:rPr>
          <w:rFonts w:ascii="Times New Roman" w:hAnsi="Times New Roman"/>
        </w:rPr>
        <w:t>z. o spotrebnej dani z minerálneho oleja v znení neskorších predpisov</w:t>
      </w:r>
      <w:r>
        <w:rPr>
          <w:rFonts w:ascii="Times New Roman" w:hAnsi="Times New Roman"/>
        </w:rPr>
        <w:t xml:space="preserve"> v znení neskorších predpisov</w:t>
      </w:r>
      <w:r w:rsidRPr="00B5369F">
        <w:rPr>
          <w:rFonts w:ascii="Times New Roman" w:hAnsi="Times New Roman"/>
        </w:rPr>
        <w:t>.</w:t>
      </w:r>
    </w:p>
    <w:p w:rsidR="001D3864" w:rsidRPr="00B5369F" w:rsidP="001D3864">
      <w:pPr>
        <w:pStyle w:val="Zkladntext0"/>
        <w:numPr>
          <w:ilvl w:val="0"/>
          <w:numId w:val="3"/>
        </w:numPr>
        <w:tabs>
          <w:tab w:val="left" w:pos="284"/>
          <w:tab w:val="clear" w:pos="360"/>
        </w:tabs>
        <w:bidi w:val="0"/>
        <w:spacing w:before="120" w:after="120"/>
        <w:ind w:left="0" w:firstLine="0"/>
        <w:jc w:val="both"/>
        <w:rPr>
          <w:rFonts w:ascii="Times New Roman" w:hAnsi="Times New Roman"/>
          <w:b/>
          <w:bCs/>
          <w:sz w:val="24"/>
          <w:szCs w:val="24"/>
        </w:rPr>
      </w:pPr>
      <w:r w:rsidRPr="00B5369F">
        <w:rPr>
          <w:rFonts w:ascii="Times New Roman" w:hAnsi="Times New Roman"/>
          <w:b/>
          <w:bCs/>
          <w:sz w:val="24"/>
          <w:szCs w:val="24"/>
        </w:rPr>
        <w:t>Problematika návrhu zákona:</w:t>
      </w:r>
    </w:p>
    <w:p w:rsidR="001D3864" w:rsidRPr="00B5369F" w:rsidP="001D3864">
      <w:pPr>
        <w:pStyle w:val="Zkladntext0"/>
        <w:numPr>
          <w:numId w:val="4"/>
        </w:numPr>
        <w:bidi w:val="0"/>
        <w:spacing w:after="120"/>
        <w:ind w:left="641" w:hanging="357"/>
        <w:rPr>
          <w:rFonts w:ascii="Times New Roman" w:hAnsi="Times New Roman"/>
          <w:sz w:val="24"/>
          <w:szCs w:val="24"/>
        </w:rPr>
      </w:pPr>
      <w:r w:rsidRPr="00B5369F">
        <w:rPr>
          <w:rFonts w:ascii="Times New Roman" w:hAnsi="Times New Roman"/>
          <w:sz w:val="24"/>
          <w:szCs w:val="24"/>
        </w:rPr>
        <w:t xml:space="preserve">je upravená v práve Európskej únie: </w:t>
      </w:r>
    </w:p>
    <w:p w:rsidR="001D3864" w:rsidRPr="00B5369F" w:rsidP="001D3864">
      <w:pPr>
        <w:pStyle w:val="Zkladntext0"/>
        <w:bidi w:val="0"/>
        <w:spacing w:after="60"/>
        <w:ind w:left="284"/>
        <w:rPr>
          <w:rFonts w:ascii="Times New Roman" w:hAnsi="Times New Roman"/>
          <w:b/>
          <w:sz w:val="24"/>
          <w:szCs w:val="24"/>
        </w:rPr>
      </w:pPr>
      <w:r w:rsidRPr="00B5369F">
        <w:rPr>
          <w:rFonts w:ascii="Times New Roman" w:hAnsi="Times New Roman"/>
          <w:b/>
          <w:sz w:val="24"/>
          <w:szCs w:val="24"/>
        </w:rPr>
        <w:t>Primárne právo:</w:t>
      </w:r>
    </w:p>
    <w:p w:rsidR="001D3864" w:rsidRPr="00B5369F" w:rsidP="001D3864">
      <w:pPr>
        <w:pStyle w:val="Zkladntext0"/>
        <w:numPr>
          <w:numId w:val="2"/>
        </w:numPr>
        <w:bidi w:val="0"/>
        <w:spacing w:after="120"/>
        <w:ind w:left="658" w:hanging="357"/>
        <w:rPr>
          <w:rFonts w:ascii="Times New Roman" w:hAnsi="Times New Roman"/>
          <w:sz w:val="24"/>
          <w:szCs w:val="24"/>
        </w:rPr>
      </w:pPr>
      <w:r w:rsidRPr="00B5369F">
        <w:rPr>
          <w:rFonts w:ascii="Times New Roman" w:hAnsi="Times New Roman"/>
          <w:sz w:val="24"/>
          <w:szCs w:val="24"/>
        </w:rPr>
        <w:t>čl. 110 až 113 a čl. 355 Zmluvy o fungovaní Európskej únie,</w:t>
      </w:r>
    </w:p>
    <w:p w:rsidR="001D3864" w:rsidRPr="00B5369F" w:rsidP="001D3864">
      <w:pPr>
        <w:autoSpaceDE w:val="0"/>
        <w:autoSpaceDN w:val="0"/>
        <w:bidi w:val="0"/>
        <w:ind w:left="284"/>
        <w:jc w:val="both"/>
        <w:rPr>
          <w:rFonts w:ascii="Times New Roman" w:hAnsi="Times New Roman"/>
        </w:rPr>
      </w:pPr>
      <w:r w:rsidRPr="00B5369F">
        <w:rPr>
          <w:rFonts w:ascii="Times New Roman" w:hAnsi="Times New Roman"/>
          <w:b/>
        </w:rPr>
        <w:t xml:space="preserve">Sekundárne právo </w:t>
      </w:r>
      <w:r w:rsidRPr="00B5369F">
        <w:rPr>
          <w:rFonts w:ascii="Times New Roman" w:hAnsi="Times New Roman"/>
        </w:rPr>
        <w:t>(prijaté pred nadobudnutím platnosti Lisabonskej zmluvy, ktorou sa mení a dopĺňa Zmluva o Európskom spoločenstve a Zmluva o Európskej únii - do 30. novembra 2009):</w:t>
      </w:r>
    </w:p>
    <w:p w:rsidR="001D3864" w:rsidRPr="00B5369F" w:rsidP="001D3864">
      <w:pPr>
        <w:autoSpaceDE w:val="0"/>
        <w:autoSpaceDN w:val="0"/>
        <w:bidi w:val="0"/>
        <w:ind w:left="454"/>
        <w:jc w:val="both"/>
        <w:rPr>
          <w:rFonts w:ascii="Times New Roman" w:hAnsi="Times New Roman"/>
        </w:rPr>
      </w:pPr>
    </w:p>
    <w:p w:rsidR="001D3864" w:rsidRPr="00B5369F" w:rsidP="001D3864">
      <w:pPr>
        <w:widowControl/>
        <w:numPr>
          <w:numId w:val="2"/>
        </w:numPr>
        <w:bidi w:val="0"/>
        <w:adjustRightInd/>
        <w:spacing w:after="120"/>
        <w:ind w:left="658" w:hanging="357"/>
        <w:jc w:val="both"/>
        <w:rPr>
          <w:rStyle w:val="Emphasis"/>
          <w:rFonts w:ascii="Times New Roman" w:hAnsi="Times New Roman"/>
          <w:iCs w:val="0"/>
        </w:rPr>
      </w:pPr>
      <w:r w:rsidRPr="00B5369F">
        <w:rPr>
          <w:rFonts w:ascii="Times New Roman" w:hAnsi="Times New Roman"/>
        </w:rPr>
        <w:t>smernica Rady 2003/96/ES z 27. októbra 2003 o reštrukturalizácii právneho rámca spoločenstva pre zdaňovanie energetických výrobkov a elektriny v platnom znení (</w:t>
      </w:r>
      <w:r w:rsidRPr="00B5369F">
        <w:rPr>
          <w:rStyle w:val="Emphasis"/>
          <w:rFonts w:ascii="Times New Roman" w:hAnsi="Times New Roman"/>
          <w:i w:val="0"/>
        </w:rPr>
        <w:t>Mimoriadne vydanie Ú.v. EÚ kap. 9/zv. 1),</w:t>
      </w:r>
    </w:p>
    <w:p w:rsidR="001D3864" w:rsidRPr="00B5369F" w:rsidP="001D3864">
      <w:pPr>
        <w:widowControl/>
        <w:numPr>
          <w:numId w:val="2"/>
        </w:numPr>
        <w:tabs>
          <w:tab w:val="num" w:pos="851"/>
        </w:tabs>
        <w:autoSpaceDE w:val="0"/>
        <w:autoSpaceDN w:val="0"/>
        <w:bidi w:val="0"/>
        <w:adjustRightInd/>
        <w:spacing w:after="120"/>
        <w:ind w:left="658" w:hanging="357"/>
        <w:jc w:val="both"/>
        <w:rPr>
          <w:rFonts w:ascii="Times New Roman" w:hAnsi="Times New Roman"/>
          <w:b/>
          <w:i/>
        </w:rPr>
      </w:pPr>
      <w:r w:rsidRPr="00B5369F">
        <w:rPr>
          <w:rStyle w:val="Strong"/>
          <w:rFonts w:ascii="Times New Roman" w:hAnsi="Times New Roman"/>
          <w:b w:val="0"/>
        </w:rPr>
        <w:t xml:space="preserve">nariadenie Rady (ES) č. 2073/2004 zo 16. novembra 2004 o správnej spolupráci v oblasti spotrebných daní </w:t>
      </w:r>
      <w:r w:rsidRPr="00B5369F">
        <w:rPr>
          <w:rFonts w:ascii="Times New Roman" w:hAnsi="Times New Roman"/>
        </w:rPr>
        <w:t>( Ú. v. EÚ L 359 , 4.12. 2004),</w:t>
      </w:r>
    </w:p>
    <w:p w:rsidR="001D3864" w:rsidRPr="00B5369F" w:rsidP="001D3864">
      <w:pPr>
        <w:widowControl/>
        <w:numPr>
          <w:numId w:val="2"/>
        </w:numPr>
        <w:bidi w:val="0"/>
        <w:adjustRightInd/>
        <w:spacing w:before="120" w:after="120"/>
        <w:ind w:left="658" w:hanging="357"/>
        <w:jc w:val="both"/>
        <w:rPr>
          <w:rFonts w:ascii="Times New Roman" w:hAnsi="Times New Roman"/>
        </w:rPr>
      </w:pPr>
      <w:r w:rsidRPr="00B5369F">
        <w:rPr>
          <w:rFonts w:ascii="Times New Roman" w:hAnsi="Times New Roman"/>
        </w:rPr>
        <w:t>smernica Rady 2008/118/ES z 16. decembra 2008 o všeobecnom systéme spotrebných daní a o zrušení smernice 92/12/EHS  v platnom znení (Ú. v. EÚ L 9, 14.1. 2009),</w:t>
      </w:r>
    </w:p>
    <w:p w:rsidR="001D3864" w:rsidRPr="00B5369F" w:rsidP="001D3864">
      <w:pPr>
        <w:widowControl/>
        <w:numPr>
          <w:numId w:val="2"/>
        </w:numPr>
        <w:bidi w:val="0"/>
        <w:adjustRightInd/>
        <w:spacing w:after="120"/>
        <w:ind w:left="658" w:hanging="357"/>
        <w:jc w:val="both"/>
        <w:rPr>
          <w:rFonts w:ascii="Times New Roman" w:hAnsi="Times New Roman"/>
        </w:rPr>
      </w:pPr>
      <w:r w:rsidRPr="00B5369F">
        <w:rPr>
          <w:rFonts w:ascii="Times New Roman" w:hAnsi="Times New Roman"/>
        </w:rPr>
        <w:t>nariadenie Komisie (ES) č. 684/2009 z 24. júla 2009, ktorým sa implementuje smernica Rady 2008/118/ES, pokiaľ ide o elektronické postupy pri preprave tovaru podliehajúceho spotrebnej dani v režime pozastavenia dane (Ú. v. EÚ L 197, 29.7.2009).</w:t>
      </w:r>
    </w:p>
    <w:p w:rsidR="001D3864" w:rsidRPr="00B5369F" w:rsidP="001D3864">
      <w:pPr>
        <w:bidi w:val="0"/>
        <w:spacing w:after="120"/>
        <w:jc w:val="both"/>
        <w:rPr>
          <w:rFonts w:ascii="Times New Roman" w:hAnsi="Times New Roman"/>
        </w:rPr>
      </w:pPr>
    </w:p>
    <w:p w:rsidR="001D3864" w:rsidRPr="00B5369F" w:rsidP="001D3864">
      <w:pPr>
        <w:pStyle w:val="BodyText"/>
        <w:bidi w:val="0"/>
        <w:ind w:left="681" w:hanging="397"/>
        <w:rPr>
          <w:rFonts w:ascii="Times New Roman" w:hAnsi="Times New Roman"/>
        </w:rPr>
      </w:pPr>
      <w:r w:rsidRPr="00B5369F">
        <w:rPr>
          <w:rFonts w:ascii="Times New Roman" w:hAnsi="Times New Roman"/>
        </w:rPr>
        <w:t>b)</w:t>
        <w:tab/>
        <w:t>je obsiahnutá v judikatúre Súdneho dvora Európskej únie:</w:t>
      </w:r>
    </w:p>
    <w:p w:rsidR="001D3864" w:rsidRPr="00B5369F" w:rsidP="001D3864">
      <w:pPr>
        <w:pStyle w:val="BodyText"/>
        <w:numPr>
          <w:numId w:val="2"/>
        </w:numPr>
        <w:autoSpaceDE w:val="0"/>
        <w:autoSpaceDN w:val="0"/>
        <w:bidi w:val="0"/>
        <w:jc w:val="both"/>
        <w:rPr>
          <w:rFonts w:ascii="Times New Roman" w:hAnsi="Times New Roman"/>
        </w:rPr>
      </w:pPr>
      <w:r w:rsidRPr="00B5369F">
        <w:rPr>
          <w:rFonts w:ascii="Times New Roman" w:hAnsi="Times New Roman"/>
        </w:rPr>
        <w:t>rozhodnutie Súdu prvého stupňa ES vo veci C-240/01, Európska komisia v. Spolková republika Nemecko, Zb. roz. ESD rok 2004,</w:t>
      </w:r>
    </w:p>
    <w:p w:rsidR="001D3864" w:rsidRPr="00B5369F" w:rsidP="001D3864">
      <w:pPr>
        <w:pStyle w:val="BodyText"/>
        <w:numPr>
          <w:numId w:val="2"/>
        </w:numPr>
        <w:autoSpaceDE w:val="0"/>
        <w:autoSpaceDN w:val="0"/>
        <w:bidi w:val="0"/>
        <w:jc w:val="both"/>
        <w:rPr>
          <w:rFonts w:ascii="Times New Roman" w:hAnsi="Times New Roman"/>
        </w:rPr>
      </w:pPr>
      <w:r w:rsidRPr="00B5369F">
        <w:rPr>
          <w:rFonts w:ascii="Times New Roman" w:hAnsi="Times New Roman"/>
        </w:rPr>
        <w:t xml:space="preserve">rozhodnutie Súdu prvého stupňa ES vo veci C-389/02, </w:t>
      </w:r>
      <w:r w:rsidRPr="00B5369F">
        <w:rPr>
          <w:rFonts w:ascii="Times New Roman" w:hAnsi="Times New Roman"/>
          <w:bCs/>
        </w:rPr>
        <w:t>Deutsche See-Bestattungs-Genossenschaft eG v. Hauptzollamt Kiel,</w:t>
      </w:r>
      <w:r w:rsidRPr="00B5369F">
        <w:rPr>
          <w:rFonts w:ascii="Times New Roman" w:hAnsi="Times New Roman"/>
        </w:rPr>
        <w:t xml:space="preserve"> rok 2004,</w:t>
      </w:r>
    </w:p>
    <w:p w:rsidR="001D3864" w:rsidRPr="00B5369F" w:rsidP="001D3864">
      <w:pPr>
        <w:pStyle w:val="BodyText"/>
        <w:numPr>
          <w:numId w:val="2"/>
        </w:numPr>
        <w:autoSpaceDE w:val="0"/>
        <w:autoSpaceDN w:val="0"/>
        <w:bidi w:val="0"/>
        <w:jc w:val="both"/>
        <w:rPr>
          <w:rFonts w:ascii="Times New Roman" w:hAnsi="Times New Roman"/>
        </w:rPr>
      </w:pPr>
      <w:r w:rsidRPr="00B5369F">
        <w:rPr>
          <w:rFonts w:ascii="Times New Roman" w:hAnsi="Times New Roman"/>
        </w:rPr>
        <w:t>rozhodnutie Súdu prvého stupňa ES vo veci C-185/00, Európska komisia v. Fínska republika, rok 2003,</w:t>
      </w:r>
    </w:p>
    <w:p w:rsidR="001D3864" w:rsidRPr="00B5369F" w:rsidP="001D3864">
      <w:pPr>
        <w:pStyle w:val="BodyText"/>
        <w:numPr>
          <w:numId w:val="2"/>
        </w:numPr>
        <w:autoSpaceDE w:val="0"/>
        <w:autoSpaceDN w:val="0"/>
        <w:bidi w:val="0"/>
        <w:jc w:val="both"/>
        <w:rPr>
          <w:rFonts w:ascii="Times New Roman" w:hAnsi="Times New Roman"/>
        </w:rPr>
      </w:pPr>
      <w:r w:rsidRPr="00B5369F">
        <w:rPr>
          <w:rFonts w:ascii="Times New Roman" w:hAnsi="Times New Roman"/>
        </w:rPr>
        <w:t>rozhodnutie Súdu prvého stupňa ES vo veci C-437/01, Európska komisia v. Talianska republika, rok 2003,</w:t>
      </w:r>
    </w:p>
    <w:p w:rsidR="001D3864" w:rsidRPr="00B5369F" w:rsidP="001D3864">
      <w:pPr>
        <w:pStyle w:val="BodyText"/>
        <w:numPr>
          <w:numId w:val="2"/>
        </w:numPr>
        <w:autoSpaceDE w:val="0"/>
        <w:autoSpaceDN w:val="0"/>
        <w:bidi w:val="0"/>
        <w:jc w:val="both"/>
        <w:rPr>
          <w:rFonts w:ascii="Times New Roman" w:hAnsi="Times New Roman"/>
        </w:rPr>
      </w:pPr>
      <w:r w:rsidRPr="00B5369F">
        <w:rPr>
          <w:rFonts w:ascii="Times New Roman" w:hAnsi="Times New Roman"/>
        </w:rPr>
        <w:t>rozhodnutie Súdu prvého stupňa ES vo veci C-207/01, Altair Chimica SpA v. ENEL Distribuzione SpA, rok 2003.</w:t>
      </w:r>
    </w:p>
    <w:p w:rsidR="001D3864" w:rsidRPr="00B5369F" w:rsidP="001D3864">
      <w:pPr>
        <w:pStyle w:val="BodyText"/>
        <w:bidi w:val="0"/>
        <w:ind w:left="301" w:right="-108"/>
        <w:rPr>
          <w:rFonts w:ascii="Times New Roman" w:hAnsi="Times New Roman"/>
        </w:rPr>
      </w:pPr>
    </w:p>
    <w:p w:rsidR="001D3864" w:rsidRPr="00B5369F" w:rsidP="001D3864">
      <w:pPr>
        <w:pStyle w:val="Zkladntext0"/>
        <w:tabs>
          <w:tab w:val="left" w:pos="360"/>
        </w:tabs>
        <w:bidi w:val="0"/>
        <w:spacing w:before="120" w:after="120"/>
        <w:ind w:left="3"/>
        <w:jc w:val="both"/>
        <w:rPr>
          <w:rFonts w:ascii="Times New Roman" w:hAnsi="Times New Roman"/>
          <w:b/>
          <w:bCs/>
          <w:sz w:val="24"/>
          <w:szCs w:val="24"/>
        </w:rPr>
      </w:pPr>
      <w:r w:rsidRPr="00B5369F">
        <w:rPr>
          <w:rFonts w:ascii="Times New Roman" w:hAnsi="Times New Roman"/>
          <w:b/>
          <w:bCs/>
          <w:sz w:val="24"/>
          <w:szCs w:val="24"/>
        </w:rPr>
        <w:t>4.</w:t>
        <w:tab/>
        <w:t>Záväzky Slovenskej republiky vo vzťahu Európskej únii:</w:t>
      </w:r>
    </w:p>
    <w:p w:rsidR="001D3864" w:rsidRPr="00B5369F" w:rsidP="001D3864">
      <w:pPr>
        <w:widowControl/>
        <w:numPr>
          <w:numId w:val="5"/>
        </w:numPr>
        <w:tabs>
          <w:tab w:val="left" w:pos="425"/>
          <w:tab w:val="clear" w:pos="720"/>
        </w:tabs>
        <w:bidi w:val="0"/>
        <w:adjustRightInd/>
        <w:spacing w:after="120"/>
        <w:ind w:left="425" w:hanging="425"/>
        <w:jc w:val="both"/>
        <w:rPr>
          <w:rFonts w:ascii="Times New Roman" w:hAnsi="Times New Roman"/>
          <w:lang w:eastAsia="cs-CZ"/>
        </w:rPr>
      </w:pPr>
      <w:r w:rsidRPr="00B5369F">
        <w:rPr>
          <w:rFonts w:ascii="Times New Roman" w:hAnsi="Times New Roman"/>
          <w:lang w:eastAsia="cs-CZ"/>
        </w:rPr>
        <w:t>Lehota na prebratie smernice: bezpredmetné.</w:t>
      </w:r>
    </w:p>
    <w:p w:rsidR="001D3864" w:rsidRPr="00B5369F" w:rsidP="001D3864">
      <w:pPr>
        <w:widowControl/>
        <w:numPr>
          <w:numId w:val="5"/>
        </w:numPr>
        <w:tabs>
          <w:tab w:val="left" w:pos="425"/>
          <w:tab w:val="clear" w:pos="720"/>
        </w:tabs>
        <w:bidi w:val="0"/>
        <w:adjustRightInd/>
        <w:spacing w:after="120"/>
        <w:ind w:left="425" w:hanging="425"/>
        <w:jc w:val="both"/>
        <w:rPr>
          <w:rFonts w:ascii="Times New Roman" w:hAnsi="Times New Roman"/>
          <w:lang w:eastAsia="cs-CZ"/>
        </w:rPr>
      </w:pPr>
      <w:r w:rsidRPr="00B5369F">
        <w:rPr>
          <w:rFonts w:ascii="Times New Roman" w:hAnsi="Times New Roman"/>
          <w:lang w:eastAsia="cs-CZ"/>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 bezpredmetné.</w:t>
      </w:r>
    </w:p>
    <w:p w:rsidR="001D3864" w:rsidRPr="00B5369F" w:rsidP="001D3864">
      <w:pPr>
        <w:widowControl/>
        <w:numPr>
          <w:numId w:val="5"/>
        </w:numPr>
        <w:tabs>
          <w:tab w:val="left" w:pos="425"/>
          <w:tab w:val="clear" w:pos="720"/>
        </w:tabs>
        <w:bidi w:val="0"/>
        <w:adjustRightInd/>
        <w:spacing w:after="120"/>
        <w:ind w:left="425" w:hanging="425"/>
        <w:jc w:val="both"/>
        <w:rPr>
          <w:rFonts w:ascii="Times New Roman" w:hAnsi="Times New Roman"/>
          <w:lang w:eastAsia="cs-CZ"/>
        </w:rPr>
      </w:pPr>
      <w:r w:rsidRPr="00B5369F">
        <w:rPr>
          <w:rFonts w:ascii="Times New Roman" w:hAnsi="Times New Roman"/>
        </w:rPr>
        <w:t>Proti SR nebolo začaté konanie o porušení Zmluvy o fungovaní Európskej únie podľa čl. 258 až 260 Zmluvy o fungovaní Európskej únie.</w:t>
      </w:r>
    </w:p>
    <w:p w:rsidR="001D3864" w:rsidRPr="00B5369F" w:rsidP="001D3864">
      <w:pPr>
        <w:widowControl/>
        <w:numPr>
          <w:numId w:val="5"/>
        </w:numPr>
        <w:tabs>
          <w:tab w:val="left" w:pos="425"/>
          <w:tab w:val="clear" w:pos="720"/>
        </w:tabs>
        <w:bidi w:val="0"/>
        <w:adjustRightInd/>
        <w:spacing w:after="120"/>
        <w:ind w:left="425" w:hanging="425"/>
        <w:jc w:val="both"/>
        <w:rPr>
          <w:rFonts w:ascii="Times New Roman" w:hAnsi="Times New Roman"/>
          <w:lang w:eastAsia="cs-CZ"/>
        </w:rPr>
      </w:pPr>
      <w:r w:rsidRPr="00B5369F">
        <w:rPr>
          <w:rFonts w:ascii="Times New Roman" w:hAnsi="Times New Roman"/>
        </w:rPr>
        <w:t>Bezpredmetné.</w:t>
      </w:r>
    </w:p>
    <w:p w:rsidR="001D3864" w:rsidRPr="00B5369F" w:rsidP="001D3864">
      <w:pPr>
        <w:pStyle w:val="Zkladntext"/>
        <w:bidi w:val="0"/>
        <w:spacing w:after="120"/>
        <w:ind w:left="360"/>
        <w:jc w:val="both"/>
        <w:rPr>
          <w:rFonts w:ascii="Times New Roman" w:hAnsi="Times New Roman"/>
        </w:rPr>
      </w:pPr>
    </w:p>
    <w:p w:rsidR="001D3864" w:rsidRPr="00B5369F" w:rsidP="001D3864">
      <w:pPr>
        <w:pStyle w:val="Zkladntext0"/>
        <w:tabs>
          <w:tab w:val="left" w:pos="284"/>
        </w:tabs>
        <w:bidi w:val="0"/>
        <w:spacing w:before="120"/>
        <w:ind w:firstLine="11"/>
        <w:jc w:val="both"/>
        <w:rPr>
          <w:rFonts w:ascii="Times New Roman" w:hAnsi="Times New Roman"/>
          <w:b/>
          <w:sz w:val="24"/>
          <w:szCs w:val="24"/>
        </w:rPr>
      </w:pPr>
      <w:r w:rsidRPr="00B5369F">
        <w:rPr>
          <w:rFonts w:ascii="Times New Roman" w:hAnsi="Times New Roman"/>
          <w:b/>
          <w:sz w:val="24"/>
          <w:szCs w:val="24"/>
        </w:rPr>
        <w:t>5.</w:t>
        <w:tab/>
        <w:t>Stupeň zlučiteľnosti návrhu zákona s právom  Európskej únie:</w:t>
      </w:r>
    </w:p>
    <w:p w:rsidR="001D3864" w:rsidRPr="00B5369F" w:rsidP="001D3864">
      <w:pPr>
        <w:pStyle w:val="Zkladntext0"/>
        <w:bidi w:val="0"/>
        <w:spacing w:before="120"/>
        <w:ind w:left="284"/>
        <w:jc w:val="both"/>
        <w:rPr>
          <w:rFonts w:ascii="Times New Roman" w:hAnsi="Times New Roman"/>
          <w:sz w:val="24"/>
          <w:szCs w:val="24"/>
        </w:rPr>
      </w:pPr>
      <w:r w:rsidRPr="00B5369F">
        <w:rPr>
          <w:rFonts w:ascii="Times New Roman" w:hAnsi="Times New Roman"/>
          <w:sz w:val="24"/>
          <w:szCs w:val="24"/>
        </w:rPr>
        <w:t>Úplný.</w:t>
      </w:r>
    </w:p>
    <w:p w:rsidR="001D3864" w:rsidRPr="00B5369F" w:rsidP="001D3864">
      <w:pPr>
        <w:pStyle w:val="dka"/>
        <w:tabs>
          <w:tab w:val="left" w:pos="284"/>
        </w:tabs>
        <w:bidi w:val="0"/>
        <w:spacing w:before="120"/>
        <w:jc w:val="both"/>
        <w:rPr>
          <w:rFonts w:ascii="Times New Roman" w:hAnsi="Times New Roman"/>
          <w:b/>
          <w:bCs/>
          <w:sz w:val="24"/>
          <w:szCs w:val="24"/>
        </w:rPr>
      </w:pPr>
      <w:r w:rsidRPr="00B5369F">
        <w:rPr>
          <w:rFonts w:ascii="Times New Roman" w:hAnsi="Times New Roman"/>
          <w:b/>
          <w:bCs/>
          <w:sz w:val="24"/>
          <w:szCs w:val="24"/>
        </w:rPr>
        <w:t>6.</w:t>
        <w:tab/>
        <w:t>Gestor a spolupracujúce rezorty:</w:t>
      </w:r>
    </w:p>
    <w:p w:rsidR="001D3864" w:rsidRPr="00B5369F" w:rsidP="001D3864">
      <w:pPr>
        <w:pStyle w:val="dka"/>
        <w:bidi w:val="0"/>
        <w:spacing w:before="120"/>
        <w:ind w:left="284"/>
        <w:jc w:val="both"/>
        <w:rPr>
          <w:rFonts w:ascii="Times New Roman" w:hAnsi="Times New Roman"/>
          <w:sz w:val="24"/>
          <w:szCs w:val="24"/>
        </w:rPr>
      </w:pPr>
      <w:r w:rsidRPr="00B5369F">
        <w:rPr>
          <w:rFonts w:ascii="Times New Roman" w:hAnsi="Times New Roman"/>
          <w:sz w:val="24"/>
          <w:szCs w:val="24"/>
        </w:rPr>
        <w:t>Ministerstvo financií Slovenskej republiky.</w:t>
      </w:r>
    </w:p>
    <w:p w:rsidR="001D3864" w:rsidRPr="00B5369F" w:rsidP="001D3864">
      <w:pPr>
        <w:bidi w:val="0"/>
        <w:rPr>
          <w:rFonts w:ascii="Times New Roman" w:hAnsi="Times New Roman"/>
        </w:rPr>
      </w:pPr>
    </w:p>
    <w:p w:rsidR="001D3864" w:rsidP="007C60E8">
      <w:pPr>
        <w:bidi w:val="0"/>
        <w:jc w:val="both"/>
        <w:rPr>
          <w:rFonts w:ascii="Times New Roman" w:hAnsi="Times New Roman"/>
          <w:b/>
          <w:bCs/>
        </w:rPr>
      </w:pPr>
    </w:p>
    <w:p w:rsidR="001D3864" w:rsidP="007C60E8">
      <w:pPr>
        <w:bidi w:val="0"/>
        <w:jc w:val="both"/>
        <w:rPr>
          <w:rFonts w:ascii="Times New Roman" w:hAnsi="Times New Roman"/>
          <w:b/>
          <w:bCs/>
        </w:rPr>
      </w:pPr>
    </w:p>
    <w:p w:rsidR="001D3864" w:rsidP="007C60E8">
      <w:pPr>
        <w:bidi w:val="0"/>
        <w:jc w:val="both"/>
        <w:rPr>
          <w:rFonts w:ascii="Times New Roman" w:hAnsi="Times New Roman"/>
          <w:b/>
          <w:bCs/>
        </w:rPr>
      </w:pPr>
    </w:p>
    <w:p w:rsidR="001D3864" w:rsidP="007C60E8">
      <w:pPr>
        <w:bidi w:val="0"/>
        <w:jc w:val="both"/>
        <w:rPr>
          <w:rFonts w:ascii="Times New Roman" w:hAnsi="Times New Roman"/>
          <w:b/>
          <w:bCs/>
        </w:rPr>
      </w:pPr>
    </w:p>
    <w:p w:rsidR="001D3864" w:rsidP="007C60E8">
      <w:pPr>
        <w:bidi w:val="0"/>
        <w:jc w:val="both"/>
        <w:rPr>
          <w:rFonts w:ascii="Times New Roman" w:hAnsi="Times New Roman"/>
          <w:b/>
          <w:bCs/>
        </w:rPr>
      </w:pPr>
    </w:p>
    <w:p w:rsidR="001D3864" w:rsidP="007C60E8">
      <w:pPr>
        <w:bidi w:val="0"/>
        <w:jc w:val="both"/>
        <w:rPr>
          <w:rFonts w:ascii="Times New Roman" w:hAnsi="Times New Roman"/>
          <w:b/>
          <w:bCs/>
        </w:rPr>
      </w:pPr>
    </w:p>
    <w:p w:rsidR="001D3864" w:rsidP="007C60E8">
      <w:pPr>
        <w:bidi w:val="0"/>
        <w:jc w:val="both"/>
        <w:rPr>
          <w:rFonts w:ascii="Times New Roman" w:hAnsi="Times New Roman"/>
          <w:b/>
          <w:bCs/>
        </w:rPr>
      </w:pPr>
    </w:p>
    <w:p w:rsidR="001D3864" w:rsidP="007C60E8">
      <w:pPr>
        <w:bidi w:val="0"/>
        <w:jc w:val="both"/>
        <w:rPr>
          <w:rFonts w:ascii="Times New Roman" w:hAnsi="Times New Roman"/>
          <w:b/>
          <w:bCs/>
        </w:rPr>
      </w:pPr>
    </w:p>
    <w:p w:rsidR="001D3864" w:rsidP="007C60E8">
      <w:pPr>
        <w:bidi w:val="0"/>
        <w:jc w:val="both"/>
        <w:rPr>
          <w:rFonts w:ascii="Times New Roman" w:hAnsi="Times New Roman"/>
          <w:b/>
          <w:bCs/>
        </w:rPr>
      </w:pPr>
    </w:p>
    <w:p w:rsidR="001D3864" w:rsidP="007C60E8">
      <w:pPr>
        <w:bidi w:val="0"/>
        <w:jc w:val="both"/>
        <w:rPr>
          <w:rFonts w:ascii="Times New Roman" w:hAnsi="Times New Roman"/>
          <w:b/>
          <w:bCs/>
        </w:rPr>
      </w:pPr>
    </w:p>
    <w:p w:rsidR="001D3864" w:rsidP="007C60E8">
      <w:pPr>
        <w:bidi w:val="0"/>
        <w:jc w:val="both"/>
        <w:rPr>
          <w:rFonts w:ascii="Times New Roman" w:hAnsi="Times New Roman"/>
          <w:b/>
          <w:bCs/>
        </w:rPr>
      </w:pPr>
    </w:p>
    <w:p w:rsidR="001D3864" w:rsidP="007C60E8">
      <w:pPr>
        <w:bidi w:val="0"/>
        <w:jc w:val="both"/>
        <w:rPr>
          <w:rFonts w:ascii="Times New Roman" w:hAnsi="Times New Roman"/>
          <w:b/>
          <w:bCs/>
        </w:rPr>
      </w:pPr>
    </w:p>
    <w:p w:rsidR="001D3864" w:rsidP="007C60E8">
      <w:pPr>
        <w:bidi w:val="0"/>
        <w:jc w:val="both"/>
        <w:rPr>
          <w:rFonts w:ascii="Times New Roman" w:hAnsi="Times New Roman"/>
          <w:b/>
          <w:bCs/>
        </w:rPr>
      </w:pPr>
    </w:p>
    <w:p w:rsidR="001D3864" w:rsidP="007C60E8">
      <w:pPr>
        <w:bidi w:val="0"/>
        <w:jc w:val="both"/>
        <w:rPr>
          <w:rFonts w:ascii="Times New Roman" w:hAnsi="Times New Roman"/>
          <w:b/>
          <w:bCs/>
        </w:rPr>
      </w:pPr>
    </w:p>
    <w:p w:rsidR="001D3864" w:rsidP="007C60E8">
      <w:pPr>
        <w:bidi w:val="0"/>
        <w:jc w:val="both"/>
        <w:rPr>
          <w:rFonts w:ascii="Times New Roman" w:hAnsi="Times New Roman"/>
          <w:b/>
          <w:bCs/>
        </w:rPr>
      </w:pPr>
    </w:p>
    <w:p w:rsidR="001D3864" w:rsidP="007C60E8">
      <w:pPr>
        <w:bidi w:val="0"/>
        <w:jc w:val="both"/>
        <w:rPr>
          <w:rFonts w:ascii="Times New Roman" w:hAnsi="Times New Roman"/>
          <w:b/>
          <w:bCs/>
        </w:rPr>
      </w:pPr>
    </w:p>
    <w:p w:rsidR="001D3864" w:rsidP="007C60E8">
      <w:pPr>
        <w:bidi w:val="0"/>
        <w:jc w:val="both"/>
        <w:rPr>
          <w:rFonts w:ascii="Times New Roman" w:hAnsi="Times New Roman"/>
          <w:b/>
          <w:bCs/>
        </w:rPr>
      </w:pPr>
    </w:p>
    <w:p w:rsidR="001D3864" w:rsidP="007C60E8">
      <w:pPr>
        <w:bidi w:val="0"/>
        <w:jc w:val="both"/>
        <w:rPr>
          <w:rFonts w:ascii="Times New Roman" w:hAnsi="Times New Roman"/>
          <w:b/>
          <w:bCs/>
        </w:rPr>
      </w:pPr>
    </w:p>
    <w:p w:rsidR="001D3864" w:rsidP="007C60E8">
      <w:pPr>
        <w:bidi w:val="0"/>
        <w:jc w:val="both"/>
        <w:rPr>
          <w:rFonts w:ascii="Times New Roman" w:hAnsi="Times New Roman"/>
          <w:b/>
          <w:bCs/>
        </w:rPr>
      </w:pPr>
    </w:p>
    <w:p w:rsidR="008E39E9" w:rsidP="007C60E8">
      <w:pPr>
        <w:bidi w:val="0"/>
        <w:jc w:val="both"/>
        <w:rPr>
          <w:rFonts w:ascii="Times New Roman" w:hAnsi="Times New Roman"/>
          <w:b/>
          <w:bCs/>
        </w:rPr>
      </w:pPr>
    </w:p>
    <w:p w:rsidR="008E39E9" w:rsidP="007C60E8">
      <w:pPr>
        <w:bidi w:val="0"/>
        <w:jc w:val="both"/>
        <w:rPr>
          <w:rFonts w:ascii="Times New Roman" w:hAnsi="Times New Roman"/>
          <w:b/>
          <w:bCs/>
        </w:rPr>
      </w:pPr>
    </w:p>
    <w:p w:rsidR="008E39E9" w:rsidP="007C60E8">
      <w:pPr>
        <w:bidi w:val="0"/>
        <w:jc w:val="both"/>
        <w:rPr>
          <w:rFonts w:ascii="Times New Roman" w:hAnsi="Times New Roman"/>
          <w:b/>
          <w:bCs/>
        </w:rPr>
      </w:pPr>
    </w:p>
    <w:p w:rsidR="008E39E9" w:rsidP="007C60E8">
      <w:pPr>
        <w:bidi w:val="0"/>
        <w:jc w:val="both"/>
        <w:rPr>
          <w:rFonts w:ascii="Times New Roman" w:hAnsi="Times New Roman"/>
          <w:b/>
          <w:bCs/>
        </w:rPr>
      </w:pPr>
    </w:p>
    <w:p w:rsidR="008E39E9" w:rsidP="007C60E8">
      <w:pPr>
        <w:bidi w:val="0"/>
        <w:jc w:val="both"/>
        <w:rPr>
          <w:rFonts w:ascii="Times New Roman" w:hAnsi="Times New Roman"/>
          <w:b/>
          <w:bCs/>
        </w:rPr>
      </w:pPr>
    </w:p>
    <w:p w:rsidR="001D3864" w:rsidP="007C60E8">
      <w:pPr>
        <w:bidi w:val="0"/>
        <w:jc w:val="both"/>
        <w:rPr>
          <w:rFonts w:ascii="Times New Roman" w:hAnsi="Times New Roman"/>
          <w:b/>
          <w:bCs/>
        </w:rPr>
      </w:pPr>
    </w:p>
    <w:p w:rsidR="001D3864" w:rsidP="007C60E8">
      <w:pPr>
        <w:bidi w:val="0"/>
        <w:jc w:val="both"/>
        <w:rPr>
          <w:rFonts w:ascii="Times New Roman" w:hAnsi="Times New Roman"/>
          <w:b/>
          <w:bCs/>
        </w:rPr>
      </w:pPr>
    </w:p>
    <w:p w:rsidR="007C60E8" w:rsidRPr="00DF61FA" w:rsidP="007C60E8">
      <w:pPr>
        <w:bidi w:val="0"/>
        <w:jc w:val="both"/>
        <w:rPr>
          <w:rFonts w:ascii="Times New Roman" w:hAnsi="Times New Roman"/>
          <w:b/>
          <w:bCs/>
        </w:rPr>
      </w:pPr>
      <w:r w:rsidRPr="00DF61FA">
        <w:rPr>
          <w:rFonts w:ascii="Times New Roman" w:hAnsi="Times New Roman"/>
          <w:b/>
          <w:bCs/>
        </w:rPr>
        <w:t>B. Osobitná časť</w:t>
      </w:r>
    </w:p>
    <w:p w:rsidR="007C60E8" w:rsidRPr="00DF61FA" w:rsidP="007C60E8">
      <w:pPr>
        <w:bidi w:val="0"/>
        <w:jc w:val="both"/>
        <w:rPr>
          <w:rFonts w:ascii="Times New Roman" w:hAnsi="Times New Roman"/>
          <w:b/>
          <w:bCs/>
        </w:rPr>
      </w:pPr>
    </w:p>
    <w:p w:rsidR="007C60E8" w:rsidRPr="00DF61FA" w:rsidP="007C60E8">
      <w:pPr>
        <w:bidi w:val="0"/>
        <w:jc w:val="both"/>
        <w:rPr>
          <w:rFonts w:ascii="Times New Roman" w:hAnsi="Times New Roman"/>
          <w:b/>
          <w:bCs/>
        </w:rPr>
      </w:pPr>
      <w:r w:rsidRPr="00DF61FA">
        <w:rPr>
          <w:rFonts w:ascii="Times New Roman" w:hAnsi="Times New Roman"/>
          <w:b/>
          <w:bCs/>
        </w:rPr>
        <w:t>K článku I</w:t>
      </w:r>
    </w:p>
    <w:p w:rsidR="007C60E8" w:rsidRPr="00DF61FA" w:rsidP="007C60E8">
      <w:pPr>
        <w:bidi w:val="0"/>
        <w:jc w:val="both"/>
        <w:rPr>
          <w:rFonts w:ascii="Times New Roman" w:hAnsi="Times New Roman"/>
          <w:b/>
          <w:bCs/>
        </w:rPr>
      </w:pPr>
    </w:p>
    <w:p w:rsidR="007C60E8" w:rsidRPr="00DF61FA" w:rsidP="007C60E8">
      <w:pPr>
        <w:bidi w:val="0"/>
        <w:jc w:val="both"/>
        <w:rPr>
          <w:rFonts w:ascii="Times New Roman" w:hAnsi="Times New Roman"/>
          <w:b/>
          <w:bCs/>
        </w:rPr>
      </w:pPr>
      <w:r w:rsidRPr="00DF61FA">
        <w:rPr>
          <w:rFonts w:ascii="Times New Roman" w:hAnsi="Times New Roman"/>
          <w:b/>
          <w:bCs/>
        </w:rPr>
        <w:t xml:space="preserve">K bodom 1, </w:t>
      </w:r>
      <w:r>
        <w:rPr>
          <w:rFonts w:ascii="Times New Roman" w:hAnsi="Times New Roman"/>
          <w:b/>
          <w:bCs/>
        </w:rPr>
        <w:t>11</w:t>
      </w:r>
      <w:r w:rsidRPr="00DF61FA">
        <w:rPr>
          <w:rFonts w:ascii="Times New Roman" w:hAnsi="Times New Roman"/>
          <w:b/>
          <w:bCs/>
        </w:rPr>
        <w:t xml:space="preserve"> a </w:t>
      </w:r>
      <w:r>
        <w:rPr>
          <w:rFonts w:ascii="Times New Roman" w:hAnsi="Times New Roman"/>
          <w:b/>
          <w:bCs/>
        </w:rPr>
        <w:t>13</w:t>
      </w:r>
    </w:p>
    <w:p w:rsidR="007C60E8" w:rsidRPr="00DF61FA" w:rsidP="007C60E8">
      <w:pPr>
        <w:pStyle w:val="Zkladntext"/>
        <w:autoSpaceDE w:val="0"/>
        <w:autoSpaceDN w:val="0"/>
        <w:bidi w:val="0"/>
        <w:spacing w:line="280" w:lineRule="atLeast"/>
        <w:ind w:firstLine="284"/>
        <w:jc w:val="both"/>
        <w:rPr>
          <w:rFonts w:ascii="Times New Roman" w:hAnsi="Times New Roman"/>
          <w:bCs/>
        </w:rPr>
      </w:pPr>
      <w:r w:rsidRPr="00DF61FA">
        <w:rPr>
          <w:rFonts w:ascii="Times New Roman" w:hAnsi="Times New Roman"/>
          <w:b/>
          <w:bCs/>
        </w:rPr>
        <w:tab/>
      </w:r>
      <w:r w:rsidRPr="00DF61FA">
        <w:rPr>
          <w:rFonts w:ascii="Times New Roman" w:hAnsi="Times New Roman"/>
          <w:bCs/>
        </w:rPr>
        <w:t>Ustanovenia sa upravujú v súvislosti s Lisabonskou zmluvou.</w:t>
      </w:r>
    </w:p>
    <w:p w:rsidR="007C60E8" w:rsidRPr="00DF61FA" w:rsidP="007C60E8">
      <w:pPr>
        <w:bidi w:val="0"/>
        <w:jc w:val="both"/>
        <w:rPr>
          <w:rFonts w:ascii="Times New Roman" w:hAnsi="Times New Roman"/>
          <w:b/>
          <w:bCs/>
        </w:rPr>
      </w:pPr>
    </w:p>
    <w:p w:rsidR="007C60E8" w:rsidRPr="00DF61FA" w:rsidP="007C60E8">
      <w:pPr>
        <w:bidi w:val="0"/>
        <w:jc w:val="both"/>
        <w:rPr>
          <w:rFonts w:ascii="Times New Roman" w:hAnsi="Times New Roman"/>
          <w:b/>
          <w:bCs/>
        </w:rPr>
      </w:pPr>
      <w:r w:rsidRPr="00DF61FA">
        <w:rPr>
          <w:rFonts w:ascii="Times New Roman" w:hAnsi="Times New Roman"/>
          <w:b/>
          <w:bCs/>
        </w:rPr>
        <w:t>K bodu 2</w:t>
      </w:r>
    </w:p>
    <w:p w:rsidR="007C60E8" w:rsidRPr="00DF61FA" w:rsidP="007C60E8">
      <w:pPr>
        <w:bidi w:val="0"/>
        <w:jc w:val="both"/>
        <w:rPr>
          <w:rFonts w:ascii="Times New Roman" w:hAnsi="Times New Roman"/>
          <w:i/>
        </w:rPr>
      </w:pPr>
      <w:r w:rsidRPr="00DF61FA">
        <w:rPr>
          <w:rFonts w:ascii="Times New Roman" w:hAnsi="Times New Roman"/>
          <w:b/>
          <w:bCs/>
        </w:rPr>
        <w:tab/>
      </w:r>
      <w:r w:rsidRPr="00DF61FA">
        <w:rPr>
          <w:rFonts w:ascii="Times New Roman" w:hAnsi="Times New Roman"/>
        </w:rPr>
        <w:t>Vzhľadom k tomu, že smernica Rady 2003/96/ES neumožňuje oslobodenie od spotrebnej dane na uhlie použité teplárenskými spoločnosťami na výrobu tepla, je potrebné vypustiť predmetné ustanovenie.</w:t>
      </w:r>
    </w:p>
    <w:p w:rsidR="007C60E8" w:rsidRPr="00DF61FA" w:rsidP="007C60E8">
      <w:pPr>
        <w:bidi w:val="0"/>
        <w:jc w:val="both"/>
        <w:rPr>
          <w:rFonts w:ascii="Times New Roman" w:hAnsi="Times New Roman"/>
          <w:b/>
          <w:bCs/>
        </w:rPr>
      </w:pPr>
    </w:p>
    <w:p w:rsidR="007C60E8" w:rsidRPr="00DF61FA" w:rsidP="007C60E8">
      <w:pPr>
        <w:bidi w:val="0"/>
        <w:jc w:val="both"/>
        <w:rPr>
          <w:rFonts w:ascii="Times New Roman" w:hAnsi="Times New Roman"/>
          <w:b/>
          <w:bCs/>
        </w:rPr>
      </w:pPr>
      <w:r w:rsidRPr="00DF61FA">
        <w:rPr>
          <w:rFonts w:ascii="Times New Roman" w:hAnsi="Times New Roman"/>
          <w:b/>
          <w:bCs/>
        </w:rPr>
        <w:t>K bodu 3</w:t>
      </w:r>
    </w:p>
    <w:p w:rsidR="007C60E8" w:rsidRPr="00DF61FA" w:rsidP="007C60E8">
      <w:pPr>
        <w:bidi w:val="0"/>
        <w:jc w:val="both"/>
        <w:rPr>
          <w:rFonts w:ascii="Times New Roman" w:hAnsi="Times New Roman"/>
        </w:rPr>
      </w:pPr>
      <w:r w:rsidRPr="00DF61FA">
        <w:rPr>
          <w:rFonts w:ascii="Times New Roman" w:hAnsi="Times New Roman"/>
        </w:rPr>
        <w:tab/>
        <w:t>Legislatívno-technické úpravy v súvislosti s bodom 2.</w:t>
      </w:r>
    </w:p>
    <w:p w:rsidR="007C60E8" w:rsidRPr="00DF61FA" w:rsidP="007C60E8">
      <w:pPr>
        <w:bidi w:val="0"/>
        <w:jc w:val="both"/>
        <w:rPr>
          <w:rFonts w:ascii="Times New Roman" w:hAnsi="Times New Roman"/>
        </w:rPr>
      </w:pPr>
    </w:p>
    <w:p w:rsidR="007C60E8" w:rsidRPr="00DF61FA" w:rsidP="007C60E8">
      <w:pPr>
        <w:bidi w:val="0"/>
        <w:jc w:val="both"/>
        <w:rPr>
          <w:rFonts w:ascii="Times New Roman" w:hAnsi="Times New Roman"/>
          <w:b/>
        </w:rPr>
      </w:pPr>
      <w:r>
        <w:rPr>
          <w:rFonts w:ascii="Times New Roman" w:hAnsi="Times New Roman"/>
          <w:b/>
        </w:rPr>
        <w:t>K bodom</w:t>
      </w:r>
      <w:r w:rsidRPr="00DF61FA">
        <w:rPr>
          <w:rFonts w:ascii="Times New Roman" w:hAnsi="Times New Roman"/>
          <w:b/>
        </w:rPr>
        <w:t xml:space="preserve"> 4</w:t>
      </w:r>
      <w:r>
        <w:rPr>
          <w:rFonts w:ascii="Times New Roman" w:hAnsi="Times New Roman"/>
          <w:b/>
        </w:rPr>
        <w:t xml:space="preserve"> a 5</w:t>
      </w:r>
    </w:p>
    <w:p w:rsidR="007C60E8" w:rsidRPr="002E0798" w:rsidP="007C60E8">
      <w:pPr>
        <w:bidi w:val="0"/>
        <w:jc w:val="both"/>
        <w:rPr>
          <w:rFonts w:ascii="Times New Roman" w:hAnsi="Times New Roman"/>
          <w:i/>
        </w:rPr>
      </w:pPr>
      <w:r w:rsidRPr="00DF61FA">
        <w:rPr>
          <w:rFonts w:ascii="Times New Roman" w:hAnsi="Times New Roman"/>
          <w:b/>
        </w:rPr>
        <w:tab/>
      </w:r>
      <w:r w:rsidRPr="002E0798">
        <w:rPr>
          <w:rFonts w:ascii="Times New Roman" w:hAnsi="Times New Roman"/>
        </w:rPr>
        <w:t xml:space="preserve">Vzhľadom k tomu, že smernica  Rady 2003/96/ES neumožňuje oslobodenie od spotrebnej dane zo zemného plynu použitého teplárenskými spoločnosťami na výrobu tepla, je potrebné vypustiť predmetné ustanovenie. Súčasne sa navrhuje vypustiť oslobodenie od spotrebnej dane pre zemný plyn ak je použitý ako pohonná látka (CNG) z dôvodu, že </w:t>
      </w:r>
      <w:r w:rsidRPr="002E0798">
        <w:rPr>
          <w:rFonts w:ascii="Times New Roman" w:hAnsi="Times New Roman"/>
          <w:bCs/>
        </w:rPr>
        <w:t>podľa smernice Rady 2003/96/ES</w:t>
      </w:r>
      <w:r w:rsidRPr="002E0798">
        <w:rPr>
          <w:rFonts w:ascii="Times New Roman" w:hAnsi="Times New Roman"/>
        </w:rPr>
        <w:t xml:space="preserve"> ide o fakultatívne oslobodenie od spotrebnej dane.</w:t>
      </w:r>
    </w:p>
    <w:p w:rsidR="007C60E8" w:rsidP="007C60E8">
      <w:pPr>
        <w:bidi w:val="0"/>
        <w:jc w:val="both"/>
        <w:rPr>
          <w:rFonts w:ascii="Times New Roman" w:hAnsi="Times New Roman"/>
          <w:b/>
          <w:bCs/>
        </w:rPr>
      </w:pPr>
    </w:p>
    <w:p w:rsidR="007C60E8" w:rsidRPr="00DF61FA" w:rsidP="007C60E8">
      <w:pPr>
        <w:bidi w:val="0"/>
        <w:jc w:val="both"/>
        <w:rPr>
          <w:rFonts w:ascii="Times New Roman" w:hAnsi="Times New Roman"/>
          <w:b/>
          <w:bCs/>
        </w:rPr>
      </w:pPr>
      <w:r w:rsidRPr="00DF61FA">
        <w:rPr>
          <w:rFonts w:ascii="Times New Roman" w:hAnsi="Times New Roman"/>
          <w:b/>
          <w:bCs/>
        </w:rPr>
        <w:t xml:space="preserve">K bodu </w:t>
      </w:r>
      <w:r>
        <w:rPr>
          <w:rFonts w:ascii="Times New Roman" w:hAnsi="Times New Roman"/>
          <w:b/>
          <w:bCs/>
        </w:rPr>
        <w:t>6</w:t>
      </w:r>
    </w:p>
    <w:p w:rsidR="007C60E8" w:rsidRPr="00DF61FA" w:rsidP="007C60E8">
      <w:pPr>
        <w:bidi w:val="0"/>
        <w:jc w:val="both"/>
        <w:rPr>
          <w:rFonts w:ascii="Times New Roman" w:hAnsi="Times New Roman"/>
        </w:rPr>
      </w:pPr>
      <w:r w:rsidRPr="00DF61FA">
        <w:rPr>
          <w:rFonts w:ascii="Times New Roman" w:hAnsi="Times New Roman"/>
          <w:b/>
          <w:bCs/>
        </w:rPr>
        <w:tab/>
      </w:r>
      <w:r w:rsidRPr="00DF61FA">
        <w:rPr>
          <w:rFonts w:ascii="Times New Roman" w:hAnsi="Times New Roman"/>
        </w:rPr>
        <w:t xml:space="preserve">Legislatívno-technická úprava v súvislosti s bodom </w:t>
      </w:r>
      <w:r>
        <w:rPr>
          <w:rFonts w:ascii="Times New Roman" w:hAnsi="Times New Roman"/>
        </w:rPr>
        <w:t>4</w:t>
      </w:r>
      <w:r w:rsidRPr="00DF61FA">
        <w:rPr>
          <w:rFonts w:ascii="Times New Roman" w:hAnsi="Times New Roman"/>
        </w:rPr>
        <w:t xml:space="preserve">. </w:t>
      </w:r>
    </w:p>
    <w:p w:rsidR="007C60E8" w:rsidRPr="00DF61FA" w:rsidP="007C60E8">
      <w:pPr>
        <w:bidi w:val="0"/>
        <w:jc w:val="both"/>
        <w:rPr>
          <w:rFonts w:ascii="Times New Roman" w:hAnsi="Times New Roman"/>
        </w:rPr>
      </w:pPr>
    </w:p>
    <w:p w:rsidR="007C60E8" w:rsidP="007C60E8">
      <w:pPr>
        <w:bidi w:val="0"/>
        <w:jc w:val="both"/>
        <w:rPr>
          <w:rFonts w:ascii="Times New Roman" w:hAnsi="Times New Roman"/>
          <w:b/>
          <w:bCs/>
        </w:rPr>
      </w:pPr>
      <w:r>
        <w:rPr>
          <w:rFonts w:ascii="Times New Roman" w:hAnsi="Times New Roman"/>
          <w:b/>
          <w:bCs/>
        </w:rPr>
        <w:t>K bodom 7 až 10</w:t>
      </w:r>
    </w:p>
    <w:p w:rsidR="007C60E8" w:rsidP="007C60E8">
      <w:pPr>
        <w:bidi w:val="0"/>
        <w:jc w:val="both"/>
        <w:rPr>
          <w:rFonts w:ascii="Times New Roman" w:hAnsi="Times New Roman"/>
          <w:bCs/>
        </w:rPr>
      </w:pPr>
      <w:r>
        <w:rPr>
          <w:rFonts w:ascii="Times New Roman" w:hAnsi="Times New Roman"/>
          <w:b/>
          <w:bCs/>
        </w:rPr>
        <w:tab/>
      </w:r>
      <w:r w:rsidRPr="002E0798">
        <w:rPr>
          <w:rFonts w:ascii="Times New Roman" w:hAnsi="Times New Roman"/>
          <w:bCs/>
        </w:rPr>
        <w:t>Navrhuje sa</w:t>
      </w:r>
      <w:r>
        <w:rPr>
          <w:rFonts w:ascii="Times New Roman" w:hAnsi="Times New Roman"/>
          <w:bCs/>
        </w:rPr>
        <w:t>,</w:t>
      </w:r>
      <w:r w:rsidRPr="002E0798">
        <w:rPr>
          <w:rFonts w:ascii="Times New Roman" w:hAnsi="Times New Roman"/>
          <w:bCs/>
        </w:rPr>
        <w:t xml:space="preserve"> aby</w:t>
      </w:r>
      <w:r>
        <w:rPr>
          <w:rFonts w:ascii="Times New Roman" w:hAnsi="Times New Roman"/>
          <w:b/>
          <w:bCs/>
        </w:rPr>
        <w:t xml:space="preserve"> </w:t>
      </w:r>
      <w:r>
        <w:rPr>
          <w:rFonts w:ascii="Times New Roman" w:hAnsi="Times New Roman"/>
          <w:bCs/>
        </w:rPr>
        <w:t xml:space="preserve">právnická osoba alebo fyzická osoba, ktorá vyrába stlačený zemný plyn, a nie je plynárenským podnikom alebo dodávateľom zemného plynu, bola registrovaná colným úradom ako daňový dlžník. Súčasne sa navrhuje, aby daňová povinnosť vznikla dňom použitia zemného plynu na výrobu stlačeného zemného plynu. </w:t>
      </w:r>
    </w:p>
    <w:p w:rsidR="007C60E8" w:rsidRPr="002E0798" w:rsidP="007C60E8">
      <w:pPr>
        <w:bidi w:val="0"/>
        <w:jc w:val="both"/>
        <w:rPr>
          <w:rFonts w:ascii="Times New Roman" w:hAnsi="Times New Roman"/>
          <w:bCs/>
        </w:rPr>
      </w:pPr>
      <w:r>
        <w:rPr>
          <w:rFonts w:ascii="Times New Roman" w:hAnsi="Times New Roman"/>
          <w:bCs/>
        </w:rPr>
        <w:tab/>
        <w:t>V prípade, že je výrobcom stlačeného zemného plynu plynárenský podnik alebo dodávateľ zemného plynu daňová povinnosť nevzniká dňom spotreby zemného plynu na výrobu stlačeného zemného plynu ale spotrebnej dani podlieha až použitie stlačeného zemného plynu ako pohonnej látky.</w:t>
      </w:r>
    </w:p>
    <w:p w:rsidR="007C60E8" w:rsidP="007C60E8">
      <w:pPr>
        <w:bidi w:val="0"/>
        <w:jc w:val="both"/>
        <w:rPr>
          <w:rFonts w:ascii="Times New Roman" w:hAnsi="Times New Roman"/>
          <w:b/>
          <w:bCs/>
        </w:rPr>
      </w:pPr>
    </w:p>
    <w:p w:rsidR="007C60E8" w:rsidRPr="00DF61FA" w:rsidP="007C60E8">
      <w:pPr>
        <w:bidi w:val="0"/>
        <w:jc w:val="both"/>
        <w:rPr>
          <w:rFonts w:ascii="Times New Roman" w:hAnsi="Times New Roman"/>
          <w:b/>
          <w:bCs/>
        </w:rPr>
      </w:pPr>
      <w:r w:rsidRPr="00DF61FA">
        <w:rPr>
          <w:rFonts w:ascii="Times New Roman" w:hAnsi="Times New Roman"/>
          <w:b/>
          <w:bCs/>
        </w:rPr>
        <w:t xml:space="preserve">K bodu </w:t>
      </w:r>
      <w:r>
        <w:rPr>
          <w:rFonts w:ascii="Times New Roman" w:hAnsi="Times New Roman"/>
          <w:b/>
          <w:bCs/>
        </w:rPr>
        <w:t>12</w:t>
      </w:r>
    </w:p>
    <w:p w:rsidR="007C60E8" w:rsidRPr="00DF61FA" w:rsidP="007C60E8">
      <w:pPr>
        <w:bidi w:val="0"/>
        <w:ind w:firstLine="708"/>
        <w:jc w:val="both"/>
        <w:rPr>
          <w:rFonts w:ascii="Times New Roman" w:hAnsi="Times New Roman"/>
          <w:bCs/>
          <w:color w:val="000000"/>
        </w:rPr>
      </w:pPr>
      <w:r w:rsidRPr="00DF61FA">
        <w:rPr>
          <w:rFonts w:ascii="Times New Roman" w:hAnsi="Times New Roman"/>
          <w:bCs/>
          <w:color w:val="000000"/>
        </w:rPr>
        <w:t>Upravujú sa prechodné ustanovenia v nadväznosti na navrhované zmeny v zákone tak, aby bolo možné oslobodiť od spotrebnej dane použitie uhlia a zemného plynu určeného na výrobu tepla teplárenskými spoločnosťami, ktoré sú oprávnenými spotrebiteľmi podľa doterajších predpisov, a to do ukončenia vykurovacej</w:t>
      </w:r>
      <w:r>
        <w:rPr>
          <w:rFonts w:ascii="Times New Roman" w:hAnsi="Times New Roman"/>
          <w:bCs/>
          <w:color w:val="000000"/>
        </w:rPr>
        <w:t xml:space="preserve"> sezóny, t. j. do 31.mája 2011. Súčasne sa umožňuje vrátiť preukázateľne zaplatenú daň pre teplárenské spoločnosti, ktoré použili zemný plyn na výrobu tepla pre domácnosti do 31. mája 2011, a to aj po 1. júni 2011 (z titulu vykonávania ročných zúčtovaní za predchádzajúce obdobie).</w:t>
      </w:r>
    </w:p>
    <w:p w:rsidR="007C60E8" w:rsidP="007C60E8">
      <w:pPr>
        <w:bidi w:val="0"/>
        <w:jc w:val="both"/>
        <w:rPr>
          <w:rFonts w:ascii="Times New Roman" w:hAnsi="Times New Roman"/>
          <w:b/>
          <w:bCs/>
          <w:color w:val="000000"/>
        </w:rPr>
      </w:pPr>
    </w:p>
    <w:p w:rsidR="007C60E8" w:rsidRPr="00DF61FA" w:rsidP="007C60E8">
      <w:pPr>
        <w:bidi w:val="0"/>
        <w:jc w:val="both"/>
        <w:rPr>
          <w:rFonts w:ascii="Times New Roman" w:hAnsi="Times New Roman"/>
          <w:b/>
          <w:bCs/>
          <w:color w:val="000000"/>
        </w:rPr>
      </w:pPr>
      <w:r w:rsidRPr="00DF61FA">
        <w:rPr>
          <w:rFonts w:ascii="Times New Roman" w:hAnsi="Times New Roman"/>
          <w:b/>
          <w:bCs/>
          <w:color w:val="000000"/>
        </w:rPr>
        <w:t>K článku II</w:t>
      </w:r>
    </w:p>
    <w:p w:rsidR="007C60E8" w:rsidRPr="00DF61FA" w:rsidP="007C60E8">
      <w:pPr>
        <w:bidi w:val="0"/>
        <w:jc w:val="both"/>
        <w:rPr>
          <w:rFonts w:ascii="Times New Roman" w:hAnsi="Times New Roman"/>
          <w:b/>
          <w:bCs/>
          <w:color w:val="000000"/>
        </w:rPr>
      </w:pPr>
    </w:p>
    <w:p w:rsidR="007C60E8" w:rsidP="007C60E8">
      <w:pPr>
        <w:bidi w:val="0"/>
        <w:rPr>
          <w:rFonts w:ascii="Times New Roman" w:hAnsi="Times New Roman"/>
        </w:rPr>
      </w:pPr>
      <w:r w:rsidRPr="00DF61FA">
        <w:rPr>
          <w:rFonts w:ascii="Times New Roman" w:hAnsi="Times New Roman"/>
          <w:b/>
          <w:bCs/>
        </w:rPr>
        <w:tab/>
      </w:r>
      <w:r w:rsidRPr="00DF61FA">
        <w:rPr>
          <w:rFonts w:ascii="Times New Roman" w:hAnsi="Times New Roman"/>
        </w:rPr>
        <w:t>Účinnosť zákona sa navrhuje od 1. januára 2011.</w:t>
      </w:r>
    </w:p>
    <w:p w:rsidR="008E39E9" w:rsidP="007C60E8">
      <w:pPr>
        <w:autoSpaceDE w:val="0"/>
        <w:autoSpaceDN w:val="0"/>
        <w:bidi w:val="0"/>
        <w:spacing w:after="120" w:line="240" w:lineRule="atLeast"/>
        <w:ind w:firstLine="340"/>
        <w:jc w:val="both"/>
        <w:rPr>
          <w:rFonts w:ascii="Times New Roman" w:hAnsi="Times New Roman"/>
          <w:color w:val="000000"/>
        </w:rPr>
      </w:pPr>
    </w:p>
    <w:p w:rsidR="008E39E9" w:rsidP="007C60E8">
      <w:pPr>
        <w:autoSpaceDE w:val="0"/>
        <w:autoSpaceDN w:val="0"/>
        <w:bidi w:val="0"/>
        <w:spacing w:after="120" w:line="240" w:lineRule="atLeast"/>
        <w:ind w:firstLine="340"/>
        <w:jc w:val="both"/>
        <w:rPr>
          <w:rFonts w:ascii="Times New Roman" w:hAnsi="Times New Roman"/>
          <w:color w:val="000000"/>
        </w:rPr>
      </w:pPr>
    </w:p>
    <w:p w:rsidR="007C60E8" w:rsidP="007C60E8">
      <w:pPr>
        <w:autoSpaceDE w:val="0"/>
        <w:autoSpaceDN w:val="0"/>
        <w:bidi w:val="0"/>
        <w:spacing w:after="120" w:line="240" w:lineRule="atLeast"/>
        <w:ind w:firstLine="340"/>
        <w:jc w:val="both"/>
        <w:rPr>
          <w:rFonts w:ascii="Times New Roman" w:hAnsi="Times New Roman"/>
        </w:rPr>
      </w:pPr>
      <w:r>
        <w:rPr>
          <w:rFonts w:ascii="Times New Roman" w:hAnsi="Times New Roman"/>
          <w:color w:val="000000"/>
        </w:rPr>
        <w:t>Schválené uznesením vlády Slovenskej republiky dňa 22. septembra 2010.</w:t>
      </w:r>
    </w:p>
    <w:p w:rsidR="007C60E8" w:rsidP="007C60E8">
      <w:pPr>
        <w:autoSpaceDE w:val="0"/>
        <w:autoSpaceDN w:val="0"/>
        <w:bidi w:val="0"/>
        <w:spacing w:line="240" w:lineRule="atLeast"/>
        <w:rPr>
          <w:rFonts w:ascii="Times New Roman" w:hAnsi="Times New Roman"/>
          <w:color w:val="000000"/>
        </w:rPr>
      </w:pPr>
    </w:p>
    <w:p w:rsidR="007C60E8" w:rsidP="007C60E8">
      <w:pPr>
        <w:autoSpaceDE w:val="0"/>
        <w:autoSpaceDN w:val="0"/>
        <w:bidi w:val="0"/>
        <w:spacing w:line="240" w:lineRule="atLeast"/>
        <w:rPr>
          <w:rFonts w:ascii="Times New Roman" w:hAnsi="Times New Roman"/>
          <w:color w:val="000000"/>
        </w:rPr>
      </w:pPr>
    </w:p>
    <w:p w:rsidR="00EA546D" w:rsidP="00EA546D">
      <w:pPr>
        <w:autoSpaceDE w:val="0"/>
        <w:autoSpaceDN w:val="0"/>
        <w:bidi w:val="0"/>
        <w:spacing w:line="240" w:lineRule="atLeast"/>
        <w:rPr>
          <w:rFonts w:ascii="Times New Roman" w:hAnsi="Times New Roman"/>
          <w:color w:val="000000"/>
        </w:rPr>
      </w:pPr>
    </w:p>
    <w:p w:rsidR="00EA546D" w:rsidRPr="00D7077C" w:rsidP="00EA546D">
      <w:pPr>
        <w:autoSpaceDE w:val="0"/>
        <w:autoSpaceDN w:val="0"/>
        <w:bidi w:val="0"/>
        <w:spacing w:line="240" w:lineRule="atLeast"/>
        <w:jc w:val="center"/>
        <w:rPr>
          <w:rFonts w:ascii="Times New Roman" w:hAnsi="Times New Roman"/>
          <w:bCs/>
          <w:color w:val="000000"/>
        </w:rPr>
      </w:pPr>
      <w:r w:rsidRPr="00D7077C">
        <w:rPr>
          <w:rFonts w:ascii="Times New Roman" w:hAnsi="Times New Roman"/>
          <w:bCs/>
          <w:color w:val="000000"/>
        </w:rPr>
        <w:t>Iveta Radičová, v. r.</w:t>
      </w:r>
    </w:p>
    <w:p w:rsidR="00EA546D" w:rsidRPr="00D7077C" w:rsidP="00EA546D">
      <w:pPr>
        <w:autoSpaceDE w:val="0"/>
        <w:autoSpaceDN w:val="0"/>
        <w:bidi w:val="0"/>
        <w:spacing w:line="240" w:lineRule="atLeast"/>
        <w:jc w:val="center"/>
        <w:rPr>
          <w:rFonts w:ascii="Times New Roman" w:hAnsi="Times New Roman"/>
          <w:color w:val="000000"/>
        </w:rPr>
      </w:pPr>
      <w:r w:rsidRPr="00D7077C">
        <w:rPr>
          <w:rFonts w:ascii="Times New Roman" w:hAnsi="Times New Roman"/>
          <w:color w:val="000000"/>
        </w:rPr>
        <w:t>predsedníčka vlády Slovenskej republiky</w:t>
      </w:r>
    </w:p>
    <w:p w:rsidR="00EA546D" w:rsidRPr="00D7077C" w:rsidP="00EA546D">
      <w:pPr>
        <w:autoSpaceDE w:val="0"/>
        <w:autoSpaceDN w:val="0"/>
        <w:bidi w:val="0"/>
        <w:spacing w:line="240" w:lineRule="atLeast"/>
        <w:jc w:val="both"/>
        <w:rPr>
          <w:rFonts w:ascii="Times New Roman" w:hAnsi="Times New Roman"/>
          <w:color w:val="000000"/>
        </w:rPr>
      </w:pPr>
    </w:p>
    <w:p w:rsidR="00EA546D" w:rsidRPr="00D7077C" w:rsidP="00EA546D">
      <w:pPr>
        <w:autoSpaceDE w:val="0"/>
        <w:autoSpaceDN w:val="0"/>
        <w:bidi w:val="0"/>
        <w:spacing w:line="240" w:lineRule="atLeast"/>
        <w:jc w:val="both"/>
        <w:rPr>
          <w:rFonts w:ascii="Times New Roman" w:hAnsi="Times New Roman"/>
          <w:color w:val="000000"/>
        </w:rPr>
      </w:pPr>
    </w:p>
    <w:p w:rsidR="00EA546D" w:rsidRPr="00D7077C" w:rsidP="00EA546D">
      <w:pPr>
        <w:autoSpaceDE w:val="0"/>
        <w:autoSpaceDN w:val="0"/>
        <w:bidi w:val="0"/>
        <w:spacing w:line="240" w:lineRule="atLeast"/>
        <w:jc w:val="center"/>
        <w:rPr>
          <w:rFonts w:ascii="Times New Roman" w:hAnsi="Times New Roman"/>
          <w:bCs/>
          <w:color w:val="000000"/>
        </w:rPr>
      </w:pPr>
      <w:r w:rsidRPr="00D7077C">
        <w:rPr>
          <w:rFonts w:ascii="Times New Roman" w:hAnsi="Times New Roman"/>
          <w:bCs/>
          <w:color w:val="000000"/>
        </w:rPr>
        <w:t xml:space="preserve">Ivan Mikloš, v. r. </w:t>
      </w:r>
    </w:p>
    <w:p w:rsidR="00EA546D" w:rsidRPr="00D7077C" w:rsidP="00EA546D">
      <w:pPr>
        <w:autoSpaceDE w:val="0"/>
        <w:autoSpaceDN w:val="0"/>
        <w:bidi w:val="0"/>
        <w:spacing w:line="240" w:lineRule="atLeast"/>
        <w:jc w:val="center"/>
        <w:rPr>
          <w:rStyle w:val="PlaceholderText"/>
        </w:rPr>
      </w:pPr>
      <w:r w:rsidRPr="00D7077C">
        <w:rPr>
          <w:rFonts w:ascii="Times New Roman" w:hAnsi="Times New Roman"/>
          <w:color w:val="000000"/>
        </w:rPr>
        <w:t xml:space="preserve">podpredseda vlády a minister financií </w:t>
      </w:r>
      <w:r w:rsidRPr="00D7077C">
        <w:rPr>
          <w:rFonts w:ascii="Times New Roman" w:hAnsi="Times New Roman"/>
        </w:rPr>
        <w:t>Slovenskej republiky</w:t>
      </w:r>
    </w:p>
    <w:p w:rsidR="00EA546D" w:rsidRPr="00D7077C" w:rsidP="00EA546D">
      <w:pPr>
        <w:bidi w:val="0"/>
        <w:ind w:firstLine="567"/>
        <w:jc w:val="both"/>
        <w:rPr>
          <w:rFonts w:ascii="Arial Narrow" w:hAnsi="Arial Narrow"/>
        </w:rPr>
      </w:pPr>
    </w:p>
    <w:p w:rsidR="00EA546D" w:rsidRPr="00D7077C" w:rsidP="00EA546D">
      <w:pPr>
        <w:bidi w:val="0"/>
        <w:rPr>
          <w:rFonts w:ascii="Times New Roman" w:hAnsi="Times New Roman"/>
        </w:rPr>
      </w:pPr>
    </w:p>
    <w:p w:rsidR="00EA546D" w:rsidRPr="00DF61FA" w:rsidP="00EA546D">
      <w:pPr>
        <w:bidi w:val="0"/>
        <w:rPr>
          <w:rFonts w:ascii="Times New Roman" w:hAnsi="Times New Roman"/>
        </w:rPr>
      </w:pPr>
    </w:p>
    <w:p w:rsidR="00EA546D" w:rsidP="00EA546D">
      <w:pPr>
        <w:bidi w:val="0"/>
        <w:rPr>
          <w:rFonts w:ascii="Times New Roman" w:hAnsi="Times New Roman"/>
        </w:rPr>
      </w:pPr>
    </w:p>
    <w:p w:rsidR="007C60E8">
      <w:pPr>
        <w:bidi w:val="0"/>
        <w:rPr>
          <w:rFonts w:ascii="Times New Roman" w:hAnsi="Times New Roman"/>
        </w:rPr>
      </w:pPr>
    </w:p>
    <w:sectPr w:rsidSect="008E39E9">
      <w:pgSz w:w="12240" w:h="15840"/>
      <w:pgMar w:top="709" w:right="1440" w:bottom="1417"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Arial Narrow">
    <w:altName w:val="Century Gothic"/>
    <w:panose1 w:val="00000000000000000000"/>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864">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832DC7">
      <w:rPr>
        <w:rStyle w:val="PageNumber"/>
        <w:rFonts w:ascii="Times New Roman" w:hAnsi="Times New Roman"/>
        <w:noProof/>
      </w:rPr>
      <w:t>2</w:t>
    </w:r>
    <w:r>
      <w:rPr>
        <w:rStyle w:val="PageNumber"/>
        <w:rFonts w:ascii="Times New Roman" w:hAnsi="Times New Roman"/>
      </w:rPr>
      <w:fldChar w:fldCharType="end"/>
    </w:r>
  </w:p>
  <w:p w:rsidR="001D3864">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DC7">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EA546D">
      <w:rPr>
        <w:rFonts w:ascii="Times New Roman" w:hAnsi="Times New Roman"/>
        <w:noProof/>
      </w:rPr>
      <w:t>11</w:t>
    </w:r>
    <w:r>
      <w:rPr>
        <w:rFonts w:ascii="Times New Roman" w:hAnsi="Times New Roman"/>
      </w:rPr>
      <w:fldChar w:fldCharType="end"/>
    </w:r>
  </w:p>
  <w:p w:rsidR="001D3864">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DC7">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EA546D">
      <w:rPr>
        <w:rFonts w:ascii="Times New Roman" w:hAnsi="Times New Roman"/>
        <w:noProof/>
      </w:rPr>
      <w:t>1</w:t>
    </w:r>
    <w:r>
      <w:rPr>
        <w:rFonts w:ascii="Times New Roman" w:hAnsi="Times New Roman"/>
      </w:rPr>
      <w:fldChar w:fldCharType="end"/>
    </w:r>
  </w:p>
  <w:p w:rsidR="00832DC7">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0B44FF"/>
    <w:multiLevelType w:val="hybridMultilevel"/>
    <w:tmpl w:val="8C3E8A7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65096261"/>
    <w:multiLevelType w:val="hybridMultilevel"/>
    <w:tmpl w:val="C1CC33A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6AB62683"/>
    <w:multiLevelType w:val="singleLevel"/>
    <w:tmpl w:val="768E8086"/>
    <w:lvl w:ilvl="0">
      <w:start w:val="1"/>
      <w:numFmt w:val="bullet"/>
      <w:lvlText w:val="-"/>
      <w:lvlJc w:val="left"/>
      <w:pPr>
        <w:tabs>
          <w:tab w:val="num" w:pos="660"/>
        </w:tabs>
        <w:ind w:left="660" w:hanging="360"/>
      </w:pPr>
      <w:rPr>
        <w:rFonts w:hint="default"/>
      </w:rPr>
    </w:lvl>
  </w:abstractNum>
  <w:abstractNum w:abstractNumId="3">
    <w:nsid w:val="6B625AE5"/>
    <w:multiLevelType w:val="singleLevel"/>
    <w:tmpl w:val="0405000F"/>
    <w:lvl w:ilvl="0">
      <w:start w:val="2"/>
      <w:numFmt w:val="decimal"/>
      <w:lvlText w:val="%1."/>
      <w:lvlJc w:val="left"/>
      <w:pPr>
        <w:tabs>
          <w:tab w:val="num" w:pos="360"/>
        </w:tabs>
        <w:ind w:left="360" w:hanging="360"/>
      </w:pPr>
      <w:rPr>
        <w:rFonts w:cs="Times New Roman" w:hint="default"/>
        <w:rtl w:val="0"/>
        <w:cs w:val="0"/>
      </w:rPr>
    </w:lvl>
  </w:abstractNum>
  <w:abstractNum w:abstractNumId="4">
    <w:nsid w:val="7F1E6760"/>
    <w:multiLevelType w:val="hybridMultilevel"/>
    <w:tmpl w:val="CD34C702"/>
    <w:lvl w:ilvl="0">
      <w:start w:val="1"/>
      <w:numFmt w:val="lowerLetter"/>
      <w:lvlText w:val="%1)"/>
      <w:lvlJc w:val="left"/>
      <w:pPr>
        <w:tabs>
          <w:tab w:val="num" w:pos="644"/>
        </w:tabs>
        <w:ind w:left="644" w:hanging="360"/>
      </w:pPr>
      <w:rPr>
        <w:rFonts w:cs="Times New Roman" w:hint="default"/>
        <w:rtl w:val="0"/>
        <w:cs w:val="0"/>
      </w:rPr>
    </w:lvl>
    <w:lvl w:ilvl="1">
      <w:start w:val="1"/>
      <w:numFmt w:val="lowerLetter"/>
      <w:lvlText w:val="%2."/>
      <w:lvlJc w:val="left"/>
      <w:pPr>
        <w:tabs>
          <w:tab w:val="num" w:pos="1364"/>
        </w:tabs>
        <w:ind w:left="1364" w:hanging="360"/>
      </w:pPr>
      <w:rPr>
        <w:rFonts w:cs="Times New Roman"/>
        <w:rtl w:val="0"/>
        <w:cs w:val="0"/>
      </w:rPr>
    </w:lvl>
    <w:lvl w:ilvl="2">
      <w:start w:val="1"/>
      <w:numFmt w:val="lowerRoman"/>
      <w:lvlText w:val="%3."/>
      <w:lvlJc w:val="right"/>
      <w:pPr>
        <w:tabs>
          <w:tab w:val="num" w:pos="2084"/>
        </w:tabs>
        <w:ind w:left="2084" w:hanging="180"/>
      </w:pPr>
      <w:rPr>
        <w:rFonts w:cs="Times New Roman"/>
        <w:rtl w:val="0"/>
        <w:cs w:val="0"/>
      </w:rPr>
    </w:lvl>
    <w:lvl w:ilvl="3">
      <w:start w:val="1"/>
      <w:numFmt w:val="decimal"/>
      <w:lvlText w:val="%4."/>
      <w:lvlJc w:val="left"/>
      <w:pPr>
        <w:tabs>
          <w:tab w:val="num" w:pos="2804"/>
        </w:tabs>
        <w:ind w:left="2804" w:hanging="360"/>
      </w:pPr>
      <w:rPr>
        <w:rFonts w:cs="Times New Roman"/>
        <w:rtl w:val="0"/>
        <w:cs w:val="0"/>
      </w:rPr>
    </w:lvl>
    <w:lvl w:ilvl="4">
      <w:start w:val="1"/>
      <w:numFmt w:val="lowerLetter"/>
      <w:lvlText w:val="%5."/>
      <w:lvlJc w:val="left"/>
      <w:pPr>
        <w:tabs>
          <w:tab w:val="num" w:pos="3524"/>
        </w:tabs>
        <w:ind w:left="3524" w:hanging="360"/>
      </w:pPr>
      <w:rPr>
        <w:rFonts w:cs="Times New Roman"/>
        <w:rtl w:val="0"/>
        <w:cs w:val="0"/>
      </w:rPr>
    </w:lvl>
    <w:lvl w:ilvl="5">
      <w:start w:val="1"/>
      <w:numFmt w:val="lowerRoman"/>
      <w:lvlText w:val="%6."/>
      <w:lvlJc w:val="right"/>
      <w:pPr>
        <w:tabs>
          <w:tab w:val="num" w:pos="4244"/>
        </w:tabs>
        <w:ind w:left="4244" w:hanging="180"/>
      </w:pPr>
      <w:rPr>
        <w:rFonts w:cs="Times New Roman"/>
        <w:rtl w:val="0"/>
        <w:cs w:val="0"/>
      </w:rPr>
    </w:lvl>
    <w:lvl w:ilvl="6">
      <w:start w:val="1"/>
      <w:numFmt w:val="decimal"/>
      <w:lvlText w:val="%7."/>
      <w:lvlJc w:val="left"/>
      <w:pPr>
        <w:tabs>
          <w:tab w:val="num" w:pos="4964"/>
        </w:tabs>
        <w:ind w:left="4964" w:hanging="360"/>
      </w:pPr>
      <w:rPr>
        <w:rFonts w:cs="Times New Roman"/>
        <w:rtl w:val="0"/>
        <w:cs w:val="0"/>
      </w:rPr>
    </w:lvl>
    <w:lvl w:ilvl="7">
      <w:start w:val="1"/>
      <w:numFmt w:val="lowerLetter"/>
      <w:lvlText w:val="%8."/>
      <w:lvlJc w:val="left"/>
      <w:pPr>
        <w:tabs>
          <w:tab w:val="num" w:pos="5684"/>
        </w:tabs>
        <w:ind w:left="5684" w:hanging="360"/>
      </w:pPr>
      <w:rPr>
        <w:rFonts w:cs="Times New Roman"/>
        <w:rtl w:val="0"/>
        <w:cs w:val="0"/>
      </w:rPr>
    </w:lvl>
    <w:lvl w:ilvl="8">
      <w:start w:val="1"/>
      <w:numFmt w:val="lowerRoman"/>
      <w:lvlText w:val="%9."/>
      <w:lvlJc w:val="right"/>
      <w:pPr>
        <w:tabs>
          <w:tab w:val="num" w:pos="6404"/>
        </w:tabs>
        <w:ind w:left="6404" w:hanging="180"/>
      </w:pPr>
      <w:rPr>
        <w:rFonts w:cs="Times New Roman"/>
        <w:rtl w:val="0"/>
        <w:cs w:val="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20"/>
  <w:displayHorizontalDrawingGridEvery w:val="2"/>
  <w:characterSpacingControl w:val="doNotCompress"/>
  <w:compat>
    <w:doNotUseIndentAsNumberingTabStop/>
    <w:allowSpaceOfSameStyleInTable/>
    <w:splitPgBreakAndParaMark/>
    <w:useAnsiKerningPairs/>
  </w:compat>
  <w:rsids>
    <w:rsidRoot w:val="00FF1BFC"/>
    <w:rsid w:val="00095EC2"/>
    <w:rsid w:val="000A32D0"/>
    <w:rsid w:val="001B2760"/>
    <w:rsid w:val="001D3864"/>
    <w:rsid w:val="00212634"/>
    <w:rsid w:val="00291532"/>
    <w:rsid w:val="002D06DD"/>
    <w:rsid w:val="002E0798"/>
    <w:rsid w:val="00386E62"/>
    <w:rsid w:val="003C64AC"/>
    <w:rsid w:val="004B4A48"/>
    <w:rsid w:val="006129C8"/>
    <w:rsid w:val="00691FED"/>
    <w:rsid w:val="007B1252"/>
    <w:rsid w:val="007C60E8"/>
    <w:rsid w:val="007F689D"/>
    <w:rsid w:val="00827A6A"/>
    <w:rsid w:val="00832DC7"/>
    <w:rsid w:val="008E39E9"/>
    <w:rsid w:val="009735D5"/>
    <w:rsid w:val="00B46DE3"/>
    <w:rsid w:val="00B5369F"/>
    <w:rsid w:val="00C93DCA"/>
    <w:rsid w:val="00D7077C"/>
    <w:rsid w:val="00D90128"/>
    <w:rsid w:val="00D96724"/>
    <w:rsid w:val="00DF61FA"/>
    <w:rsid w:val="00EA546D"/>
    <w:rsid w:val="00EB7796"/>
    <w:rsid w:val="00EE3A8A"/>
    <w:rsid w:val="00EF090B"/>
    <w:rsid w:val="00FF1BF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BFC"/>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FF1BFC"/>
    <w:rPr>
      <w:rFonts w:ascii="Times New Roman" w:hAnsi="Times New Roman" w:cs="Times New Roman"/>
      <w:color w:val="808080"/>
      <w:rtl w:val="0"/>
      <w:cs w:val="0"/>
    </w:rPr>
  </w:style>
  <w:style w:type="paragraph" w:customStyle="1" w:styleId="Zkladntext">
    <w:name w:val="Základní text"/>
    <w:rsid w:val="00FF1BFC"/>
    <w:pPr>
      <w:framePr w:wrap="auto"/>
      <w:widowControl w:val="0"/>
      <w:autoSpaceDE/>
      <w:autoSpaceDN/>
      <w:adjustRightInd/>
      <w:ind w:left="0" w:right="0"/>
      <w:jc w:val="left"/>
      <w:textAlignment w:val="auto"/>
    </w:pPr>
    <w:rPr>
      <w:rFonts w:cs="Times New Roman"/>
      <w:color w:val="000000"/>
      <w:sz w:val="24"/>
      <w:szCs w:val="24"/>
      <w:rtl w:val="0"/>
      <w:cs w:val="0"/>
      <w:lang w:val="sk-SK" w:eastAsia="sk-SK" w:bidi="ar-SA"/>
    </w:rPr>
  </w:style>
  <w:style w:type="paragraph" w:styleId="BodyText">
    <w:name w:val="Body Text"/>
    <w:basedOn w:val="Normal"/>
    <w:link w:val="ZkladntextChar"/>
    <w:uiPriority w:val="99"/>
    <w:rsid w:val="00FF1BFC"/>
    <w:pPr>
      <w:widowControl/>
      <w:adjustRightInd/>
      <w:spacing w:after="120"/>
      <w:jc w:val="left"/>
    </w:pPr>
  </w:style>
  <w:style w:type="character" w:customStyle="1" w:styleId="ZkladntextChar">
    <w:name w:val="Základný text Char"/>
    <w:basedOn w:val="DefaultParagraphFont"/>
    <w:link w:val="BodyText"/>
    <w:uiPriority w:val="99"/>
    <w:locked/>
    <w:rsid w:val="00FF1BFC"/>
    <w:rPr>
      <w:rFonts w:ascii="Times New Roman" w:hAnsi="Times New Roman" w:cs="Times New Roman"/>
      <w:sz w:val="24"/>
      <w:szCs w:val="24"/>
      <w:rtl w:val="0"/>
      <w:cs w:val="0"/>
      <w:lang w:val="x-none" w:eastAsia="sk-SK"/>
    </w:rPr>
  </w:style>
  <w:style w:type="paragraph" w:styleId="NormalWeb">
    <w:name w:val="Normal (Web)"/>
    <w:basedOn w:val="Normal"/>
    <w:uiPriority w:val="99"/>
    <w:rsid w:val="007C60E8"/>
    <w:pPr>
      <w:widowControl/>
      <w:adjustRightInd/>
      <w:spacing w:before="100" w:beforeAutospacing="1" w:after="100" w:afterAutospacing="1"/>
      <w:jc w:val="left"/>
    </w:pPr>
  </w:style>
  <w:style w:type="character" w:styleId="PageNumber">
    <w:name w:val="page number"/>
    <w:basedOn w:val="DefaultParagraphFont"/>
    <w:uiPriority w:val="99"/>
    <w:rsid w:val="007C60E8"/>
    <w:rPr>
      <w:rFonts w:cs="Times New Roman"/>
      <w:rtl w:val="0"/>
      <w:cs w:val="0"/>
    </w:rPr>
  </w:style>
  <w:style w:type="paragraph" w:customStyle="1" w:styleId="BodyText21">
    <w:name w:val="Body Text 21"/>
    <w:basedOn w:val="Normal"/>
    <w:rsid w:val="007C60E8"/>
    <w:pPr>
      <w:widowControl/>
      <w:overflowPunct w:val="0"/>
      <w:autoSpaceDE w:val="0"/>
      <w:autoSpaceDN w:val="0"/>
      <w:jc w:val="both"/>
      <w:textAlignment w:val="baseline"/>
    </w:pPr>
    <w:rPr>
      <w:szCs w:val="20"/>
    </w:rPr>
  </w:style>
  <w:style w:type="paragraph" w:styleId="Title">
    <w:name w:val="Title"/>
    <w:basedOn w:val="Normal"/>
    <w:link w:val="NzovChar"/>
    <w:uiPriority w:val="10"/>
    <w:qFormat/>
    <w:rsid w:val="007C60E8"/>
    <w:pPr>
      <w:widowControl/>
      <w:adjustRightInd/>
      <w:jc w:val="center"/>
    </w:pPr>
    <w:rPr>
      <w:sz w:val="28"/>
      <w:szCs w:val="20"/>
    </w:rPr>
  </w:style>
  <w:style w:type="character" w:customStyle="1" w:styleId="NzovChar">
    <w:name w:val="Názov Char"/>
    <w:basedOn w:val="DefaultParagraphFont"/>
    <w:link w:val="Title"/>
    <w:uiPriority w:val="10"/>
    <w:locked/>
    <w:rsid w:val="007C60E8"/>
    <w:rPr>
      <w:rFonts w:ascii="Times New Roman" w:hAnsi="Times New Roman" w:cs="Times New Roman"/>
      <w:sz w:val="28"/>
      <w:rtl w:val="0"/>
      <w:cs w:val="0"/>
    </w:rPr>
  </w:style>
  <w:style w:type="paragraph" w:styleId="Footer">
    <w:name w:val="footer"/>
    <w:basedOn w:val="Normal"/>
    <w:link w:val="PtaChar"/>
    <w:uiPriority w:val="99"/>
    <w:rsid w:val="007C60E8"/>
    <w:pPr>
      <w:tabs>
        <w:tab w:val="center" w:pos="4536"/>
        <w:tab w:val="right" w:pos="9072"/>
      </w:tabs>
      <w:adjustRightInd/>
      <w:jc w:val="left"/>
    </w:pPr>
    <w:rPr>
      <w:sz w:val="20"/>
      <w:szCs w:val="20"/>
      <w:lang w:val="en-GB" w:eastAsia="en-US"/>
    </w:rPr>
  </w:style>
  <w:style w:type="character" w:customStyle="1" w:styleId="PtaChar">
    <w:name w:val="Päta Char"/>
    <w:basedOn w:val="DefaultParagraphFont"/>
    <w:link w:val="Footer"/>
    <w:uiPriority w:val="99"/>
    <w:locked/>
    <w:rsid w:val="007C60E8"/>
    <w:rPr>
      <w:rFonts w:ascii="Times New Roman" w:hAnsi="Times New Roman" w:cs="Times New Roman"/>
      <w:rtl w:val="0"/>
      <w:cs w:val="0"/>
      <w:lang w:val="en-GB" w:eastAsia="en-US"/>
    </w:rPr>
  </w:style>
  <w:style w:type="paragraph" w:customStyle="1" w:styleId="Default">
    <w:name w:val="Default"/>
    <w:rsid w:val="007C60E8"/>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sk-SK" w:bidi="ar-SA"/>
    </w:rPr>
  </w:style>
  <w:style w:type="paragraph" w:customStyle="1" w:styleId="Zkladntext0">
    <w:name w:val="Zkladn text"/>
    <w:rsid w:val="001D3864"/>
    <w:pPr>
      <w:framePr w:wrap="auto"/>
      <w:widowControl w:val="0"/>
      <w:autoSpaceDE w:val="0"/>
      <w:autoSpaceDN w:val="0"/>
      <w:adjustRightInd/>
      <w:ind w:left="0" w:right="0"/>
      <w:jc w:val="left"/>
      <w:textAlignment w:val="auto"/>
    </w:pPr>
    <w:rPr>
      <w:rFonts w:cs="Times New Roman"/>
      <w:color w:val="000000"/>
      <w:sz w:val="20"/>
      <w:szCs w:val="20"/>
      <w:rtl w:val="0"/>
      <w:cs w:val="0"/>
      <w:lang w:val="sk-SK" w:eastAsia="sk-SK" w:bidi="ar-SA"/>
    </w:rPr>
  </w:style>
  <w:style w:type="paragraph" w:customStyle="1" w:styleId="dka">
    <w:name w:val="dka"/>
    <w:rsid w:val="001D3864"/>
    <w:pPr>
      <w:framePr w:wrap="auto"/>
      <w:widowControl w:val="0"/>
      <w:autoSpaceDE w:val="0"/>
      <w:autoSpaceDN w:val="0"/>
      <w:adjustRightInd/>
      <w:ind w:left="0" w:right="0"/>
      <w:jc w:val="left"/>
      <w:textAlignment w:val="auto"/>
    </w:pPr>
    <w:rPr>
      <w:rFonts w:cs="Times New Roman"/>
      <w:color w:val="000000"/>
      <w:sz w:val="20"/>
      <w:szCs w:val="20"/>
      <w:rtl w:val="0"/>
      <w:cs w:val="0"/>
      <w:lang w:val="sk-SK" w:eastAsia="sk-SK" w:bidi="ar-SA"/>
    </w:rPr>
  </w:style>
  <w:style w:type="character" w:styleId="Emphasis">
    <w:name w:val="Emphasis"/>
    <w:basedOn w:val="DefaultParagraphFont"/>
    <w:uiPriority w:val="20"/>
    <w:qFormat/>
    <w:rsid w:val="001D3864"/>
    <w:rPr>
      <w:rFonts w:cs="Times New Roman"/>
      <w:i/>
      <w:iCs/>
      <w:rtl w:val="0"/>
      <w:cs w:val="0"/>
    </w:rPr>
  </w:style>
  <w:style w:type="character" w:styleId="Strong">
    <w:name w:val="Strong"/>
    <w:basedOn w:val="DefaultParagraphFont"/>
    <w:uiPriority w:val="22"/>
    <w:qFormat/>
    <w:rsid w:val="001D3864"/>
    <w:rPr>
      <w:rFonts w:cs="Times New Roman"/>
      <w:b/>
      <w:bCs/>
      <w:rtl w:val="0"/>
      <w:cs w:val="0"/>
    </w:rPr>
  </w:style>
  <w:style w:type="paragraph" w:styleId="Header">
    <w:name w:val="header"/>
    <w:basedOn w:val="Normal"/>
    <w:link w:val="HlavikaChar"/>
    <w:uiPriority w:val="99"/>
    <w:semiHidden/>
    <w:unhideWhenUsed/>
    <w:rsid w:val="00832DC7"/>
    <w:pPr>
      <w:tabs>
        <w:tab w:val="center" w:pos="4536"/>
        <w:tab w:val="right" w:pos="9072"/>
      </w:tabs>
      <w:jc w:val="left"/>
    </w:pPr>
  </w:style>
  <w:style w:type="character" w:customStyle="1" w:styleId="HlavikaChar">
    <w:name w:val="Hlavička Char"/>
    <w:basedOn w:val="DefaultParagraphFont"/>
    <w:link w:val="Header"/>
    <w:uiPriority w:val="99"/>
    <w:semiHidden/>
    <w:locked/>
    <w:rsid w:val="00832DC7"/>
    <w:rPr>
      <w:rFonts w:ascii="Times New Roman" w:hAnsi="Times New Roman"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TotalTime>
  <Pages>13</Pages>
  <Words>2515</Words>
  <Characters>14736</Characters>
  <Application>Microsoft Office Word</Application>
  <DocSecurity>0</DocSecurity>
  <Lines>0</Lines>
  <Paragraphs>0</Paragraphs>
  <ScaleCrop>false</ScaleCrop>
  <Company>mfsr</Company>
  <LinksUpToDate>false</LinksUpToDate>
  <CharactersWithSpaces>17217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nkoch</dc:creator>
  <cp:lastModifiedBy>nkoch</cp:lastModifiedBy>
  <cp:revision>6</cp:revision>
  <cp:lastPrinted>2010-09-22T09:07:00Z</cp:lastPrinted>
  <dcterms:created xsi:type="dcterms:W3CDTF">2010-09-22T08:52:00Z</dcterms:created>
  <dcterms:modified xsi:type="dcterms:W3CDTF">2010-09-23T12:39:00Z</dcterms:modified>
</cp:coreProperties>
</file>