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1AF5" w:rsidRPr="00F172DC" w:rsidP="00511AF5">
      <w:pPr>
        <w:bidi w:val="0"/>
        <w:jc w:val="center"/>
        <w:rPr>
          <w:rFonts w:ascii="Times New Roman" w:hAnsi="Times New Roman"/>
          <w:b/>
        </w:rPr>
      </w:pPr>
      <w:r w:rsidRPr="00F172DC">
        <w:rPr>
          <w:rFonts w:ascii="Times New Roman" w:hAnsi="Times New Roman"/>
          <w:b/>
        </w:rPr>
        <w:t>Dôvodová správa</w:t>
      </w:r>
    </w:p>
    <w:p w:rsidR="00511AF5" w:rsidRPr="00F172DC" w:rsidP="00511AF5">
      <w:pPr>
        <w:bidi w:val="0"/>
        <w:outlineLvl w:val="0"/>
        <w:rPr>
          <w:rFonts w:ascii="Times New Roman" w:hAnsi="Times New Roman"/>
          <w:b/>
          <w:bCs/>
          <w:u w:val="single"/>
        </w:rPr>
      </w:pPr>
    </w:p>
    <w:p w:rsidR="00511AF5" w:rsidRPr="00F172DC" w:rsidP="00511AF5">
      <w:pPr>
        <w:bidi w:val="0"/>
        <w:outlineLvl w:val="0"/>
        <w:rPr>
          <w:rFonts w:ascii="Times New Roman" w:hAnsi="Times New Roman"/>
          <w:b/>
          <w:bCs/>
          <w:u w:val="single"/>
        </w:rPr>
      </w:pPr>
      <w:r w:rsidRPr="00F172DC">
        <w:rPr>
          <w:rFonts w:ascii="Times New Roman" w:hAnsi="Times New Roman"/>
          <w:b/>
          <w:bCs/>
          <w:u w:val="single"/>
        </w:rPr>
        <w:t xml:space="preserve">Všeobecná časť  </w:t>
      </w:r>
    </w:p>
    <w:p w:rsidR="00511AF5" w:rsidP="00511AF5">
      <w:pPr>
        <w:bidi w:val="0"/>
        <w:rPr>
          <w:rFonts w:ascii="Times New Roman" w:hAnsi="Times New Roman"/>
        </w:rPr>
      </w:pPr>
    </w:p>
    <w:p w:rsidR="00B962A2" w:rsidRPr="00F172DC" w:rsidP="00B962A2">
      <w:pPr>
        <w:bidi w:val="0"/>
        <w:jc w:val="both"/>
        <w:rPr>
          <w:rFonts w:ascii="Times New Roman" w:hAnsi="Times New Roman"/>
        </w:rPr>
      </w:pPr>
      <w:r w:rsidR="00DE744E">
        <w:rPr>
          <w:rFonts w:ascii="Times New Roman" w:hAnsi="Times New Roman"/>
        </w:rPr>
        <w:t>V</w:t>
      </w:r>
      <w:r w:rsidR="004D737C">
        <w:rPr>
          <w:rFonts w:ascii="Times New Roman" w:hAnsi="Times New Roman"/>
        </w:rPr>
        <w:t>ládny návrh zákona</w:t>
      </w:r>
      <w:r w:rsidRPr="00F172DC" w:rsidR="004D737C">
        <w:rPr>
          <w:rFonts w:ascii="Times New Roman" w:hAnsi="Times New Roman"/>
        </w:rPr>
        <w:t>,</w:t>
      </w:r>
      <w:r w:rsidR="004D737C">
        <w:rPr>
          <w:rFonts w:ascii="Times New Roman" w:hAnsi="Times New Roman"/>
        </w:rPr>
        <w:t xml:space="preserve"> </w:t>
      </w:r>
      <w:r w:rsidRPr="00F172DC" w:rsidR="004D737C">
        <w:rPr>
          <w:rFonts w:ascii="Times New Roman" w:hAnsi="Times New Roman"/>
        </w:rPr>
        <w:t xml:space="preserve">ktorým sa mení a dopĺňa zákon č. 595/2003 Z. z. o dani z príjmov v znení neskorších predpisov </w:t>
      </w:r>
      <w:r w:rsidRPr="002E52F8" w:rsidR="004D737C">
        <w:rPr>
          <w:rFonts w:ascii="Times New Roman" w:hAnsi="Times New Roman"/>
        </w:rPr>
        <w:t xml:space="preserve">a ktorým sa mení zákon č. 283/2002 Z. z. o </w:t>
      </w:r>
      <w:r w:rsidR="004D737C">
        <w:rPr>
          <w:rFonts w:ascii="Times New Roman" w:hAnsi="Times New Roman"/>
        </w:rPr>
        <w:t>c</w:t>
      </w:r>
      <w:r w:rsidRPr="002E52F8" w:rsidR="004D737C">
        <w:rPr>
          <w:rFonts w:ascii="Times New Roman" w:hAnsi="Times New Roman"/>
        </w:rPr>
        <w:t>estovných náhradách v znení neskorších predpisov</w:t>
      </w:r>
      <w:r w:rsidR="004D737C">
        <w:rPr>
          <w:rFonts w:ascii="Times New Roman" w:hAnsi="Times New Roman"/>
        </w:rPr>
        <w:t xml:space="preserve"> </w:t>
      </w:r>
      <w:r w:rsidR="00DE744E">
        <w:rPr>
          <w:rFonts w:ascii="Times New Roman" w:hAnsi="Times New Roman"/>
        </w:rPr>
        <w:t>sa predkladá ako inici</w:t>
      </w:r>
      <w:r w:rsidR="004D737C">
        <w:rPr>
          <w:rFonts w:ascii="Times New Roman" w:hAnsi="Times New Roman"/>
        </w:rPr>
        <w:t>atívny</w:t>
      </w:r>
      <w:r w:rsidR="00DE744E">
        <w:rPr>
          <w:rFonts w:ascii="Times New Roman" w:hAnsi="Times New Roman"/>
        </w:rPr>
        <w:t xml:space="preserve"> materiál</w:t>
      </w:r>
      <w:r w:rsidR="004D737C">
        <w:rPr>
          <w:rFonts w:ascii="Times New Roman" w:hAnsi="Times New Roman"/>
        </w:rPr>
        <w:t xml:space="preserve">. </w:t>
      </w:r>
      <w:r w:rsidRPr="00F172DC" w:rsidR="00CA4E5B">
        <w:rPr>
          <w:rStyle w:val="PlaceholderText"/>
          <w:color w:val="000000"/>
        </w:rPr>
        <w:t>Cieľom predkladaného návrhu zákona je vytvorenie predpokladov pre konsolidáciu verejných financií.</w:t>
      </w:r>
    </w:p>
    <w:p w:rsidR="00B962A2" w:rsidRPr="00F172DC" w:rsidP="00B962A2">
      <w:pPr>
        <w:bidi w:val="0"/>
        <w:rPr>
          <w:rFonts w:ascii="Times New Roman" w:hAnsi="Times New Roman"/>
        </w:rPr>
      </w:pPr>
    </w:p>
    <w:p w:rsidR="00380518" w:rsidRPr="00F172DC" w:rsidP="00380518">
      <w:pPr>
        <w:bidi w:val="0"/>
        <w:jc w:val="both"/>
        <w:rPr>
          <w:rStyle w:val="PlaceholderText"/>
          <w:color w:val="000000"/>
        </w:rPr>
      </w:pPr>
      <w:r w:rsidRPr="00F172DC">
        <w:rPr>
          <w:rFonts w:ascii="Times New Roman" w:hAnsi="Times New Roman"/>
          <w:b/>
        </w:rPr>
        <w:t>V článku I</w:t>
      </w:r>
      <w:r w:rsidRPr="00F172DC">
        <w:rPr>
          <w:rFonts w:ascii="Times New Roman" w:hAnsi="Times New Roman"/>
        </w:rPr>
        <w:t>  sa mení a dopĺňa zákon č. 595/2003 Z. z. o dani z príjmov v znení neskorších predpisov (ďalej len „zákon o dani z príjmov“)</w:t>
      </w:r>
      <w:r w:rsidR="00DE744E">
        <w:rPr>
          <w:rFonts w:ascii="Times New Roman" w:hAnsi="Times New Roman"/>
        </w:rPr>
        <w:t>.</w:t>
      </w:r>
      <w:r w:rsidRPr="00F172DC">
        <w:rPr>
          <w:rFonts w:ascii="Times New Roman" w:hAnsi="Times New Roman"/>
        </w:rPr>
        <w:t xml:space="preserve"> </w:t>
      </w:r>
      <w:r w:rsidRPr="00F172DC">
        <w:rPr>
          <w:rStyle w:val="PlaceholderText"/>
          <w:color w:val="000000"/>
        </w:rPr>
        <w:t>Predkladaný návrh zákona vychádza z programového vyhlásenia vlády, ktorého cieľom je predovšetkým udržanie efektívneho, jednoduchého a neutrálneho daňového systému v oblasti dane z príjmov. Navrhované úpravy sú zamerané najmä na:</w:t>
      </w:r>
    </w:p>
    <w:p w:rsidR="00F172DC" w:rsidRPr="00F172DC" w:rsidP="00F172DC">
      <w:pPr>
        <w:bidi w:val="0"/>
        <w:jc w:val="both"/>
        <w:rPr>
          <w:rFonts w:ascii="Times New Roman" w:hAnsi="Times New Roman"/>
          <w:b/>
          <w:u w:val="single"/>
        </w:rPr>
      </w:pPr>
    </w:p>
    <w:p w:rsidR="00F172DC" w:rsidRPr="00F172DC" w:rsidP="00A054D3">
      <w:pPr>
        <w:pStyle w:val="ListParagraph"/>
        <w:numPr>
          <w:numId w:val="1"/>
        </w:numPr>
        <w:bidi w:val="0"/>
        <w:jc w:val="both"/>
        <w:rPr>
          <w:rStyle w:val="PlaceholderText"/>
          <w:color w:val="000000"/>
          <w:sz w:val="24"/>
          <w:szCs w:val="24"/>
        </w:rPr>
      </w:pPr>
      <w:r w:rsidRPr="00F172DC">
        <w:rPr>
          <w:rStyle w:val="PlaceholderText"/>
          <w:b/>
          <w:color w:val="000000"/>
          <w:sz w:val="24"/>
          <w:szCs w:val="24"/>
        </w:rPr>
        <w:t xml:space="preserve">Obmedzenie </w:t>
      </w:r>
      <w:r w:rsidR="00310D0E">
        <w:rPr>
          <w:rStyle w:val="PlaceholderText"/>
          <w:b/>
          <w:color w:val="000000"/>
          <w:sz w:val="24"/>
          <w:szCs w:val="24"/>
        </w:rPr>
        <w:t>niektorých</w:t>
      </w:r>
      <w:r w:rsidRPr="00F172DC">
        <w:rPr>
          <w:rStyle w:val="PlaceholderText"/>
          <w:b/>
          <w:color w:val="000000"/>
          <w:sz w:val="24"/>
          <w:szCs w:val="24"/>
        </w:rPr>
        <w:t xml:space="preserve"> výhod a výnimiek zo zdanenia</w:t>
      </w:r>
      <w:r w:rsidR="00310D0E">
        <w:rPr>
          <w:rStyle w:val="PlaceholderText"/>
          <w:b/>
          <w:color w:val="000000"/>
          <w:sz w:val="24"/>
          <w:szCs w:val="24"/>
        </w:rPr>
        <w:t xml:space="preserve"> v zákone o dani z príjmov</w:t>
      </w:r>
    </w:p>
    <w:p w:rsidR="00F172DC" w:rsidRPr="00F172DC" w:rsidP="00A054D3">
      <w:pPr>
        <w:pStyle w:val="Heading2"/>
        <w:numPr>
          <w:numId w:val="2"/>
        </w:numPr>
        <w:bidi w:val="0"/>
        <w:spacing w:before="0"/>
        <w:jc w:val="both"/>
        <w:rPr>
          <w:rFonts w:ascii="Times New Roman" w:hAnsi="Times New Roman"/>
          <w:b w:val="0"/>
          <w:color w:val="000000"/>
          <w:sz w:val="24"/>
          <w:szCs w:val="24"/>
        </w:rPr>
      </w:pPr>
      <w:r w:rsidRPr="00F172DC">
        <w:rPr>
          <w:rStyle w:val="PlaceholderText"/>
          <w:b w:val="0"/>
          <w:color w:val="000000"/>
          <w:sz w:val="24"/>
          <w:szCs w:val="24"/>
        </w:rPr>
        <w:t>zrušuje sa možnosť zníženia základu dane zdravotníckych pracovníkov (zamestnancov), ktorí vykonávajú zdravotnícke povolanie lekára, zubného lekára, sestry a pôrodnej asistentky, o náklady na špecializačné vzdelávanie z dôvodu zrovnoprávnenia výpočtu základu dane s ostatnými zamestnancami;</w:t>
      </w:r>
    </w:p>
    <w:p w:rsidR="00F172DC" w:rsidRPr="00F172DC" w:rsidP="00A054D3">
      <w:pPr>
        <w:pStyle w:val="Heading2"/>
        <w:numPr>
          <w:numId w:val="2"/>
        </w:numPr>
        <w:bidi w:val="0"/>
        <w:spacing w:before="0"/>
        <w:jc w:val="both"/>
        <w:rPr>
          <w:rStyle w:val="PlaceholderText"/>
          <w:b w:val="0"/>
          <w:color w:val="000000"/>
          <w:sz w:val="24"/>
          <w:szCs w:val="24"/>
        </w:rPr>
      </w:pPr>
      <w:r w:rsidRPr="00F172DC">
        <w:rPr>
          <w:rStyle w:val="PlaceholderText"/>
          <w:b w:val="0"/>
          <w:color w:val="000000"/>
          <w:sz w:val="24"/>
          <w:szCs w:val="24"/>
        </w:rPr>
        <w:t xml:space="preserve">nahrádza sa oslobodenie do výšky 5-násobku životného minima (t.j. do výšky 925,95 €) pevne stanovenou sumou vo výške 500 eur pri príjmoch z prenájmu, z príležitostných činností vrátane príjmov z príležitostnej poľnohospodárskej výroby, lesného a vodného hospodárstva a z príležitostného prenájmu hnuteľných vecí, z prevodu opcií, z prevodu cenných papierov a z prevodu účasti (podielu) na spoločnosti s ručením obmedzeným, komanditnej spoločnosti alebo z prevodu členských práv družstva; </w:t>
      </w:r>
    </w:p>
    <w:p w:rsidR="00F172DC" w:rsidRPr="00F172DC" w:rsidP="00A054D3">
      <w:pPr>
        <w:pStyle w:val="Heading2"/>
        <w:numPr>
          <w:numId w:val="2"/>
        </w:numPr>
        <w:bidi w:val="0"/>
        <w:spacing w:before="0"/>
        <w:jc w:val="both"/>
        <w:rPr>
          <w:rStyle w:val="PlaceholderText"/>
          <w:b w:val="0"/>
          <w:color w:val="000000"/>
          <w:sz w:val="24"/>
          <w:szCs w:val="24"/>
        </w:rPr>
      </w:pPr>
      <w:r w:rsidRPr="00F172DC">
        <w:rPr>
          <w:rStyle w:val="PlaceholderText"/>
          <w:b w:val="0"/>
          <w:color w:val="000000"/>
          <w:sz w:val="24"/>
          <w:szCs w:val="24"/>
        </w:rPr>
        <w:t>zjednocujú sa paušálne výdavky u fyzických osôb s príjmami z podnikania a z inej samostatnej zárobkovej činnosti – navrhuje sa uplatňovať paušálne výdavky v jednotnej výške 40 %;</w:t>
      </w:r>
    </w:p>
    <w:p w:rsidR="00F172DC" w:rsidRPr="00F172DC" w:rsidP="00A054D3">
      <w:pPr>
        <w:pStyle w:val="Heading2"/>
        <w:numPr>
          <w:numId w:val="2"/>
        </w:numPr>
        <w:bidi w:val="0"/>
        <w:spacing w:before="0"/>
        <w:jc w:val="both"/>
        <w:rPr>
          <w:rStyle w:val="PlaceholderText"/>
          <w:b w:val="0"/>
          <w:color w:val="000000"/>
          <w:sz w:val="24"/>
          <w:szCs w:val="24"/>
        </w:rPr>
      </w:pPr>
      <w:r w:rsidRPr="00F172DC">
        <w:rPr>
          <w:rStyle w:val="PlaceholderText"/>
          <w:b w:val="0"/>
          <w:color w:val="000000"/>
          <w:sz w:val="24"/>
          <w:szCs w:val="24"/>
        </w:rPr>
        <w:t>zjednocuje sa spôsob odpisovania hmotného majetku obstaraného formou finančného prenájmu s inými formami obstarania;</w:t>
      </w:r>
    </w:p>
    <w:p w:rsidR="00F172DC" w:rsidRPr="00F172DC" w:rsidP="00F172DC">
      <w:pPr>
        <w:bidi w:val="0"/>
        <w:rPr>
          <w:rFonts w:ascii="Times New Roman" w:hAnsi="Times New Roman"/>
        </w:rPr>
      </w:pPr>
    </w:p>
    <w:p w:rsidR="00F172DC" w:rsidRPr="00F172DC" w:rsidP="00A054D3">
      <w:pPr>
        <w:pStyle w:val="ListParagraph"/>
        <w:numPr>
          <w:numId w:val="1"/>
        </w:numPr>
        <w:bidi w:val="0"/>
        <w:jc w:val="both"/>
        <w:rPr>
          <w:rStyle w:val="PlaceholderText"/>
          <w:b/>
          <w:color w:val="000000"/>
          <w:sz w:val="24"/>
          <w:szCs w:val="24"/>
        </w:rPr>
      </w:pPr>
      <w:r w:rsidRPr="00F172DC">
        <w:rPr>
          <w:rStyle w:val="PlaceholderText"/>
          <w:b/>
          <w:color w:val="000000"/>
          <w:sz w:val="24"/>
          <w:szCs w:val="24"/>
        </w:rPr>
        <w:t>Nezdaniteľné časti základu dane</w:t>
      </w:r>
    </w:p>
    <w:p w:rsidR="00F172DC" w:rsidRPr="00F172DC" w:rsidP="00A054D3">
      <w:pPr>
        <w:pStyle w:val="Heading2"/>
        <w:numPr>
          <w:numId w:val="2"/>
        </w:numPr>
        <w:bidi w:val="0"/>
        <w:spacing w:before="0"/>
        <w:jc w:val="both"/>
        <w:rPr>
          <w:rStyle w:val="PlaceholderText"/>
          <w:b w:val="0"/>
          <w:color w:val="000000"/>
          <w:sz w:val="24"/>
          <w:szCs w:val="24"/>
        </w:rPr>
      </w:pPr>
      <w:r w:rsidRPr="00F172DC">
        <w:rPr>
          <w:rStyle w:val="PlaceholderText"/>
          <w:b w:val="0"/>
          <w:color w:val="000000"/>
          <w:sz w:val="24"/>
          <w:szCs w:val="24"/>
        </w:rPr>
        <w:t xml:space="preserve">obmedzenie uplatňovania nezdaniteľnej časti základu dane na daňovníka a na manželku (manžela) len na tzv. aktívne príjmy </w:t>
      </w:r>
      <w:r w:rsidR="004C431B">
        <w:rPr>
          <w:rStyle w:val="PlaceholderText"/>
          <w:b w:val="0"/>
          <w:color w:val="000000"/>
          <w:sz w:val="24"/>
          <w:szCs w:val="24"/>
        </w:rPr>
        <w:t>–</w:t>
      </w:r>
      <w:r w:rsidRPr="00F172DC">
        <w:rPr>
          <w:rStyle w:val="PlaceholderText"/>
          <w:b w:val="0"/>
          <w:color w:val="000000"/>
          <w:sz w:val="24"/>
          <w:szCs w:val="24"/>
        </w:rPr>
        <w:t xml:space="preserve"> </w:t>
      </w:r>
      <w:r w:rsidR="004C431B">
        <w:rPr>
          <w:rStyle w:val="PlaceholderText"/>
          <w:b w:val="0"/>
          <w:color w:val="000000"/>
          <w:sz w:val="24"/>
          <w:szCs w:val="24"/>
        </w:rPr>
        <w:t xml:space="preserve">táto </w:t>
      </w:r>
      <w:r w:rsidRPr="00F172DC">
        <w:rPr>
          <w:rStyle w:val="PlaceholderText"/>
          <w:b w:val="0"/>
          <w:color w:val="000000"/>
          <w:sz w:val="24"/>
          <w:szCs w:val="24"/>
        </w:rPr>
        <w:t>nezdaniteľná časť základu dane sa bude uplatňovať len v súvislosti s príjmami zo závislej činnosti, z podnikania alebo z inej samostatnej zárobkovej činnosti;</w:t>
      </w:r>
    </w:p>
    <w:p w:rsidR="00F172DC" w:rsidRPr="00F172DC" w:rsidP="00A054D3">
      <w:pPr>
        <w:pStyle w:val="Heading2"/>
        <w:numPr>
          <w:numId w:val="2"/>
        </w:numPr>
        <w:bidi w:val="0"/>
        <w:spacing w:before="0"/>
        <w:jc w:val="both"/>
        <w:rPr>
          <w:rStyle w:val="PlaceholderText"/>
          <w:b w:val="0"/>
          <w:color w:val="000000"/>
          <w:sz w:val="24"/>
          <w:szCs w:val="24"/>
        </w:rPr>
      </w:pPr>
      <w:r w:rsidRPr="00F172DC">
        <w:rPr>
          <w:rStyle w:val="PlaceholderText"/>
          <w:b w:val="0"/>
          <w:color w:val="000000"/>
          <w:sz w:val="24"/>
          <w:szCs w:val="24"/>
        </w:rPr>
        <w:t>zrušenie nezdaniteľných častí základu dane na účelové sporenie, životné poistenie a doplnkové dôchodkové sporenie;</w:t>
      </w:r>
    </w:p>
    <w:p w:rsidR="00F172DC" w:rsidRPr="00F172DC" w:rsidP="00F172DC">
      <w:pPr>
        <w:bidi w:val="0"/>
        <w:jc w:val="both"/>
        <w:rPr>
          <w:rStyle w:val="PlaceholderText"/>
          <w:color w:val="000000"/>
        </w:rPr>
      </w:pPr>
    </w:p>
    <w:p w:rsidR="00F172DC" w:rsidRPr="00F172DC" w:rsidP="00A054D3">
      <w:pPr>
        <w:pStyle w:val="ListParagraph"/>
        <w:numPr>
          <w:numId w:val="1"/>
        </w:numPr>
        <w:bidi w:val="0"/>
        <w:jc w:val="both"/>
        <w:rPr>
          <w:rStyle w:val="PlaceholderText"/>
          <w:b/>
          <w:color w:val="000000"/>
          <w:sz w:val="24"/>
          <w:szCs w:val="24"/>
        </w:rPr>
      </w:pPr>
      <w:r w:rsidRPr="00F172DC">
        <w:rPr>
          <w:rStyle w:val="PlaceholderText"/>
          <w:b/>
          <w:color w:val="000000"/>
          <w:sz w:val="24"/>
          <w:szCs w:val="24"/>
        </w:rPr>
        <w:t xml:space="preserve">Zmenu uplatňovania dane vyberanej zrážkou </w:t>
      </w:r>
      <w:r w:rsidRPr="00F172DC">
        <w:rPr>
          <w:rStyle w:val="PlaceholderText"/>
          <w:color w:val="000000"/>
          <w:sz w:val="24"/>
          <w:szCs w:val="24"/>
        </w:rPr>
        <w:t>tak, aby jej výberom bola splnená daňová povinnosť daňovníkov, s výnimkou príjmov z podielových listov a dlhopisov, pri</w:t>
      </w:r>
      <w:r w:rsidRPr="00F172DC">
        <w:rPr>
          <w:rStyle w:val="PlaceholderText"/>
          <w:b/>
          <w:color w:val="000000"/>
          <w:sz w:val="24"/>
          <w:szCs w:val="24"/>
        </w:rPr>
        <w:t> </w:t>
      </w:r>
      <w:r w:rsidRPr="00F172DC">
        <w:rPr>
          <w:rStyle w:val="PlaceholderText"/>
          <w:color w:val="000000"/>
          <w:sz w:val="24"/>
          <w:szCs w:val="24"/>
        </w:rPr>
        <w:t>ktorých je daň vybranú zrážkou naďalej možné považovať za preddavok na daň;</w:t>
      </w:r>
    </w:p>
    <w:p w:rsidR="00F172DC" w:rsidRPr="00F172DC" w:rsidP="00F172DC">
      <w:pPr>
        <w:bidi w:val="0"/>
        <w:jc w:val="both"/>
        <w:rPr>
          <w:rFonts w:ascii="Times New Roman" w:hAnsi="Times New Roman"/>
        </w:rPr>
      </w:pPr>
    </w:p>
    <w:p w:rsidR="00F172DC" w:rsidRPr="00F172DC" w:rsidP="00A054D3">
      <w:pPr>
        <w:pStyle w:val="ListParagraph"/>
        <w:numPr>
          <w:numId w:val="1"/>
        </w:numPr>
        <w:bidi w:val="0"/>
        <w:jc w:val="both"/>
        <w:rPr>
          <w:rStyle w:val="PlaceholderText"/>
          <w:color w:val="000000"/>
          <w:sz w:val="24"/>
          <w:szCs w:val="24"/>
        </w:rPr>
      </w:pPr>
      <w:r w:rsidRPr="00F172DC">
        <w:rPr>
          <w:rStyle w:val="PlaceholderText"/>
          <w:b/>
          <w:color w:val="000000"/>
          <w:sz w:val="24"/>
          <w:szCs w:val="24"/>
        </w:rPr>
        <w:t xml:space="preserve">Skvalitnenie podnikateľského prostredia a zvýšenie právnej istoty daňovníkov, </w:t>
      </w:r>
      <w:r w:rsidRPr="00F172DC">
        <w:rPr>
          <w:rStyle w:val="PlaceholderText"/>
          <w:color w:val="000000"/>
          <w:sz w:val="24"/>
          <w:szCs w:val="24"/>
        </w:rPr>
        <w:t>ktoré je zamerané na:</w:t>
      </w:r>
    </w:p>
    <w:p w:rsidR="00F172DC" w:rsidRPr="00F172DC" w:rsidP="00A054D3">
      <w:pPr>
        <w:pStyle w:val="Heading2"/>
        <w:numPr>
          <w:numId w:val="2"/>
        </w:numPr>
        <w:bidi w:val="0"/>
        <w:spacing w:before="0"/>
        <w:jc w:val="both"/>
        <w:rPr>
          <w:rStyle w:val="PlaceholderText"/>
          <w:b w:val="0"/>
          <w:color w:val="000000"/>
          <w:sz w:val="24"/>
          <w:szCs w:val="24"/>
        </w:rPr>
      </w:pPr>
      <w:r w:rsidRPr="00F172DC">
        <w:rPr>
          <w:rStyle w:val="PlaceholderText"/>
          <w:b w:val="0"/>
          <w:color w:val="000000"/>
          <w:sz w:val="24"/>
          <w:szCs w:val="24"/>
        </w:rPr>
        <w:t>spresnenie daňových výdavkov týkajúcich sa dane z pridanej hodnoty zaplatenej v zahraničí;</w:t>
      </w:r>
    </w:p>
    <w:p w:rsidR="00F172DC" w:rsidRPr="00F172DC" w:rsidP="00A054D3">
      <w:pPr>
        <w:pStyle w:val="Heading2"/>
        <w:numPr>
          <w:numId w:val="2"/>
        </w:numPr>
        <w:bidi w:val="0"/>
        <w:spacing w:before="0"/>
        <w:jc w:val="both"/>
        <w:rPr>
          <w:rStyle w:val="PlaceholderText"/>
          <w:b w:val="0"/>
          <w:color w:val="000000"/>
          <w:sz w:val="24"/>
          <w:szCs w:val="24"/>
        </w:rPr>
      </w:pPr>
      <w:r w:rsidRPr="00F172DC">
        <w:rPr>
          <w:rStyle w:val="PlaceholderText"/>
          <w:b w:val="0"/>
          <w:color w:val="000000"/>
          <w:sz w:val="24"/>
          <w:szCs w:val="24"/>
        </w:rPr>
        <w:t>zníženie administratívneho zaťaženia novovzniknutých daňovníkov (právnických osôb) zrušením povinnosti osobitne nahlasovať správcovi dane predpokladanú daň na účely výpočtu preddavkov na daň z príjmov;</w:t>
      </w:r>
    </w:p>
    <w:p w:rsidR="00F172DC" w:rsidRPr="00F172DC" w:rsidP="00F172DC">
      <w:pPr>
        <w:bidi w:val="0"/>
        <w:jc w:val="both"/>
        <w:rPr>
          <w:rStyle w:val="PlaceholderText"/>
          <w:color w:val="000000"/>
        </w:rPr>
      </w:pPr>
    </w:p>
    <w:p w:rsidR="00F172DC" w:rsidRPr="00F172DC" w:rsidP="00A054D3">
      <w:pPr>
        <w:pStyle w:val="ListParagraph"/>
        <w:numPr>
          <w:numId w:val="1"/>
        </w:numPr>
        <w:bidi w:val="0"/>
        <w:jc w:val="both"/>
        <w:rPr>
          <w:rFonts w:ascii="Times New Roman" w:hAnsi="Times New Roman" w:cs="Times New Roman"/>
          <w:b/>
          <w:sz w:val="24"/>
          <w:szCs w:val="24"/>
        </w:rPr>
      </w:pPr>
      <w:r w:rsidRPr="00F172DC">
        <w:rPr>
          <w:rStyle w:val="PlaceholderText"/>
          <w:b/>
          <w:color w:val="000000"/>
          <w:sz w:val="24"/>
          <w:szCs w:val="24"/>
        </w:rPr>
        <w:t xml:space="preserve">Odstránenie možnej nezlučiteľnosti </w:t>
      </w:r>
      <w:r w:rsidRPr="00F172DC">
        <w:rPr>
          <w:rFonts w:ascii="Times New Roman" w:hAnsi="Times New Roman" w:cs="Times New Roman"/>
          <w:b/>
          <w:sz w:val="24"/>
          <w:szCs w:val="24"/>
        </w:rPr>
        <w:t>ustanovení zákona o dani z príjmov s právom Európskej únie</w:t>
      </w:r>
      <w:r w:rsidRPr="00F172DC">
        <w:rPr>
          <w:rStyle w:val="PlaceholderText"/>
          <w:b/>
          <w:color w:val="000000"/>
          <w:sz w:val="24"/>
          <w:szCs w:val="24"/>
        </w:rPr>
        <w:t xml:space="preserve"> na</w:t>
      </w:r>
      <w:r w:rsidRPr="00F172DC">
        <w:rPr>
          <w:rStyle w:val="PlaceholderText"/>
          <w:color w:val="000000"/>
          <w:sz w:val="24"/>
          <w:szCs w:val="24"/>
        </w:rPr>
        <w:t> </w:t>
      </w:r>
      <w:r w:rsidRPr="00F172DC">
        <w:rPr>
          <w:rStyle w:val="PlaceholderText"/>
          <w:b/>
          <w:color w:val="000000"/>
          <w:sz w:val="24"/>
          <w:szCs w:val="24"/>
        </w:rPr>
        <w:t>základe výhrady Európskej komisie</w:t>
      </w:r>
      <w:r w:rsidRPr="00F172DC">
        <w:rPr>
          <w:rStyle w:val="PlaceholderText"/>
          <w:color w:val="000000"/>
          <w:sz w:val="24"/>
          <w:szCs w:val="24"/>
        </w:rPr>
        <w:t xml:space="preserve"> – zjednocujú sa pravidlá pre platenie príspevkov do rôznych foriem doplnkového dôchodkového sporenia tak, aby tieto príspevky boli uznaným daňovým výdavkom zamestnávateľa aj v prípade, ak sú platené na </w:t>
      </w:r>
      <w:r w:rsidRPr="00F172DC">
        <w:rPr>
          <w:rFonts w:ascii="Times New Roman" w:hAnsi="Times New Roman" w:cs="Times New Roman"/>
          <w:sz w:val="24"/>
          <w:szCs w:val="24"/>
        </w:rPr>
        <w:t>doplnkové dôchodkové sporenie v zahraničí.</w:t>
      </w:r>
    </w:p>
    <w:p w:rsidR="00380518" w:rsidRPr="00F172DC" w:rsidP="00B962A2">
      <w:pPr>
        <w:bidi w:val="0"/>
        <w:jc w:val="both"/>
        <w:rPr>
          <w:rFonts w:ascii="Times New Roman" w:hAnsi="Times New Roman"/>
          <w:b/>
          <w:bCs/>
        </w:rPr>
      </w:pPr>
    </w:p>
    <w:p w:rsidR="00B962A2" w:rsidRPr="00F172DC" w:rsidP="00B962A2">
      <w:pPr>
        <w:bidi w:val="0"/>
        <w:jc w:val="both"/>
        <w:rPr>
          <w:rFonts w:ascii="Times New Roman" w:hAnsi="Times New Roman"/>
        </w:rPr>
      </w:pPr>
      <w:r w:rsidRPr="00F172DC">
        <w:rPr>
          <w:rFonts w:ascii="Times New Roman" w:hAnsi="Times New Roman"/>
          <w:b/>
          <w:bCs/>
        </w:rPr>
        <w:t>V  článku II</w:t>
      </w:r>
      <w:r w:rsidRPr="00F172DC">
        <w:rPr>
          <w:rFonts w:ascii="Times New Roman" w:hAnsi="Times New Roman"/>
          <w:bCs/>
        </w:rPr>
        <w:t xml:space="preserve"> </w:t>
      </w:r>
      <w:r w:rsidRPr="00F172DC">
        <w:rPr>
          <w:rFonts w:ascii="Times New Roman" w:hAnsi="Times New Roman"/>
        </w:rPr>
        <w:t>sa mení zákon č. 283/2002 Z. z. o cestovných náhradách v znení neskorších predpisov</w:t>
      </w:r>
      <w:r w:rsidR="00DE744E">
        <w:rPr>
          <w:rFonts w:ascii="Times New Roman" w:hAnsi="Times New Roman"/>
        </w:rPr>
        <w:t>.</w:t>
      </w:r>
      <w:r w:rsidRPr="00F172DC">
        <w:rPr>
          <w:rFonts w:ascii="Times New Roman" w:hAnsi="Times New Roman"/>
        </w:rPr>
        <w:t xml:space="preserve"> Návrhom zákona sa vypúšťa minimálna hranica nároku na vreckové pri zahraničnej pracovnej ceste.</w:t>
      </w:r>
    </w:p>
    <w:p w:rsidR="00D00473" w:rsidP="00B962A2">
      <w:pPr>
        <w:bidi w:val="0"/>
        <w:jc w:val="both"/>
        <w:rPr>
          <w:rFonts w:ascii="Times New Roman" w:hAnsi="Times New Roman"/>
        </w:rPr>
      </w:pPr>
    </w:p>
    <w:p w:rsidR="00D00473" w:rsidP="00B962A2">
      <w:pPr>
        <w:bidi w:val="0"/>
        <w:jc w:val="both"/>
        <w:rPr>
          <w:rFonts w:ascii="Times New Roman" w:hAnsi="Times New Roman"/>
        </w:rPr>
      </w:pPr>
      <w:r>
        <w:rPr>
          <w:rFonts w:ascii="Times New Roman" w:hAnsi="Times New Roman"/>
        </w:rPr>
        <w:t xml:space="preserve">Vplyv navrhovaných zmien vo vládnom návrhu zákona, </w:t>
      </w:r>
      <w:r w:rsidRPr="00F172DC">
        <w:rPr>
          <w:rFonts w:ascii="Times New Roman" w:hAnsi="Times New Roman"/>
        </w:rPr>
        <w:t xml:space="preserve">ktorým sa mení a dopĺňa zákon č. 595/2003 Z. z. o dani z príjmov v znení neskorších predpisov </w:t>
      </w:r>
      <w:r w:rsidRPr="002E52F8">
        <w:rPr>
          <w:rFonts w:ascii="Times New Roman" w:hAnsi="Times New Roman"/>
        </w:rPr>
        <w:t>a ktorým sa mení zákon č. 283/2002 Z. z. o cestovných náhradách v znení neskorších predpisov</w:t>
      </w:r>
      <w:r>
        <w:rPr>
          <w:rFonts w:ascii="Times New Roman" w:hAnsi="Times New Roman"/>
        </w:rPr>
        <w:t xml:space="preserve"> je vyčíslený v doložke vybraných vplyvov, ktorá je súčasťou dôvodovej správy.</w:t>
      </w:r>
    </w:p>
    <w:p w:rsidR="00D00473" w:rsidRPr="00F172DC" w:rsidP="00B962A2">
      <w:pPr>
        <w:bidi w:val="0"/>
        <w:jc w:val="both"/>
        <w:rPr>
          <w:rFonts w:ascii="Times New Roman" w:hAnsi="Times New Roman"/>
        </w:rPr>
      </w:pPr>
    </w:p>
    <w:p w:rsidR="00B962A2" w:rsidRPr="00F172DC" w:rsidP="00B962A2">
      <w:pPr>
        <w:pStyle w:val="BodyTextIndent"/>
        <w:bidi w:val="0"/>
        <w:spacing w:after="0"/>
        <w:ind w:left="0"/>
        <w:jc w:val="both"/>
        <w:rPr>
          <w:rFonts w:ascii="Times New Roman" w:hAnsi="Times New Roman"/>
        </w:rPr>
      </w:pPr>
      <w:r w:rsidR="00C8120D">
        <w:rPr>
          <w:rFonts w:ascii="Times New Roman" w:hAnsi="Times New Roman"/>
        </w:rPr>
        <w:t>Vládny návrh</w:t>
      </w:r>
      <w:r w:rsidRPr="00F172DC">
        <w:rPr>
          <w:rFonts w:ascii="Times New Roman" w:hAnsi="Times New Roman"/>
        </w:rPr>
        <w:t xml:space="preserve"> zákona, ktorým sa mení a dopĺňa zákon č. 595/2003 Z. z. o dani z príjmov v znení neskorších predpisov </w:t>
      </w:r>
      <w:r w:rsidRPr="002E52F8" w:rsidR="005B22DC">
        <w:rPr>
          <w:rFonts w:ascii="Times New Roman" w:hAnsi="Times New Roman"/>
        </w:rPr>
        <w:t>a ktorým sa mení zákon č. 283/2002 Z. z. o cestovných náhradách v znení neskorších predpisov</w:t>
      </w:r>
      <w:r w:rsidRPr="00F172DC">
        <w:rPr>
          <w:rFonts w:ascii="Times New Roman" w:hAnsi="Times New Roman"/>
        </w:rPr>
        <w:t>, je v súlade s Ústavou Slovenskej republiky, inými zákonmi a ostatnými všeobecne záväznými právnymi predpismi a medzinárodnými zmluvami, ktorými je Slovenská republika viazaná.</w:t>
      </w:r>
    </w:p>
    <w:p w:rsidR="00B962A2" w:rsidP="00B962A2">
      <w:pPr>
        <w:pStyle w:val="BodyTextIndent"/>
        <w:bidi w:val="0"/>
        <w:spacing w:after="0"/>
        <w:ind w:left="0"/>
        <w:jc w:val="both"/>
        <w:rPr>
          <w:rFonts w:ascii="Times New Roman" w:hAnsi="Times New Roman"/>
        </w:rPr>
      </w:pPr>
    </w:p>
    <w:p w:rsidR="00DE744E"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b/>
          <w:bCs/>
        </w:rPr>
        <w:t>Doložka vybraných vplyvov</w:t>
      </w:r>
    </w:p>
    <w:p w:rsidR="007264D7" w:rsidRPr="0047032D" w:rsidP="007264D7">
      <w:pPr>
        <w:pStyle w:val="NormalWeb"/>
        <w:bidi w:val="0"/>
        <w:spacing w:before="0" w:beforeAutospacing="0" w:after="0" w:afterAutospacing="0"/>
        <w:ind w:right="-108"/>
        <w:jc w:val="center"/>
        <w:rPr>
          <w:rFonts w:ascii="Times New Roman" w:hAnsi="Times New Roman"/>
        </w:rPr>
      </w:pPr>
      <w:r w:rsidRPr="0047032D">
        <w:rPr>
          <w:rFonts w:ascii="Times New Roman" w:hAnsi="Times New Roman"/>
          <w:b/>
          <w:bCs/>
        </w:rPr>
        <w:t> </w:t>
      </w:r>
    </w:p>
    <w:p w:rsidR="007264D7" w:rsidRPr="0047032D" w:rsidP="007264D7">
      <w:pPr>
        <w:bidi w:val="0"/>
        <w:jc w:val="both"/>
        <w:rPr>
          <w:rFonts w:ascii="Times New Roman" w:hAnsi="Times New Roman"/>
          <w:b/>
          <w:bCs/>
        </w:rPr>
      </w:pPr>
      <w:r w:rsidRPr="0047032D">
        <w:rPr>
          <w:rFonts w:ascii="Times New Roman" w:hAnsi="Times New Roman"/>
          <w:b/>
          <w:bCs/>
        </w:rPr>
        <w:t xml:space="preserve"> A.1. Názov materiálu: </w:t>
      </w:r>
      <w:r w:rsidRPr="0047032D">
        <w:rPr>
          <w:rFonts w:ascii="Times New Roman" w:hAnsi="Times New Roman"/>
          <w:bCs/>
        </w:rPr>
        <w:t>Návrh zákona, ktorým sa mení a dopĺňa zákon č. 595/2003 Z. z. o dani z príjmov v znení neskorších predpisov a</w:t>
      </w:r>
      <w:r>
        <w:rPr>
          <w:rFonts w:ascii="Times New Roman" w:hAnsi="Times New Roman"/>
          <w:bCs/>
        </w:rPr>
        <w:t> ktorým sa mení zákon č. 283/2002 Z. z</w:t>
      </w:r>
      <w:r w:rsidRPr="0047032D">
        <w:rPr>
          <w:rFonts w:ascii="Times New Roman" w:hAnsi="Times New Roman"/>
          <w:bCs/>
        </w:rPr>
        <w:t>.</w:t>
      </w:r>
      <w:r>
        <w:rPr>
          <w:rFonts w:ascii="Times New Roman" w:hAnsi="Times New Roman"/>
          <w:bCs/>
        </w:rPr>
        <w:t xml:space="preserve"> o cestovných náhradách v znení neskorších predpisov</w:t>
      </w:r>
    </w:p>
    <w:p w:rsidR="007264D7" w:rsidRPr="0047032D" w:rsidP="007264D7">
      <w:pPr>
        <w:pStyle w:val="NormalWeb"/>
        <w:bidi w:val="0"/>
        <w:spacing w:before="0" w:beforeAutospacing="0" w:after="0" w:afterAutospacing="0"/>
        <w:rPr>
          <w:rFonts w:ascii="Times New Roman" w:hAnsi="Times New Roman"/>
        </w:rPr>
      </w:pPr>
    </w:p>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b/>
          <w:bCs/>
        </w:rPr>
        <w:t xml:space="preserve"> Termín začatia a ukončenia PPK: </w:t>
      </w:r>
      <w:r w:rsidRPr="0047032D">
        <w:rPr>
          <w:rFonts w:ascii="Times New Roman" w:hAnsi="Times New Roman"/>
          <w:bCs/>
        </w:rPr>
        <w:t xml:space="preserve">od 16. augusta 2010 do </w:t>
      </w:r>
      <w:r>
        <w:rPr>
          <w:rFonts w:ascii="Times New Roman" w:hAnsi="Times New Roman"/>
          <w:bCs/>
        </w:rPr>
        <w:t>17</w:t>
      </w:r>
      <w:r w:rsidRPr="0047032D">
        <w:rPr>
          <w:rFonts w:ascii="Times New Roman" w:hAnsi="Times New Roman"/>
          <w:bCs/>
        </w:rPr>
        <w:t>. augusta 2010</w:t>
      </w:r>
    </w:p>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b/>
          <w:bCs/>
        </w:rPr>
        <w:t> </w:t>
      </w:r>
    </w:p>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b/>
          <w:bCs/>
        </w:rPr>
        <w:t>A.2. Vplyvy:</w:t>
      </w:r>
    </w:p>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 </w:t>
      </w:r>
    </w:p>
    <w:tbl>
      <w:tblPr>
        <w:tblStyle w:val="TableNormal"/>
        <w:tblW w:w="9180" w:type="dxa"/>
        <w:tblLayout w:type="fixed"/>
        <w:tblCellMar>
          <w:left w:w="0" w:type="dxa"/>
          <w:right w:w="0" w:type="dxa"/>
        </w:tblCellMar>
      </w:tblPr>
      <w:tblGrid>
        <w:gridCol w:w="5211"/>
        <w:gridCol w:w="1276"/>
        <w:gridCol w:w="1276"/>
        <w:gridCol w:w="1417"/>
      </w:tblGrid>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Pozitívne</w:t>
            </w:r>
            <w:r w:rsidRPr="0047032D">
              <w:rPr>
                <w:rFonts w:ascii="Times New Roman" w:hAnsi="Times New Roman"/>
                <w:vertAlign w:val="superscript"/>
              </w:rPr>
              <w:t>*</w:t>
            </w:r>
            <w:r w:rsidRPr="0047032D">
              <w:rPr>
                <w:rFonts w:ascii="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Žiadne</w:t>
            </w:r>
            <w:r w:rsidRPr="0047032D">
              <w:rPr>
                <w:rFonts w:ascii="Times New Roman" w:hAnsi="Times New Roman"/>
                <w:vertAlign w:val="superscript"/>
              </w:rPr>
              <w:t>*</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Negatívne</w:t>
            </w:r>
            <w:r w:rsidRPr="0047032D">
              <w:rPr>
                <w:rFonts w:ascii="Times New Roman" w:hAnsi="Times New Roman"/>
                <w:vertAlign w:val="superscript"/>
              </w:rPr>
              <w:t>*</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1. Vplyvy na rozpočet verejnej správy</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2. Vplyvy na podnikateľské prostredie – dochádza k zvýšeniu regulačného zaťaženia?</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X</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 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 xml:space="preserve">3, Sociálne vplyvy </w:t>
            </w:r>
          </w:p>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 vplyvy na hospodárenie obyvateľstva,</w:t>
            </w:r>
          </w:p>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 sociálnu exklúziu,</w:t>
            </w:r>
          </w:p>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 rovnosť príležitostí a rodovú rovnosť a vplyvy na zamestnanosť</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p>
          <w:p w:rsidR="007264D7" w:rsidRPr="0047032D" w:rsidP="007264D7">
            <w:pPr>
              <w:pStyle w:val="NormalWeb"/>
              <w:bidi w:val="0"/>
              <w:spacing w:before="0" w:beforeAutospacing="0" w:after="0" w:afterAutospacing="0"/>
              <w:jc w:val="center"/>
              <w:rPr>
                <w:rFonts w:ascii="Times New Roman" w:hAnsi="Times New Roman"/>
              </w:rPr>
            </w:pPr>
          </w:p>
          <w:p w:rsidR="007264D7" w:rsidRPr="0047032D" w:rsidP="007264D7">
            <w:pPr>
              <w:pStyle w:val="NormalWeb"/>
              <w:bidi w:val="0"/>
              <w:spacing w:before="0" w:beforeAutospacing="0" w:after="0" w:afterAutospacing="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4. Vplyvy na životné prostredie</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rPr>
                <w:rFonts w:ascii="Times New Roman" w:hAnsi="Times New Roman"/>
              </w:rPr>
            </w:pPr>
            <w:r w:rsidRPr="0047032D">
              <w:rPr>
                <w:rFonts w:ascii="Times New Roman" w:hAnsi="Times New Roman"/>
              </w:rPr>
              <w:t>5. Vplyvy na informatizáciu spoločnosti</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7264D7" w:rsidRPr="0047032D" w:rsidP="007264D7">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r>
    </w:tbl>
    <w:p w:rsidR="007264D7" w:rsidRPr="0047032D" w:rsidP="007264D7">
      <w:pPr>
        <w:pStyle w:val="NormalWeb"/>
        <w:bidi w:val="0"/>
        <w:spacing w:before="0" w:beforeAutospacing="0" w:after="0" w:afterAutospacing="0"/>
        <w:jc w:val="both"/>
        <w:rPr>
          <w:rFonts w:ascii="Times New Roman" w:hAnsi="Times New Roman"/>
        </w:rPr>
      </w:pPr>
      <w:r w:rsidRPr="0047032D">
        <w:rPr>
          <w:rFonts w:ascii="Times New Roman" w:hAnsi="Times New Roman"/>
          <w:b/>
          <w:bCs/>
        </w:rPr>
        <w:t>*</w:t>
      </w:r>
      <w:r w:rsidRPr="0047032D">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7264D7" w:rsidRPr="0047032D" w:rsidP="007264D7">
      <w:pPr>
        <w:pStyle w:val="NormalWeb"/>
        <w:bidi w:val="0"/>
        <w:spacing w:before="0" w:beforeAutospacing="0" w:after="0" w:afterAutospacing="0"/>
        <w:jc w:val="both"/>
        <w:rPr>
          <w:rFonts w:ascii="Times New Roman" w:hAnsi="Times New Roman"/>
        </w:rPr>
      </w:pPr>
      <w:r w:rsidRPr="0047032D">
        <w:rPr>
          <w:rFonts w:ascii="Times New Roman" w:hAnsi="Times New Roman"/>
        </w:rPr>
        <w:t> </w:t>
      </w:r>
    </w:p>
    <w:p w:rsidR="007264D7" w:rsidRPr="0047032D" w:rsidP="007264D7">
      <w:pPr>
        <w:pStyle w:val="NormalWeb"/>
        <w:bidi w:val="0"/>
        <w:spacing w:before="0" w:beforeAutospacing="0" w:after="0" w:afterAutospacing="0"/>
        <w:jc w:val="both"/>
        <w:rPr>
          <w:rFonts w:ascii="Times New Roman" w:hAnsi="Times New Roman"/>
        </w:rPr>
      </w:pPr>
      <w:r w:rsidRPr="0047032D">
        <w:rPr>
          <w:rFonts w:ascii="Times New Roman" w:hAnsi="Times New Roman"/>
          <w:b/>
          <w:bCs/>
        </w:rPr>
        <w:t>A.3. Poznámky</w:t>
      </w:r>
    </w:p>
    <w:p w:rsidR="007264D7" w:rsidRPr="0047032D" w:rsidP="007264D7">
      <w:pPr>
        <w:pStyle w:val="NormalWeb"/>
        <w:bidi w:val="0"/>
        <w:spacing w:before="0" w:beforeAutospacing="0" w:after="0" w:afterAutospacing="0"/>
        <w:jc w:val="both"/>
        <w:rPr>
          <w:rFonts w:ascii="Times New Roman" w:hAnsi="Times New Roman"/>
        </w:rPr>
      </w:pPr>
      <w:r w:rsidRPr="0047032D">
        <w:rPr>
          <w:rFonts w:ascii="Times New Roman" w:hAnsi="Times New Roman"/>
          <w:b/>
          <w:bCs/>
        </w:rPr>
        <w:t> </w:t>
      </w:r>
    </w:p>
    <w:p w:rsidR="007264D7" w:rsidRPr="0047032D" w:rsidP="00A054D3">
      <w:pPr>
        <w:pStyle w:val="NormalWeb"/>
        <w:numPr>
          <w:numId w:val="3"/>
        </w:numPr>
        <w:bidi w:val="0"/>
        <w:spacing w:before="0" w:beforeAutospacing="0" w:after="0" w:afterAutospacing="0"/>
        <w:jc w:val="both"/>
        <w:rPr>
          <w:rFonts w:ascii="Times New Roman" w:hAnsi="Times New Roman"/>
        </w:rPr>
      </w:pPr>
      <w:r w:rsidRPr="0047032D">
        <w:rPr>
          <w:rFonts w:ascii="Times New Roman" w:hAnsi="Times New Roman"/>
          <w:u w:val="single"/>
        </w:rPr>
        <w:t>Vplyvy na rozpočet verejnej správy</w:t>
      </w:r>
      <w:r w:rsidRPr="0047032D">
        <w:rPr>
          <w:rFonts w:ascii="Times New Roman" w:hAnsi="Times New Roman"/>
        </w:rPr>
        <w:t xml:space="preserve"> -  </w:t>
      </w:r>
      <w:r w:rsidRPr="0047032D">
        <w:rPr>
          <w:rFonts w:ascii="Times New Roman" w:hAnsi="Times New Roman"/>
          <w:u w:val="single"/>
        </w:rPr>
        <w:t>p</w:t>
      </w:r>
      <w:r w:rsidRPr="0047032D">
        <w:rPr>
          <w:rFonts w:ascii="Times New Roman" w:hAnsi="Times New Roman"/>
        </w:rPr>
        <w:t>rijatím opatrení v oblasti dani z príjmov nebude mať vplyv na zmenu výdavkov rozpočtu verejnej správy, nakoľko neexistuje žiadny vzťah medzi zaplatenou daňou a nejakou službou/benefitom zo strany štátu. Z uvedeného dôvodu je vplyv na rozpočet pozitívny.</w:t>
      </w:r>
    </w:p>
    <w:p w:rsidR="007264D7" w:rsidRPr="0047032D" w:rsidP="007264D7">
      <w:pPr>
        <w:pStyle w:val="NormalWeb"/>
        <w:bidi w:val="0"/>
        <w:spacing w:before="0" w:beforeAutospacing="0" w:after="0" w:afterAutospacing="0"/>
        <w:ind w:left="420"/>
        <w:jc w:val="both"/>
        <w:rPr>
          <w:rFonts w:ascii="Times New Roman" w:hAnsi="Times New Roman"/>
        </w:rPr>
      </w:pPr>
    </w:p>
    <w:p w:rsidR="007264D7" w:rsidRPr="0047032D" w:rsidP="00A054D3">
      <w:pPr>
        <w:pStyle w:val="NormalWeb"/>
        <w:numPr>
          <w:numId w:val="3"/>
        </w:numPr>
        <w:bidi w:val="0"/>
        <w:spacing w:before="0" w:beforeAutospacing="0" w:after="0" w:afterAutospacing="0"/>
        <w:jc w:val="both"/>
        <w:rPr>
          <w:rFonts w:ascii="Times New Roman" w:hAnsi="Times New Roman"/>
        </w:rPr>
      </w:pPr>
      <w:r w:rsidRPr="0047032D">
        <w:rPr>
          <w:rFonts w:ascii="Times New Roman" w:hAnsi="Times New Roman"/>
          <w:u w:val="single"/>
        </w:rPr>
        <w:t>Vplyvy na podnikateľské prostredie</w:t>
      </w:r>
      <w:r w:rsidRPr="0047032D">
        <w:rPr>
          <w:rFonts w:ascii="Times New Roman" w:hAnsi="Times New Roman"/>
        </w:rPr>
        <w:t xml:space="preserve"> – celkový vplyv na podnikateľské prostredie bude mierne negatívny z dôvodu zvýšenia celkového daňového zaťaženia, avšak ide o odstránenie nesystémových výnimiek a úľav. Zároveň dochádza k zníženiu oznamovacej povinnosti u dani z príjmov. </w:t>
      </w:r>
    </w:p>
    <w:p w:rsidR="007264D7" w:rsidRPr="0047032D" w:rsidP="007264D7">
      <w:pPr>
        <w:pStyle w:val="NormalWeb"/>
        <w:bidi w:val="0"/>
        <w:spacing w:before="0" w:beforeAutospacing="0" w:after="0" w:afterAutospacing="0"/>
        <w:jc w:val="both"/>
        <w:rPr>
          <w:rFonts w:ascii="Times New Roman" w:hAnsi="Times New Roman"/>
        </w:rPr>
      </w:pPr>
      <w:r w:rsidRPr="0047032D">
        <w:rPr>
          <w:rFonts w:ascii="Times New Roman" w:hAnsi="Times New Roman"/>
        </w:rPr>
        <w:t xml:space="preserve"> </w:t>
      </w:r>
    </w:p>
    <w:p w:rsidR="007264D7" w:rsidRPr="0047032D" w:rsidP="00A054D3">
      <w:pPr>
        <w:pStyle w:val="NormalWeb"/>
        <w:numPr>
          <w:numId w:val="3"/>
        </w:numPr>
        <w:bidi w:val="0"/>
        <w:spacing w:before="0" w:beforeAutospacing="0" w:after="0" w:afterAutospacing="0"/>
        <w:jc w:val="both"/>
        <w:rPr>
          <w:rFonts w:ascii="Times New Roman" w:hAnsi="Times New Roman"/>
        </w:rPr>
      </w:pPr>
      <w:r w:rsidRPr="0047032D">
        <w:rPr>
          <w:rFonts w:ascii="Times New Roman" w:hAnsi="Times New Roman"/>
          <w:u w:val="single"/>
        </w:rPr>
        <w:t>Sociálne vplyvy</w:t>
      </w:r>
      <w:r w:rsidRPr="0047032D">
        <w:rPr>
          <w:rFonts w:ascii="Times New Roman" w:hAnsi="Times New Roman"/>
        </w:rPr>
        <w:t xml:space="preserve"> – celkový vplyv na hospodárenie obyvateľstva je negatívny, pričom veľkosť vplyvu závisí od počtu opatrení ktoré sa danej domácnosti dotýkajú. </w:t>
      </w:r>
    </w:p>
    <w:p w:rsidR="007264D7" w:rsidRPr="0047032D" w:rsidP="007264D7">
      <w:pPr>
        <w:pStyle w:val="ListParagraph"/>
        <w:bidi w:val="0"/>
        <w:rPr>
          <w:b/>
          <w:bCs/>
        </w:rPr>
      </w:pPr>
    </w:p>
    <w:p w:rsidR="007264D7" w:rsidRPr="0047032D" w:rsidP="007264D7">
      <w:pPr>
        <w:pStyle w:val="NormalWeb"/>
        <w:bidi w:val="0"/>
        <w:spacing w:before="0" w:beforeAutospacing="0" w:after="0" w:afterAutospacing="0"/>
        <w:jc w:val="both"/>
        <w:rPr>
          <w:rFonts w:ascii="Times New Roman" w:hAnsi="Times New Roman"/>
        </w:rPr>
      </w:pPr>
      <w:r w:rsidRPr="0047032D">
        <w:rPr>
          <w:rFonts w:ascii="Times New Roman" w:hAnsi="Times New Roman"/>
          <w:b/>
          <w:bCs/>
        </w:rPr>
        <w:t>A.4. Alternatívne riešenia</w:t>
      </w:r>
    </w:p>
    <w:p w:rsidR="007264D7" w:rsidRPr="0047032D" w:rsidP="007264D7">
      <w:pPr>
        <w:pStyle w:val="NormalWeb"/>
        <w:bidi w:val="0"/>
        <w:spacing w:before="0" w:beforeAutospacing="0" w:after="0" w:afterAutospacing="0"/>
        <w:ind w:left="1416"/>
        <w:jc w:val="both"/>
        <w:rPr>
          <w:rFonts w:ascii="Times New Roman" w:hAnsi="Times New Roman"/>
        </w:rPr>
      </w:pPr>
      <w:r w:rsidRPr="0047032D">
        <w:rPr>
          <w:rFonts w:ascii="Times New Roman" w:hAnsi="Times New Roman"/>
        </w:rPr>
        <w:t> </w:t>
      </w:r>
    </w:p>
    <w:p w:rsidR="007264D7" w:rsidRPr="0047032D" w:rsidP="007264D7">
      <w:pPr>
        <w:pStyle w:val="NormalWeb"/>
        <w:bidi w:val="0"/>
        <w:spacing w:before="0" w:beforeAutospacing="0" w:after="0" w:afterAutospacing="0"/>
        <w:jc w:val="both"/>
        <w:rPr>
          <w:rFonts w:ascii="Times New Roman" w:hAnsi="Times New Roman"/>
        </w:rPr>
      </w:pPr>
      <w:r w:rsidRPr="0047032D">
        <w:rPr>
          <w:rFonts w:ascii="Times New Roman" w:hAnsi="Times New Roman"/>
        </w:rPr>
        <w:t>Keďže cieľom navrhovaných opatrení bolo odstránenie existujúcich výnimiek a oslobodení a tým zvýšiť príjmy do rozpočtu verejnej správy, nebolo možné uvažovať s alternatívnymi riešeniami.</w:t>
      </w:r>
    </w:p>
    <w:p w:rsidR="007264D7" w:rsidRPr="0047032D" w:rsidP="00354B6C">
      <w:pPr>
        <w:pStyle w:val="NormalWeb"/>
        <w:bidi w:val="0"/>
        <w:spacing w:before="0" w:beforeAutospacing="0" w:after="0" w:afterAutospacing="0"/>
        <w:jc w:val="both"/>
        <w:rPr>
          <w:rFonts w:ascii="Times New Roman" w:hAnsi="Times New Roman"/>
          <w:b/>
          <w:bCs/>
        </w:rPr>
      </w:pPr>
      <w:r w:rsidRPr="0047032D">
        <w:rPr>
          <w:rFonts w:ascii="Times New Roman" w:hAnsi="Times New Roman"/>
          <w:b/>
          <w:bCs/>
        </w:rPr>
        <w:t>A.5. Stanovisko gestorov</w:t>
      </w:r>
    </w:p>
    <w:p w:rsidR="007264D7" w:rsidRPr="0047032D" w:rsidP="007264D7">
      <w:pPr>
        <w:pStyle w:val="NormalWeb"/>
        <w:bidi w:val="0"/>
        <w:spacing w:before="0" w:beforeAutospacing="0" w:after="0" w:afterAutospacing="0"/>
        <w:rPr>
          <w:rFonts w:ascii="Times New Roman" w:hAnsi="Times New Roman"/>
          <w:b/>
          <w:bCs/>
        </w:rPr>
      </w:pPr>
    </w:p>
    <w:p w:rsidR="007264D7" w:rsidP="007264D7">
      <w:pPr>
        <w:pStyle w:val="NormalWeb"/>
        <w:bidi w:val="0"/>
        <w:spacing w:before="0" w:beforeAutospacing="0" w:after="0" w:afterAutospacing="0"/>
        <w:jc w:val="both"/>
        <w:rPr>
          <w:rFonts w:ascii="Times New Roman" w:hAnsi="Times New Roman"/>
          <w:b/>
        </w:rPr>
      </w:pPr>
      <w:r w:rsidRPr="0047032D">
        <w:rPr>
          <w:rFonts w:ascii="Times New Roman" w:hAnsi="Times New Roman"/>
          <w:b/>
        </w:rPr>
        <w:t>Ministerstvo financií Slovenskej republiky</w:t>
      </w:r>
    </w:p>
    <w:p w:rsidR="007264D7" w:rsidRPr="0047032D" w:rsidP="007264D7">
      <w:pPr>
        <w:pStyle w:val="NormalWeb"/>
        <w:bidi w:val="0"/>
        <w:spacing w:before="0" w:beforeAutospacing="0" w:after="0" w:afterAutospacing="0"/>
        <w:jc w:val="both"/>
        <w:rPr>
          <w:rFonts w:ascii="Times New Roman" w:hAnsi="Times New Roman"/>
        </w:rPr>
      </w:pPr>
      <w:r w:rsidRPr="0047032D">
        <w:rPr>
          <w:rFonts w:ascii="Times New Roman" w:hAnsi="Times New Roman"/>
          <w:b/>
        </w:rPr>
        <w:t xml:space="preserve"> </w:t>
      </w:r>
      <w:r w:rsidRPr="0047032D">
        <w:rPr>
          <w:rFonts w:ascii="Times New Roman" w:hAnsi="Times New Roman"/>
        </w:rPr>
        <w:t>Návrh doložky nezohľadňuje skutočnosť, že zvýšením príjmov Sociálnej poisťovne dôjde súčasne k zvýšenej tvorbe a tým aj k čerpaniu výdavkov správneho fondu. V doložke je potrebné doplniť aj vplyv zvýšených príjmov zdravotných poisťovní na ich výdavky. Zároveň upozorňujeme, že z  dôvodu zrušenia niektorých výnimiek zo zdanenia (napr. paušálnych náhrad) sa zvýšia odvodové povinnosti určitých skupín zamestnancov v rozpočtových organizáciách, čo bude mať zvýšený vplyv na výdavky štátneho rozpočtu v kategórii 620 – Poistné. Do doložky žiadame doplniť aj zdôvodnenie rozdelenia dopadov na rozpočty obcí, VÚC a štátny rozpočet v jednotlivých rokoch 2011 – 2013 s prihliadnutím na kritériá rozdelenia dane podľa zákona  č. 564/2004 Z. z. a do tabuľky č.1 - vplyv na rozpočet VS, v časti výdavky - vplyv na územnú samosprávu doplniť sumu 18 408 tis. eur z dôvodu navrhovaného zdanenie príjmov obcí a VÚC z predaja a nájmu majetku.</w:t>
      </w:r>
    </w:p>
    <w:p w:rsidR="007264D7" w:rsidP="007264D7">
      <w:pPr>
        <w:bidi w:val="0"/>
        <w:jc w:val="both"/>
        <w:rPr>
          <w:rFonts w:ascii="Times New Roman" w:hAnsi="Times New Roman"/>
        </w:rPr>
      </w:pPr>
      <w:r w:rsidRPr="0047032D">
        <w:rPr>
          <w:rFonts w:ascii="Times New Roman" w:hAnsi="Times New Roman"/>
        </w:rPr>
        <w:t>V nadväznosti na uvedené je potrebné dopracovať doložku vybraných vplyvov a uviesť kvantifikáciu vplyvov nielen v metodike ESA 95, ale aj na hotovostnom princípe.</w:t>
      </w:r>
    </w:p>
    <w:p w:rsidR="007264D7" w:rsidP="007264D7">
      <w:pPr>
        <w:bidi w:val="0"/>
        <w:jc w:val="both"/>
        <w:rPr>
          <w:rFonts w:ascii="Times New Roman" w:hAnsi="Times New Roman"/>
        </w:rPr>
      </w:pPr>
    </w:p>
    <w:p w:rsidR="007264D7" w:rsidP="007264D7">
      <w:pPr>
        <w:bidi w:val="0"/>
        <w:jc w:val="both"/>
        <w:rPr>
          <w:rFonts w:ascii="Times New Roman" w:hAnsi="Times New Roman"/>
          <w:b/>
        </w:rPr>
      </w:pPr>
      <w:r>
        <w:rPr>
          <w:rFonts w:ascii="Times New Roman" w:hAnsi="Times New Roman"/>
          <w:b/>
        </w:rPr>
        <w:t>Stanovisko predkladateľa</w:t>
      </w:r>
    </w:p>
    <w:p w:rsidR="007264D7" w:rsidP="007264D7">
      <w:pPr>
        <w:pStyle w:val="NormalWeb"/>
        <w:bidi w:val="0"/>
        <w:spacing w:before="0" w:beforeAutospacing="0" w:after="0" w:afterAutospacing="0"/>
        <w:jc w:val="both"/>
        <w:rPr>
          <w:rFonts w:ascii="Times New Roman" w:hAnsi="Times New Roman"/>
        </w:rPr>
      </w:pPr>
      <w:r>
        <w:rPr>
          <w:rFonts w:ascii="Times New Roman" w:hAnsi="Times New Roman"/>
        </w:rPr>
        <w:t>Doložka vybraných vplyvov bola doplnená v zmysle pripomienok.</w:t>
      </w:r>
    </w:p>
    <w:p w:rsidR="007264D7" w:rsidP="007264D7">
      <w:pPr>
        <w:pStyle w:val="NormalWeb"/>
        <w:bidi w:val="0"/>
        <w:spacing w:before="0" w:beforeAutospacing="0" w:after="0" w:afterAutospacing="0"/>
        <w:jc w:val="both"/>
        <w:rPr>
          <w:rFonts w:ascii="Times New Roman" w:hAnsi="Times New Roman"/>
        </w:rPr>
      </w:pPr>
    </w:p>
    <w:p w:rsidR="007264D7" w:rsidP="007264D7">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hospodárstva a výstavby SR</w:t>
      </w:r>
    </w:p>
    <w:p w:rsidR="007264D7" w:rsidRPr="00853B65" w:rsidP="007264D7">
      <w:pPr>
        <w:bidi w:val="0"/>
        <w:jc w:val="both"/>
        <w:rPr>
          <w:rFonts w:ascii="Times New Roman" w:hAnsi="Times New Roman"/>
        </w:rPr>
      </w:pPr>
      <w:r w:rsidRPr="00853B65">
        <w:rPr>
          <w:rFonts w:ascii="Times New Roman" w:hAnsi="Times New Roman"/>
        </w:rPr>
        <w:t>Tento návrh zákona má viac negatívny ako pozitívny vplyv na podnikateľské prostredie.</w:t>
      </w:r>
      <w:r>
        <w:rPr>
          <w:rFonts w:ascii="Times New Roman" w:hAnsi="Times New Roman"/>
        </w:rPr>
        <w:t xml:space="preserve"> </w:t>
      </w:r>
      <w:r w:rsidRPr="00853B65">
        <w:rPr>
          <w:rFonts w:ascii="Times New Roman" w:hAnsi="Times New Roman"/>
        </w:rPr>
        <w:t xml:space="preserve">Negatívom bude zvýšenie daňového zaťaženia PP a pozitívom bude zníženie administratívnej záťaže zjednodušením oznamovacej povinnosti. </w:t>
      </w:r>
    </w:p>
    <w:p w:rsidR="007264D7" w:rsidRPr="00853B65" w:rsidP="007264D7">
      <w:pPr>
        <w:bidi w:val="0"/>
        <w:jc w:val="both"/>
        <w:rPr>
          <w:rFonts w:ascii="Times New Roman" w:hAnsi="Times New Roman"/>
        </w:rPr>
      </w:pPr>
      <w:r w:rsidRPr="00853B65">
        <w:rPr>
          <w:rFonts w:ascii="Times New Roman" w:hAnsi="Times New Roman"/>
        </w:rPr>
        <w:t>S návrhom zákona je možné súhlasiť s ohľadom na fakt, že ide o konsolidáciu a ozdravenie verejných financií, ktoré sú v tomto roku v SR v deficitnom stave blížiacom sa k 8 % HDP. Doložka vybraných vplyvov preto správne uvádza negatívny a aj čiastočne pozitívny vplyv na PP.</w:t>
      </w:r>
    </w:p>
    <w:p w:rsidR="007264D7" w:rsidP="007264D7">
      <w:pPr>
        <w:pStyle w:val="NormalWeb"/>
        <w:bidi w:val="0"/>
        <w:spacing w:before="0" w:beforeAutospacing="0" w:after="0" w:afterAutospacing="0"/>
        <w:jc w:val="both"/>
        <w:rPr>
          <w:rFonts w:ascii="Times New Roman" w:hAnsi="Times New Roman"/>
          <w:b/>
          <w:bCs/>
        </w:rPr>
      </w:pPr>
    </w:p>
    <w:p w:rsidR="007264D7" w:rsidP="007264D7">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pôdohospodárstva, životného prostredia a regionálneho rozvoja SR</w:t>
      </w:r>
    </w:p>
    <w:p w:rsidR="007264D7" w:rsidP="007264D7">
      <w:pPr>
        <w:bidi w:val="0"/>
        <w:jc w:val="both"/>
        <w:rPr>
          <w:rFonts w:ascii="Times New Roman" w:hAnsi="Times New Roman"/>
        </w:rPr>
      </w:pPr>
      <w:r w:rsidRPr="00EA2B7D">
        <w:rPr>
          <w:rFonts w:ascii="Times New Roman" w:hAnsi="Times New Roman"/>
        </w:rPr>
        <w:t>Ministerstvo pôdohospodárstva,  životného prostredia a regionálneho rozvoja SR súhlasí s predkladateľom a vypracovanou doložkou vybraných vplyvov / 4. Vplyvy na životné prostredie / pre predmetný materiál.</w:t>
      </w:r>
    </w:p>
    <w:p w:rsidR="007264D7" w:rsidP="007264D7">
      <w:pPr>
        <w:bidi w:val="0"/>
        <w:jc w:val="both"/>
        <w:rPr>
          <w:rFonts w:ascii="Times New Roman" w:hAnsi="Times New Roman"/>
        </w:rPr>
      </w:pPr>
    </w:p>
    <w:p w:rsidR="007264D7" w:rsidP="007264D7">
      <w:pPr>
        <w:bidi w:val="0"/>
        <w:jc w:val="both"/>
        <w:rPr>
          <w:rFonts w:ascii="Times New Roman" w:hAnsi="Times New Roman"/>
          <w:b/>
        </w:rPr>
      </w:pPr>
      <w:r>
        <w:rPr>
          <w:rFonts w:ascii="Times New Roman" w:hAnsi="Times New Roman"/>
          <w:b/>
        </w:rPr>
        <w:t>Ministerstvo práce, sociálnych vecí a rodiny SR</w:t>
      </w:r>
    </w:p>
    <w:p w:rsidR="007264D7" w:rsidP="007264D7">
      <w:pPr>
        <w:bidi w:val="0"/>
        <w:rPr>
          <w:rFonts w:ascii="Times New Roman" w:hAnsi="Times New Roman"/>
          <w:b/>
        </w:rPr>
      </w:pPr>
      <w:r w:rsidRPr="00243500">
        <w:rPr>
          <w:rFonts w:ascii="Times New Roman" w:hAnsi="Times New Roman"/>
          <w:b/>
        </w:rPr>
        <w:t>K doložke vybraných vplyvov:</w:t>
      </w:r>
    </w:p>
    <w:p w:rsidR="007264D7" w:rsidP="007264D7">
      <w:pPr>
        <w:bidi w:val="0"/>
        <w:jc w:val="both"/>
        <w:rPr>
          <w:rFonts w:ascii="Times New Roman" w:hAnsi="Times New Roman"/>
        </w:rPr>
      </w:pPr>
      <w:r>
        <w:rPr>
          <w:rFonts w:ascii="Times New Roman" w:hAnsi="Times New Roman"/>
        </w:rPr>
        <w:tab/>
        <w:t xml:space="preserve">V tabuľke A.2 v časti 3. Sociálne vplyvy sú nesprávne uvedené pozitívne vplyvy predkladaného návrhu. V sumárnej časti doložky vybraných vplyvov nie je potrebné uvádzať vplyvy po jednotlivých kategóriách (na to slúži podrobná tabuľka v prílohe č. 4 jednotnej metodiky). Odporúčame neuvádzať pozitívny vplyv, nakoľko jednoznačný prevažujúci vplyv je negatívny. Taktiež je nesprávne uvedený pozitívny vplyv na rovnosť príležitostí, keďže materiál nebude mať vplyv na túto oblasť. </w:t>
      </w:r>
    </w:p>
    <w:p w:rsidR="007264D7" w:rsidP="007264D7">
      <w:pPr>
        <w:bidi w:val="0"/>
        <w:jc w:val="both"/>
        <w:rPr>
          <w:rFonts w:ascii="Times New Roman" w:hAnsi="Times New Roman"/>
        </w:rPr>
      </w:pPr>
      <w:r>
        <w:rPr>
          <w:rFonts w:ascii="Times New Roman" w:hAnsi="Times New Roman"/>
        </w:rPr>
        <w:tab/>
        <w:t xml:space="preserve"> </w:t>
      </w:r>
    </w:p>
    <w:p w:rsidR="007264D7" w:rsidP="007264D7">
      <w:pPr>
        <w:bidi w:val="0"/>
        <w:jc w:val="both"/>
        <w:rPr>
          <w:rFonts w:ascii="Times New Roman" w:hAnsi="Times New Roman"/>
          <w:b/>
        </w:rPr>
      </w:pPr>
      <w:r w:rsidRPr="00243500">
        <w:rPr>
          <w:rFonts w:ascii="Times New Roman" w:hAnsi="Times New Roman"/>
          <w:b/>
        </w:rPr>
        <w:t>K analýze sociálnych vplyvov:</w:t>
      </w:r>
    </w:p>
    <w:p w:rsidR="007264D7" w:rsidP="007264D7">
      <w:pPr>
        <w:bidi w:val="0"/>
        <w:jc w:val="both"/>
        <w:rPr>
          <w:rFonts w:ascii="Times New Roman" w:hAnsi="Times New Roman"/>
        </w:rPr>
      </w:pPr>
      <w:r>
        <w:rPr>
          <w:rFonts w:ascii="Times New Roman" w:hAnsi="Times New Roman"/>
          <w:b/>
        </w:rPr>
        <w:tab/>
      </w:r>
      <w:r>
        <w:rPr>
          <w:rFonts w:ascii="Times New Roman" w:hAnsi="Times New Roman"/>
        </w:rPr>
        <w:t>V časti 4.1. je potrebné uviesť konkrétne skupiny domácností, ktoré budú s prijatím návrhu ovplyvnené a ktorým konkrétnym opatrením. Napr. zrušením oslobodenia od dane z príjmov pri predaji a prenájme bytov budú ovplyvnení predajcovia a prenajímatelia bytov, ktorí si premietnu zrušenú výnimku do zvýšených nákladov. Sekundárne budú ovplyvnení kupujúci/nájomcovia – najmä mladé rodiny – pre ktoré stúpne cena bytov a prenájmov. Medzi ovplyvnenými, ktorých sa dotkne zrušenie oslobodenia 5-násobku ŽM môže byť aj skupina dôchodcov a iných nízkopríjmových skupín, ktorí si z príležitostných činností zvyšujú svoje príjmy. V časti kvantifikácia je potrebné uviesť počet obyvateľov v ovplyvnených skupinách. V prípade zrušenia NČZD na DSS, ŽP a ÚS je zrejmé, že pôjde najmä o ľudí s mesačnými príjmami nad 380,7 €. Rovnaký prístup je potrebný uviesť aj pri zjednotení paušálnych výdavkov. V prípade, že vplyv na skupinu obyvateľov uvedenej v časti 4.1. nie je možné kvantifikovať, je potrebné tento fakt uviesť.</w:t>
      </w:r>
    </w:p>
    <w:p w:rsidR="007264D7" w:rsidP="007264D7">
      <w:pPr>
        <w:bidi w:val="0"/>
        <w:ind w:firstLine="708"/>
        <w:jc w:val="both"/>
        <w:rPr>
          <w:rFonts w:ascii="Times New Roman" w:hAnsi="Times New Roman"/>
        </w:rPr>
      </w:pPr>
      <w:r>
        <w:rPr>
          <w:rFonts w:ascii="Times New Roman" w:hAnsi="Times New Roman"/>
        </w:rPr>
        <w:t>V časti 4.2. je predpokladateľný negatívny vplyv na prístup k bývaniu. Zrušenie oslobodenia od dani z príjmov pri predaji bytov sa zvýšená cena bytov negatívne premietne do sťaženia prístupu k hypotekárnym úverom, ktoré sú naviazané na cenu nehnuteľnosti. Je potrebné zvážiť sekundárne vplyvy (zvýšený dopyt po prenájmoch zvýši ich cenu, ktorá ovplyvní negatívne hospodárenie domácností).</w:t>
      </w:r>
    </w:p>
    <w:p w:rsidR="007264D7" w:rsidP="007264D7">
      <w:pPr>
        <w:bidi w:val="0"/>
        <w:ind w:firstLine="708"/>
        <w:jc w:val="both"/>
        <w:rPr>
          <w:rFonts w:ascii="Times New Roman" w:hAnsi="Times New Roman"/>
        </w:rPr>
      </w:pPr>
      <w:r>
        <w:rPr>
          <w:rFonts w:ascii="Times New Roman" w:hAnsi="Times New Roman"/>
        </w:rPr>
        <w:t>V časti 4.3. ide o nesprávne pochopenie rovnosti príležitostí. Rovnosť príležitostí neznamená rovnaké podmienky vstupu, ale podmienky, ktoré zohľadňujú špecifiká a skúsenosti rôznorodých skupín ľudí – špeciálne tých, ktorí sú ohrození diskrimináciou na základe veku, rasy, pohlavia, etnika atď. Preto žiadame uviesť žiadny vplyv v tejto časti.</w:t>
      </w:r>
    </w:p>
    <w:p w:rsidR="007264D7" w:rsidRPr="00EA2B7D" w:rsidP="007264D7">
      <w:pPr>
        <w:bidi w:val="0"/>
        <w:jc w:val="both"/>
        <w:rPr>
          <w:rFonts w:ascii="Times New Roman" w:hAnsi="Times New Roman"/>
          <w:b/>
        </w:rPr>
      </w:pPr>
    </w:p>
    <w:p w:rsidR="007264D7" w:rsidP="007264D7">
      <w:pPr>
        <w:bidi w:val="0"/>
        <w:jc w:val="both"/>
        <w:rPr>
          <w:rFonts w:ascii="Times New Roman" w:hAnsi="Times New Roman"/>
          <w:b/>
        </w:rPr>
      </w:pPr>
      <w:r>
        <w:rPr>
          <w:rFonts w:ascii="Times New Roman" w:hAnsi="Times New Roman"/>
          <w:b/>
        </w:rPr>
        <w:t>Stanovisko predkladateľa</w:t>
      </w:r>
    </w:p>
    <w:p w:rsidR="007264D7" w:rsidRPr="00F475D2" w:rsidP="007264D7">
      <w:pPr>
        <w:pStyle w:val="NormalWeb"/>
        <w:bidi w:val="0"/>
        <w:spacing w:before="0" w:beforeAutospacing="0" w:after="0" w:afterAutospacing="0"/>
        <w:jc w:val="both"/>
        <w:rPr>
          <w:rFonts w:ascii="Times New Roman" w:hAnsi="Times New Roman"/>
        </w:rPr>
      </w:pPr>
      <w:r>
        <w:rPr>
          <w:rFonts w:ascii="Times New Roman" w:hAnsi="Times New Roman"/>
        </w:rPr>
        <w:t>Doložka vybraných vplyvov bola čiastočne upravená v zmysle pripomienok. Ministerstvo financií SR nesúhlasí s</w:t>
      </w:r>
      <w:r w:rsidRPr="00F475D2">
        <w:rPr>
          <w:rFonts w:ascii="Times New Roman" w:hAnsi="Times New Roman"/>
        </w:rPr>
        <w:t> jednoznačným tvrdením M</w:t>
      </w:r>
      <w:r>
        <w:rPr>
          <w:rFonts w:ascii="Times New Roman" w:hAnsi="Times New Roman"/>
        </w:rPr>
        <w:t>inisterstva práce, sociálnych vecí a rodiny SR</w:t>
      </w:r>
      <w:r w:rsidRPr="00F475D2">
        <w:rPr>
          <w:rFonts w:ascii="Times New Roman" w:hAnsi="Times New Roman"/>
        </w:rPr>
        <w:t xml:space="preserve">, že odstránenie výnimky na daň z príjmov z predaja nehnuteľnosti (v prípade ak predajná cena je vyššia ako nákupná – zdaňuje sa iba zisk) sa automaticky premietne do vyšších cien nehnuteľností. </w:t>
      </w:r>
      <w:r w:rsidRPr="00F475D2">
        <w:rPr>
          <w:rFonts w:ascii="Times New Roman" w:hAnsi="Times New Roman"/>
          <w:color w:val="1F497D"/>
        </w:rPr>
        <w:t>V</w:t>
      </w:r>
      <w:r w:rsidRPr="00F475D2">
        <w:rPr>
          <w:rFonts w:ascii="Times New Roman" w:hAnsi="Times New Roman"/>
        </w:rPr>
        <w:t xml:space="preserve">ýnimka sa netýka cien nových bytov ale iba bytov nadobudnutých po 1.1.2011 t.j. „starých bytov“. </w:t>
      </w:r>
      <w:r w:rsidRPr="00F475D2">
        <w:rPr>
          <w:rFonts w:ascii="Times New Roman" w:hAnsi="Times New Roman"/>
          <w:color w:val="1F497D"/>
        </w:rPr>
        <w:t>Z</w:t>
      </w:r>
      <w:r w:rsidRPr="00F475D2">
        <w:rPr>
          <w:rFonts w:ascii="Times New Roman" w:hAnsi="Times New Roman"/>
        </w:rPr>
        <w:t>výšenie dane z príjmu by nemalo automaticky meniť relatívne ceny starých a nových bytov, vzhľadom na to, že cena sa na trhu tvorí na základe ponuky a dopytu. Inými slovami ak by aj predávajúci premietli dodatočnú daň do ceny nehnuteľnosti, kupujúci by potom preferovali skôr kúpu nového bytu (ktorého cena sa nezmení). Tento mechanizmus by mal pôsobiť automaticky proti zvyšovaniu cien nehnuteľnosti na sekundárnom trhu.</w:t>
      </w:r>
    </w:p>
    <w:p w:rsidR="007264D7" w:rsidRPr="00F475D2" w:rsidP="007264D7">
      <w:pPr>
        <w:pStyle w:val="NormalWeb"/>
        <w:bidi w:val="0"/>
        <w:spacing w:before="0" w:beforeAutospacing="0" w:after="0" w:afterAutospacing="0"/>
        <w:jc w:val="both"/>
        <w:rPr>
          <w:rFonts w:ascii="Times New Roman" w:hAnsi="Times New Roman"/>
        </w:rPr>
      </w:pPr>
    </w:p>
    <w:p w:rsidR="007264D7" w:rsidRPr="00853B65" w:rsidP="007264D7">
      <w:pPr>
        <w:bidi w:val="0"/>
        <w:jc w:val="both"/>
        <w:rPr>
          <w:rFonts w:ascii="Times New Roman" w:hAnsi="Times New Roman"/>
          <w:b/>
        </w:rPr>
      </w:pPr>
    </w:p>
    <w:p w:rsidR="007264D7" w:rsidRPr="0047032D" w:rsidP="007264D7">
      <w:pPr>
        <w:pStyle w:val="NormalWeb"/>
        <w:bidi w:val="0"/>
        <w:spacing w:before="0" w:beforeAutospacing="0" w:after="0" w:afterAutospacing="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0A4918" w:rsidP="00B962A2">
      <w:pPr>
        <w:pStyle w:val="BodyTextIndent"/>
        <w:bidi w:val="0"/>
        <w:spacing w:after="0"/>
        <w:ind w:left="0"/>
        <w:jc w:val="both"/>
        <w:rPr>
          <w:rFonts w:ascii="Times New Roman" w:hAnsi="Times New Roman"/>
        </w:rPr>
      </w:pPr>
    </w:p>
    <w:p w:rsidR="000A4918" w:rsidP="00B962A2">
      <w:pPr>
        <w:pStyle w:val="BodyTextIndent"/>
        <w:bidi w:val="0"/>
        <w:spacing w:after="0"/>
        <w:ind w:left="0"/>
        <w:jc w:val="both"/>
        <w:rPr>
          <w:rFonts w:ascii="Times New Roman" w:hAnsi="Times New Roman"/>
        </w:rPr>
      </w:pPr>
    </w:p>
    <w:p w:rsidR="000A4918" w:rsidP="00B962A2">
      <w:pPr>
        <w:pStyle w:val="BodyTextIndent"/>
        <w:bidi w:val="0"/>
        <w:spacing w:after="0"/>
        <w:ind w:left="0"/>
        <w:jc w:val="both"/>
        <w:rPr>
          <w:rFonts w:ascii="Times New Roman" w:hAnsi="Times New Roman"/>
        </w:rPr>
      </w:pPr>
    </w:p>
    <w:p w:rsidR="000A4918"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RPr="007264D7" w:rsidP="007264D7">
      <w:pPr>
        <w:bidi w:val="0"/>
        <w:jc w:val="center"/>
        <w:rPr>
          <w:rFonts w:ascii="Times New Roman" w:hAnsi="Times New Roman"/>
          <w:bCs/>
        </w:rPr>
      </w:pPr>
      <w:r>
        <w:rPr>
          <w:rFonts w:ascii="Times New Roman" w:hAnsi="Times New Roman"/>
          <w:b/>
          <w:bCs/>
        </w:rPr>
        <w:tab/>
        <w:tab/>
        <w:tab/>
        <w:tab/>
        <w:t xml:space="preserve">                                                                                     </w:t>
      </w:r>
      <w:r w:rsidRPr="007264D7">
        <w:rPr>
          <w:rFonts w:ascii="Times New Roman" w:hAnsi="Times New Roman"/>
          <w:bCs/>
        </w:rPr>
        <w:t>Príloha č. 1</w:t>
      </w:r>
    </w:p>
    <w:p w:rsidR="007264D7" w:rsidRPr="00323053" w:rsidP="007264D7">
      <w:pPr>
        <w:bidi w:val="0"/>
        <w:jc w:val="center"/>
        <w:rPr>
          <w:rFonts w:ascii="Times New Roman" w:hAnsi="Times New Roman"/>
        </w:rPr>
      </w:pPr>
      <w:r w:rsidRPr="00323053">
        <w:rPr>
          <w:rFonts w:ascii="Times New Roman" w:hAnsi="Times New Roman"/>
          <w:b/>
          <w:bCs/>
        </w:rPr>
        <w:t>Vplyvy na rozpočet verejnej správy,</w:t>
      </w:r>
    </w:p>
    <w:p w:rsidR="007264D7" w:rsidRPr="00323053" w:rsidP="007264D7">
      <w:pPr>
        <w:bidi w:val="0"/>
        <w:jc w:val="center"/>
        <w:rPr>
          <w:rFonts w:ascii="Times New Roman" w:hAnsi="Times New Roman"/>
        </w:rPr>
      </w:pPr>
      <w:r w:rsidRPr="00323053">
        <w:rPr>
          <w:rFonts w:ascii="Times New Roman" w:hAnsi="Times New Roman"/>
          <w:b/>
          <w:bCs/>
        </w:rPr>
        <w:t>na zamestnanosť vo verejnej správe a financovanie návrhu</w:t>
      </w:r>
    </w:p>
    <w:p w:rsidR="007264D7" w:rsidRPr="00323053" w:rsidP="007264D7">
      <w:pPr>
        <w:bidi w:val="0"/>
        <w:rPr>
          <w:rFonts w:ascii="Times New Roman" w:hAnsi="Times New Roman"/>
        </w:rPr>
      </w:pPr>
      <w:r w:rsidRPr="00323053">
        <w:rPr>
          <w:rFonts w:ascii="Times New Roman" w:hAnsi="Times New Roman"/>
        </w:rPr>
        <w:t> </w:t>
      </w:r>
    </w:p>
    <w:p w:rsidR="007264D7" w:rsidRPr="00323053" w:rsidP="007264D7">
      <w:pPr>
        <w:bidi w:val="0"/>
        <w:rPr>
          <w:rFonts w:ascii="Times New Roman" w:hAnsi="Times New Roman"/>
        </w:rPr>
      </w:pPr>
      <w:r w:rsidRPr="00323053">
        <w:rPr>
          <w:rFonts w:ascii="Times New Roman" w:hAnsi="Times New Roman"/>
          <w:b/>
          <w:bCs/>
        </w:rPr>
        <w:t>2.1. Zhrnutie vplyvov na rozpočet verejnej správy v návrhu</w:t>
      </w:r>
    </w:p>
    <w:p w:rsidR="007264D7" w:rsidRPr="00323053" w:rsidP="007264D7">
      <w:pPr>
        <w:bidi w:val="0"/>
        <w:jc w:val="right"/>
        <w:rPr>
          <w:rFonts w:ascii="Times New Roman" w:hAnsi="Times New Roman"/>
        </w:rPr>
      </w:pPr>
      <w:r w:rsidRPr="00323053">
        <w:rPr>
          <w:rFonts w:ascii="Times New Roman" w:hAnsi="Times New Roman"/>
        </w:rPr>
        <w:t>Tabuľka č. 1</w:t>
      </w:r>
    </w:p>
    <w:tbl>
      <w:tblPr>
        <w:tblStyle w:val="TableNormal"/>
        <w:tblW w:w="9229" w:type="dxa"/>
        <w:tblInd w:w="55" w:type="dxa"/>
        <w:tblLayout w:type="fixed"/>
        <w:tblCellMar>
          <w:left w:w="70" w:type="dxa"/>
          <w:right w:w="70" w:type="dxa"/>
        </w:tblCellMar>
        <w:tblLook w:val="04A0"/>
      </w:tblPr>
      <w:tblGrid>
        <w:gridCol w:w="3800"/>
        <w:gridCol w:w="1357"/>
        <w:gridCol w:w="1357"/>
        <w:gridCol w:w="1357"/>
        <w:gridCol w:w="1358"/>
      </w:tblGrid>
      <w:tr>
        <w:tblPrEx>
          <w:tblW w:w="9229" w:type="dxa"/>
          <w:tblInd w:w="55" w:type="dxa"/>
          <w:tblLayout w:type="fixed"/>
          <w:tblCellMar>
            <w:left w:w="70" w:type="dxa"/>
            <w:right w:w="70" w:type="dxa"/>
          </w:tblCellMar>
          <w:tblLook w:val="04A0"/>
        </w:tblPrEx>
        <w:trPr>
          <w:trHeight w:val="315"/>
        </w:trPr>
        <w:tc>
          <w:tcPr>
            <w:tcW w:w="380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r w:rsidRPr="00323053">
              <w:rPr>
                <w:rFonts w:ascii="Times New Roman" w:hAnsi="Times New Roman"/>
                <w:b/>
                <w:bCs/>
                <w:color w:val="FFFFFF"/>
                <w:u w:val="single"/>
              </w:rPr>
              <w:t>Rozpočet verejnej správy (v tis. eur)</w:t>
            </w:r>
          </w:p>
        </w:tc>
        <w:tc>
          <w:tcPr>
            <w:tcW w:w="5429" w:type="dxa"/>
            <w:gridSpan w:val="4"/>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verejnej správy (ESA95)</w:t>
            </w:r>
          </w:p>
        </w:tc>
      </w:tr>
      <w:tr>
        <w:tblPrEx>
          <w:tblW w:w="9229" w:type="dxa"/>
          <w:tblInd w:w="55" w:type="dxa"/>
          <w:tblLayout w:type="fixed"/>
          <w:tblCellMar>
            <w:left w:w="70" w:type="dxa"/>
            <w:right w:w="70" w:type="dxa"/>
          </w:tblCellMar>
          <w:tblLook w:val="04A0"/>
        </w:tblPrEx>
        <w:trPr>
          <w:trHeight w:val="315"/>
        </w:trPr>
        <w:tc>
          <w:tcPr>
            <w:tcW w:w="3800" w:type="dxa"/>
            <w:vMerge/>
            <w:tcBorders>
              <w:top w:val="none" w:sz="0"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p>
        </w:tc>
        <w:tc>
          <w:tcPr>
            <w:tcW w:w="1357"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357"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357"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358"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229" w:type="dxa"/>
          <w:tblInd w:w="55" w:type="dxa"/>
          <w:tblLayout w:type="fixed"/>
          <w:tblCellMar>
            <w:left w:w="70" w:type="dxa"/>
            <w:right w:w="70" w:type="dxa"/>
          </w:tblCellMar>
          <w:tblLook w:val="04A0"/>
        </w:tblPrEx>
        <w:trPr>
          <w:trHeight w:val="283"/>
        </w:trPr>
        <w:tc>
          <w:tcPr>
            <w:tcW w:w="38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Príjmy verejnej správy celkom</w:t>
            </w:r>
          </w:p>
        </w:tc>
        <w:tc>
          <w:tcPr>
            <w:tcW w:w="135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357"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78 348</w:t>
            </w:r>
          </w:p>
        </w:tc>
        <w:tc>
          <w:tcPr>
            <w:tcW w:w="1357"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142 005</w:t>
            </w:r>
          </w:p>
        </w:tc>
        <w:tc>
          <w:tcPr>
            <w:tcW w:w="1358"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156 667</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Štátny rozpočet (VPS)</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78 288</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47 961</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56 851</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Obce</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45</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67 956</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69 341</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VÚC</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15</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22 716</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23 180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Sociálna poisťovňa</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2 247</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4 861</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Zdravotné poisťovne</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1 125</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2 434</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z toho:</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 xml:space="preserve"> - vplyv na ŠR</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i/>
                <w:iCs/>
                <w:color w:val="000000"/>
              </w:rPr>
            </w:pPr>
            <w:r w:rsidRPr="00323053">
              <w:rPr>
                <w:rFonts w:ascii="Times New Roman" w:hAnsi="Times New Roman"/>
                <w:b/>
                <w:bCs/>
                <w:i/>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78 288</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47 961</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56 851</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 xml:space="preserve"> - vplyv na územnú samosprávu</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i/>
                <w:iCs/>
                <w:color w:val="000000"/>
              </w:rPr>
            </w:pPr>
            <w:r w:rsidRPr="00323053">
              <w:rPr>
                <w:rFonts w:ascii="Times New Roman" w:hAnsi="Times New Roman"/>
                <w:b/>
                <w:bCs/>
                <w:i/>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60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90 672</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92 521</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Výdavky verejnej správy celkom</w:t>
            </w:r>
          </w:p>
        </w:tc>
        <w:tc>
          <w:tcPr>
            <w:tcW w:w="1357" w:type="dxa"/>
            <w:tcBorders>
              <w:top w:val="nil"/>
              <w:left w:val="nil"/>
              <w:bottom w:val="single" w:sz="4" w:space="0" w:color="auto"/>
              <w:right w:val="single" w:sz="4" w:space="0" w:color="auto"/>
            </w:tcBorders>
            <w:shd w:val="clear" w:color="000000" w:fill="BFBFBF"/>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357" w:type="dxa"/>
            <w:tcBorders>
              <w:top w:val="nil"/>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1357" w:type="dxa"/>
            <w:tcBorders>
              <w:top w:val="nil"/>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18 470</w:t>
            </w:r>
          </w:p>
        </w:tc>
        <w:tc>
          <w:tcPr>
            <w:tcW w:w="1358" w:type="dxa"/>
            <w:tcBorders>
              <w:top w:val="nil"/>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18 724</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xml:space="preserve">Štátny rozpočet </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Obce</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17 040</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17 132</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VÚC</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1 368</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1 444</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Sociálna poisťovňa</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62</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148</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Zdravotné poisťovne</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z toho:</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 xml:space="preserve"> - vplyv na ŠR</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i/>
                <w:iCs/>
                <w:color w:val="000000"/>
              </w:rPr>
            </w:pPr>
            <w:r w:rsidRPr="00323053">
              <w:rPr>
                <w:rFonts w:ascii="Times New Roman" w:hAnsi="Times New Roman"/>
                <w:b/>
                <w:bCs/>
                <w:i/>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0</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 xml:space="preserve"> - vplyv na územnú samosprávu</w:t>
            </w:r>
          </w:p>
        </w:tc>
        <w:tc>
          <w:tcPr>
            <w:tcW w:w="1357"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i/>
                <w:iCs/>
                <w:color w:val="000000"/>
              </w:rPr>
            </w:pPr>
            <w:r w:rsidRPr="00323053">
              <w:rPr>
                <w:rFonts w:ascii="Times New Roman" w:hAnsi="Times New Roman"/>
                <w:b/>
                <w:bCs/>
                <w:i/>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18 408</w:t>
            </w:r>
          </w:p>
        </w:tc>
        <w:tc>
          <w:tcPr>
            <w:tcW w:w="1358"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18 576</w:t>
            </w:r>
          </w:p>
        </w:tc>
      </w:tr>
    </w:tbl>
    <w:p w:rsidR="007264D7" w:rsidRPr="00323053" w:rsidP="007264D7">
      <w:pPr>
        <w:bidi w:val="0"/>
        <w:jc w:val="right"/>
        <w:rPr>
          <w:rFonts w:ascii="Times New Roman" w:hAnsi="Times New Roman"/>
        </w:rPr>
      </w:pPr>
    </w:p>
    <w:tbl>
      <w:tblPr>
        <w:tblStyle w:val="TableNormal"/>
        <w:tblW w:w="9224" w:type="dxa"/>
        <w:tblInd w:w="60" w:type="dxa"/>
        <w:tblLayout w:type="fixed"/>
        <w:tblCellMar>
          <w:left w:w="70" w:type="dxa"/>
          <w:right w:w="70" w:type="dxa"/>
        </w:tblCellMar>
        <w:tblLook w:val="04A0"/>
      </w:tblPr>
      <w:tblGrid>
        <w:gridCol w:w="3800"/>
        <w:gridCol w:w="1356"/>
        <w:gridCol w:w="1356"/>
        <w:gridCol w:w="1356"/>
        <w:gridCol w:w="1356"/>
      </w:tblGrid>
      <w:tr>
        <w:tblPrEx>
          <w:tblW w:w="9224" w:type="dxa"/>
          <w:tblInd w:w="60" w:type="dxa"/>
          <w:tblLayout w:type="fixed"/>
          <w:tblCellMar>
            <w:left w:w="70" w:type="dxa"/>
            <w:right w:w="70" w:type="dxa"/>
          </w:tblCellMar>
          <w:tblLook w:val="04A0"/>
        </w:tblPrEx>
        <w:trPr>
          <w:trHeight w:val="315"/>
        </w:trPr>
        <w:tc>
          <w:tcPr>
            <w:tcW w:w="380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u w:val="single"/>
              </w:rPr>
              <w:t>Rozpočet verejnej správy (v tis. eur)</w:t>
            </w:r>
          </w:p>
        </w:tc>
        <w:tc>
          <w:tcPr>
            <w:tcW w:w="5424" w:type="dxa"/>
            <w:gridSpan w:val="4"/>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verejnej správy (cash)</w:t>
            </w:r>
          </w:p>
        </w:tc>
      </w:tr>
      <w:tr>
        <w:tblPrEx>
          <w:tblW w:w="9224" w:type="dxa"/>
          <w:tblInd w:w="60" w:type="dxa"/>
          <w:tblLayout w:type="fixed"/>
          <w:tblCellMar>
            <w:left w:w="70" w:type="dxa"/>
            <w:right w:w="70" w:type="dxa"/>
          </w:tblCellMar>
          <w:tblLook w:val="04A0"/>
        </w:tblPrEx>
        <w:trPr>
          <w:trHeight w:val="315"/>
        </w:trPr>
        <w:tc>
          <w:tcPr>
            <w:tcW w:w="3800" w:type="dxa"/>
            <w:vMerge/>
            <w:tcBorders>
              <w:top w:val="none" w:sz="0"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p>
        </w:tc>
        <w:tc>
          <w:tcPr>
            <w:tcW w:w="1356"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356"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356"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356"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224" w:type="dxa"/>
          <w:tblInd w:w="60" w:type="dxa"/>
          <w:tblLayout w:type="fixed"/>
          <w:tblCellMar>
            <w:left w:w="70" w:type="dxa"/>
            <w:right w:w="70" w:type="dxa"/>
          </w:tblCellMar>
          <w:tblLook w:val="04A0"/>
        </w:tblPrEx>
        <w:trPr>
          <w:trHeight w:val="283"/>
        </w:trPr>
        <w:tc>
          <w:tcPr>
            <w:tcW w:w="38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Príjmy verejnej správy celkom</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64</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134 795</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146 485</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Štátny rozpočet (VPS)</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41 313</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46 715</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Obce</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45</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67 956</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69 341</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VÚC</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15</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22 716</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23 180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Sociálna poisťovňa</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1 873</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4 831</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Zdravotné poisťovne</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938</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2 418</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z toho:</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 xml:space="preserve"> - vplyv na ŠR</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i/>
                <w:iCs/>
                <w:color w:val="000000"/>
              </w:rPr>
            </w:pPr>
            <w:r w:rsidRPr="00323053">
              <w:rPr>
                <w:rFonts w:ascii="Times New Roman" w:hAnsi="Times New Roman"/>
                <w:b/>
                <w:bCs/>
                <w:i/>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4</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41 313</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46 715</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 xml:space="preserve"> - vplyv na územnú samosprávu</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i/>
                <w:iCs/>
                <w:color w:val="000000"/>
              </w:rPr>
            </w:pPr>
            <w:r w:rsidRPr="00323053">
              <w:rPr>
                <w:rFonts w:ascii="Times New Roman" w:hAnsi="Times New Roman"/>
                <w:b/>
                <w:bCs/>
                <w:i/>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60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90 672</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92 521</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Výdavky verejnej správy celkom</w:t>
            </w:r>
          </w:p>
        </w:tc>
        <w:tc>
          <w:tcPr>
            <w:tcW w:w="1356" w:type="dxa"/>
            <w:tcBorders>
              <w:top w:val="nil"/>
              <w:left w:val="nil"/>
              <w:bottom w:val="single" w:sz="4" w:space="0" w:color="auto"/>
              <w:right w:val="single" w:sz="4" w:space="0" w:color="auto"/>
            </w:tcBorders>
            <w:shd w:val="clear" w:color="000000" w:fill="BFBFBF"/>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356" w:type="dxa"/>
            <w:tcBorders>
              <w:top w:val="nil"/>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1356" w:type="dxa"/>
            <w:tcBorders>
              <w:top w:val="nil"/>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18 470</w:t>
            </w:r>
          </w:p>
        </w:tc>
        <w:tc>
          <w:tcPr>
            <w:tcW w:w="1356" w:type="dxa"/>
            <w:tcBorders>
              <w:top w:val="nil"/>
              <w:left w:val="nil"/>
              <w:bottom w:val="single" w:sz="4" w:space="0" w:color="auto"/>
              <w:right w:val="single" w:sz="4" w:space="0" w:color="auto"/>
            </w:tcBorders>
            <w:shd w:val="clear" w:color="000000" w:fill="BFBFBF"/>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18 724</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Štátny rozpočet (MPSVaR)</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Obce</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17 040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17 132</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VÚC</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1 368</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1 444</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Sociálna poisťovňa</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62</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148</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Zdravotné poisťovne</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z toho:</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 xml:space="preserve"> - vplyv na ŠR</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i/>
                <w:iCs/>
                <w:color w:val="000000"/>
              </w:rPr>
            </w:pPr>
            <w:r w:rsidRPr="00323053">
              <w:rPr>
                <w:rFonts w:ascii="Times New Roman" w:hAnsi="Times New Roman"/>
                <w:b/>
                <w:bCs/>
                <w:i/>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i/>
                <w:iCs/>
                <w:color w:val="000000"/>
              </w:rPr>
            </w:pPr>
            <w:r w:rsidRPr="00323053">
              <w:rPr>
                <w:rFonts w:ascii="Times New Roman" w:hAnsi="Times New Roman"/>
                <w:b/>
                <w:bCs/>
                <w:i/>
                <w:iCs/>
                <w:color w:val="000000"/>
              </w:rPr>
              <w:t xml:space="preserve"> - vplyv na územnú samosprávu</w:t>
            </w:r>
          </w:p>
        </w:tc>
        <w:tc>
          <w:tcPr>
            <w:tcW w:w="1356"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i/>
                <w:iCs/>
                <w:color w:val="000000"/>
              </w:rPr>
            </w:pPr>
            <w:r w:rsidRPr="00323053">
              <w:rPr>
                <w:rFonts w:ascii="Times New Roman" w:hAnsi="Times New Roman"/>
                <w:b/>
                <w:bCs/>
                <w:i/>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18 408</w:t>
            </w:r>
          </w:p>
        </w:tc>
        <w:tc>
          <w:tcPr>
            <w:tcW w:w="1356"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i/>
                <w:iCs/>
                <w:color w:val="000000"/>
              </w:rPr>
            </w:pPr>
            <w:r>
              <w:rPr>
                <w:rFonts w:ascii="Times New Roman" w:hAnsi="Times New Roman"/>
                <w:b/>
                <w:bCs/>
                <w:i/>
                <w:iCs/>
                <w:color w:val="000000"/>
              </w:rPr>
              <w:t>18 576</w:t>
            </w:r>
          </w:p>
        </w:tc>
      </w:tr>
    </w:tbl>
    <w:p w:rsidR="007264D7" w:rsidRPr="00323053" w:rsidP="007264D7">
      <w:pPr>
        <w:bidi w:val="0"/>
        <w:rPr>
          <w:rFonts w:ascii="Times New Roman" w:hAnsi="Times New Roman"/>
        </w:rPr>
      </w:pPr>
      <w:r w:rsidRPr="00323053">
        <w:rPr>
          <w:rFonts w:ascii="Times New Roman" w:hAnsi="Times New Roman"/>
        </w:rPr>
        <w:t xml:space="preserve"> </w:t>
      </w:r>
    </w:p>
    <w:p w:rsidR="007264D7" w:rsidRPr="00323053" w:rsidP="007264D7">
      <w:pPr>
        <w:bidi w:val="0"/>
        <w:rPr>
          <w:rFonts w:ascii="Times New Roman" w:hAnsi="Times New Roman"/>
        </w:rPr>
      </w:pPr>
    </w:p>
    <w:p w:rsidR="007264D7" w:rsidRPr="00323053" w:rsidP="007264D7">
      <w:pPr>
        <w:bidi w:val="0"/>
        <w:rPr>
          <w:rFonts w:ascii="Times New Roman" w:hAnsi="Times New Roman"/>
        </w:rPr>
      </w:pPr>
      <w:bookmarkStart w:id="0" w:name="OLE_LINK1"/>
      <w:bookmarkEnd w:id="0"/>
      <w:r w:rsidRPr="00323053">
        <w:rPr>
          <w:rFonts w:ascii="Times New Roman" w:hAnsi="Times New Roman"/>
        </w:rPr>
        <w:t> </w:t>
      </w:r>
    </w:p>
    <w:p w:rsidR="007264D7" w:rsidRPr="00323053" w:rsidP="007264D7">
      <w:pPr>
        <w:bidi w:val="0"/>
        <w:rPr>
          <w:rFonts w:ascii="Times New Roman" w:hAnsi="Times New Roman"/>
        </w:rPr>
      </w:pPr>
      <w:r w:rsidRPr="00323053">
        <w:rPr>
          <w:rFonts w:ascii="Times New Roman" w:hAnsi="Times New Roman"/>
          <w:b/>
          <w:bCs/>
        </w:rPr>
        <w:t>2.2. Financovanie návrhu</w:t>
      </w:r>
    </w:p>
    <w:p w:rsidR="007264D7" w:rsidRPr="00323053" w:rsidP="007264D7">
      <w:pPr>
        <w:bidi w:val="0"/>
        <w:jc w:val="right"/>
        <w:rPr>
          <w:rFonts w:ascii="Times New Roman" w:hAnsi="Times New Roman"/>
        </w:rPr>
      </w:pPr>
      <w:r w:rsidRPr="00323053">
        <w:rPr>
          <w:rFonts w:ascii="Times New Roman" w:hAnsi="Times New Roman"/>
        </w:rPr>
        <w:t>Tabuľka č. 2</w:t>
      </w:r>
    </w:p>
    <w:tbl>
      <w:tblPr>
        <w:tblStyle w:val="TableNormal"/>
        <w:tblW w:w="9229" w:type="dxa"/>
        <w:tblInd w:w="55" w:type="dxa"/>
        <w:tblLayout w:type="fixed"/>
        <w:tblCellMar>
          <w:left w:w="70" w:type="dxa"/>
          <w:right w:w="70" w:type="dxa"/>
        </w:tblCellMar>
        <w:tblLook w:val="04A0"/>
      </w:tblPr>
      <w:tblGrid>
        <w:gridCol w:w="3820"/>
        <w:gridCol w:w="1352"/>
        <w:gridCol w:w="1352"/>
        <w:gridCol w:w="1352"/>
        <w:gridCol w:w="1353"/>
      </w:tblGrid>
      <w:tr>
        <w:tblPrEx>
          <w:tblW w:w="9229" w:type="dxa"/>
          <w:tblInd w:w="55" w:type="dxa"/>
          <w:tblLayout w:type="fixed"/>
          <w:tblCellMar>
            <w:left w:w="70" w:type="dxa"/>
            <w:right w:w="70" w:type="dxa"/>
          </w:tblCellMar>
          <w:tblLook w:val="04A0"/>
        </w:tblPrEx>
        <w:trPr>
          <w:trHeight w:val="315"/>
        </w:trPr>
        <w:tc>
          <w:tcPr>
            <w:tcW w:w="382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r w:rsidRPr="00323053">
              <w:rPr>
                <w:rFonts w:ascii="Times New Roman" w:hAnsi="Times New Roman"/>
                <w:b/>
                <w:bCs/>
                <w:color w:val="FFFFFF"/>
                <w:u w:val="single"/>
              </w:rPr>
              <w:t>Financovanie (v tis. eur)</w:t>
            </w:r>
          </w:p>
        </w:tc>
        <w:tc>
          <w:tcPr>
            <w:tcW w:w="5409" w:type="dxa"/>
            <w:gridSpan w:val="4"/>
            <w:tcBorders>
              <w:top w:val="single" w:sz="4" w:space="0" w:color="auto"/>
              <w:left w:val="nil"/>
              <w:bottom w:val="nil"/>
              <w:right w:val="single" w:sz="4" w:space="0" w:color="000000"/>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verejnej správy (ESA95)</w:t>
            </w:r>
          </w:p>
        </w:tc>
      </w:tr>
      <w:tr>
        <w:tblPrEx>
          <w:tblW w:w="9229" w:type="dxa"/>
          <w:tblInd w:w="55" w:type="dxa"/>
          <w:tblLayout w:type="fixed"/>
          <w:tblCellMar>
            <w:left w:w="70" w:type="dxa"/>
            <w:right w:w="70" w:type="dxa"/>
          </w:tblCellMar>
          <w:tblLook w:val="04A0"/>
        </w:tblPrEx>
        <w:trPr>
          <w:trHeight w:val="315"/>
        </w:trPr>
        <w:tc>
          <w:tcPr>
            <w:tcW w:w="3820" w:type="dxa"/>
            <w:vMerge/>
            <w:tcBorders>
              <w:top w:val="none" w:sz="0"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p>
        </w:tc>
        <w:tc>
          <w:tcPr>
            <w:tcW w:w="1352"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352"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352"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353" w:type="dxa"/>
            <w:tcBorders>
              <w:top w:val="nil"/>
              <w:left w:val="nil"/>
              <w:bottom w:val="nil"/>
              <w:right w:val="single" w:sz="4" w:space="0" w:color="auto"/>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229" w:type="dxa"/>
          <w:tblInd w:w="55" w:type="dxa"/>
          <w:tblLayout w:type="fixed"/>
          <w:tblCellMar>
            <w:left w:w="70" w:type="dxa"/>
            <w:right w:w="70" w:type="dxa"/>
          </w:tblCellMar>
          <w:tblLook w:val="04A0"/>
        </w:tblPrEx>
        <w:trPr>
          <w:trHeight w:val="630"/>
        </w:trPr>
        <w:tc>
          <w:tcPr>
            <w:tcW w:w="3820" w:type="dxa"/>
            <w:tcBorders>
              <w:top w:val="single" w:sz="4" w:space="0" w:color="auto"/>
              <w:left w:val="single" w:sz="4" w:space="0" w:color="auto"/>
              <w:bottom w:val="single" w:sz="4" w:space="0" w:color="auto"/>
              <w:right w:val="single" w:sz="4" w:space="0" w:color="auto"/>
            </w:tcBorders>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Celkový vplyv na rozpočet verejnej správy (- príjmy, + výdavky)</w:t>
            </w:r>
          </w:p>
        </w:tc>
        <w:tc>
          <w:tcPr>
            <w:tcW w:w="1352"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352" w:type="dxa"/>
            <w:tcBorders>
              <w:top w:val="single" w:sz="4" w:space="0" w:color="auto"/>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-78 348</w:t>
            </w:r>
          </w:p>
        </w:tc>
        <w:tc>
          <w:tcPr>
            <w:tcW w:w="1352" w:type="dxa"/>
            <w:tcBorders>
              <w:top w:val="single" w:sz="4" w:space="0" w:color="auto"/>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-123 535</w:t>
            </w:r>
          </w:p>
        </w:tc>
        <w:tc>
          <w:tcPr>
            <w:tcW w:w="1353" w:type="dxa"/>
            <w:tcBorders>
              <w:top w:val="single" w:sz="4" w:space="0" w:color="auto"/>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-137 943</w:t>
            </w:r>
          </w:p>
        </w:tc>
      </w:tr>
      <w:tr>
        <w:tblPrEx>
          <w:tblW w:w="9229" w:type="dxa"/>
          <w:tblInd w:w="55"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ind w:firstLine="480" w:firstLineChars="200"/>
              <w:rPr>
                <w:rFonts w:ascii="Times New Roman" w:hAnsi="Times New Roman"/>
                <w:color w:val="000000"/>
              </w:rPr>
            </w:pPr>
            <w:r w:rsidRPr="00323053">
              <w:rPr>
                <w:rFonts w:ascii="Times New Roman" w:hAnsi="Times New Roman"/>
                <w:color w:val="000000"/>
              </w:rPr>
              <w:t>z toho vplyv na ŠR</w:t>
            </w:r>
          </w:p>
        </w:tc>
        <w:tc>
          <w:tcPr>
            <w:tcW w:w="1352"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-78 288</w:t>
            </w:r>
          </w:p>
        </w:tc>
        <w:tc>
          <w:tcPr>
            <w:tcW w:w="13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-47 961</w:t>
            </w:r>
          </w:p>
        </w:tc>
        <w:tc>
          <w:tcPr>
            <w:tcW w:w="1353"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-56 851</w:t>
            </w:r>
          </w:p>
        </w:tc>
      </w:tr>
      <w:tr>
        <w:tblPrEx>
          <w:tblW w:w="9229" w:type="dxa"/>
          <w:tblInd w:w="55"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financovanie zabezpečené v rozpočte</w:t>
            </w:r>
          </w:p>
        </w:tc>
        <w:tc>
          <w:tcPr>
            <w:tcW w:w="1352"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3"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9" w:type="dxa"/>
          <w:tblInd w:w="55"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ostatné zdroje financovania</w:t>
            </w:r>
          </w:p>
        </w:tc>
        <w:tc>
          <w:tcPr>
            <w:tcW w:w="1352"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3"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9" w:type="dxa"/>
          <w:tblInd w:w="55"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Rozpočtovo nekrytý vplyv / úspora *</w:t>
            </w:r>
          </w:p>
        </w:tc>
        <w:tc>
          <w:tcPr>
            <w:tcW w:w="1352"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352"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-78 348</w:t>
            </w:r>
          </w:p>
        </w:tc>
        <w:tc>
          <w:tcPr>
            <w:tcW w:w="1352"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-123 535</w:t>
            </w:r>
          </w:p>
        </w:tc>
        <w:tc>
          <w:tcPr>
            <w:tcW w:w="1353"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-137 943</w:t>
            </w:r>
          </w:p>
        </w:tc>
      </w:tr>
    </w:tbl>
    <w:p w:rsidR="007264D7" w:rsidRPr="00323053" w:rsidP="007264D7">
      <w:pPr>
        <w:bidi w:val="0"/>
        <w:jc w:val="right"/>
        <w:rPr>
          <w:rFonts w:ascii="Times New Roman" w:hAnsi="Times New Roman"/>
        </w:rPr>
      </w:pPr>
    </w:p>
    <w:tbl>
      <w:tblPr>
        <w:tblStyle w:val="TableNormal"/>
        <w:tblW w:w="9224" w:type="dxa"/>
        <w:tblInd w:w="60" w:type="dxa"/>
        <w:tblLayout w:type="fixed"/>
        <w:tblCellMar>
          <w:left w:w="70" w:type="dxa"/>
          <w:right w:w="70" w:type="dxa"/>
        </w:tblCellMar>
        <w:tblLook w:val="04A0"/>
      </w:tblPr>
      <w:tblGrid>
        <w:gridCol w:w="3820"/>
        <w:gridCol w:w="773"/>
        <w:gridCol w:w="578"/>
        <w:gridCol w:w="411"/>
        <w:gridCol w:w="940"/>
        <w:gridCol w:w="419"/>
        <w:gridCol w:w="932"/>
        <w:gridCol w:w="1351"/>
      </w:tblGrid>
      <w:tr>
        <w:tblPrEx>
          <w:tblW w:w="9224" w:type="dxa"/>
          <w:tblInd w:w="60" w:type="dxa"/>
          <w:tblLayout w:type="fixed"/>
          <w:tblCellMar>
            <w:left w:w="70" w:type="dxa"/>
            <w:right w:w="70" w:type="dxa"/>
          </w:tblCellMar>
          <w:tblLook w:val="04A0"/>
        </w:tblPrEx>
        <w:trPr>
          <w:trHeight w:val="315"/>
        </w:trPr>
        <w:tc>
          <w:tcPr>
            <w:tcW w:w="382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F</w:t>
            </w:r>
            <w:r w:rsidRPr="00323053">
              <w:rPr>
                <w:rFonts w:ascii="Times New Roman" w:hAnsi="Times New Roman"/>
                <w:b/>
                <w:bCs/>
                <w:color w:val="FFFFFF"/>
                <w:u w:val="single"/>
              </w:rPr>
              <w:t>inancovanie (v tis. eur)</w:t>
            </w:r>
          </w:p>
        </w:tc>
        <w:tc>
          <w:tcPr>
            <w:tcW w:w="5404" w:type="dxa"/>
            <w:gridSpan w:val="7"/>
            <w:tcBorders>
              <w:top w:val="single" w:sz="4" w:space="0" w:color="auto"/>
              <w:left w:val="nil"/>
              <w:bottom w:val="nil"/>
              <w:right w:val="single" w:sz="4" w:space="0" w:color="000000"/>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verejnej správy (cash)</w:t>
            </w:r>
          </w:p>
        </w:tc>
      </w:tr>
      <w:tr>
        <w:tblPrEx>
          <w:tblW w:w="9224" w:type="dxa"/>
          <w:tblInd w:w="60" w:type="dxa"/>
          <w:tblLayout w:type="fixed"/>
          <w:tblCellMar>
            <w:left w:w="70" w:type="dxa"/>
            <w:right w:w="70" w:type="dxa"/>
          </w:tblCellMar>
          <w:tblLook w:val="04A0"/>
        </w:tblPrEx>
        <w:trPr>
          <w:trHeight w:val="315"/>
        </w:trPr>
        <w:tc>
          <w:tcPr>
            <w:tcW w:w="3820" w:type="dxa"/>
            <w:vMerge/>
            <w:tcBorders>
              <w:top w:val="none" w:sz="0"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p>
        </w:tc>
        <w:tc>
          <w:tcPr>
            <w:tcW w:w="1351" w:type="dxa"/>
            <w:gridSpan w:val="2"/>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351" w:type="dxa"/>
            <w:gridSpan w:val="2"/>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351" w:type="dxa"/>
            <w:gridSpan w:val="2"/>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351" w:type="dxa"/>
            <w:tcBorders>
              <w:top w:val="nil"/>
              <w:left w:val="nil"/>
              <w:bottom w:val="nil"/>
              <w:right w:val="single" w:sz="4" w:space="0" w:color="auto"/>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224" w:type="dxa"/>
          <w:tblInd w:w="60" w:type="dxa"/>
          <w:tblLayout w:type="fixed"/>
          <w:tblCellMar>
            <w:left w:w="70" w:type="dxa"/>
            <w:right w:w="70" w:type="dxa"/>
          </w:tblCellMar>
          <w:tblLook w:val="04A0"/>
        </w:tblPrEx>
        <w:trPr>
          <w:trHeight w:val="630"/>
        </w:trPr>
        <w:tc>
          <w:tcPr>
            <w:tcW w:w="3820" w:type="dxa"/>
            <w:tcBorders>
              <w:top w:val="single" w:sz="4" w:space="0" w:color="auto"/>
              <w:left w:val="single" w:sz="4" w:space="0" w:color="auto"/>
              <w:bottom w:val="single" w:sz="4" w:space="0" w:color="auto"/>
              <w:right w:val="single" w:sz="4" w:space="0" w:color="auto"/>
            </w:tcBorders>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Celkový vplyv na rozpočet verejnej správy (- príjmy, + výdavky)</w:t>
            </w:r>
          </w:p>
        </w:tc>
        <w:tc>
          <w:tcPr>
            <w:tcW w:w="1351" w:type="dxa"/>
            <w:gridSpan w:val="2"/>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351" w:type="dxa"/>
            <w:gridSpan w:val="2"/>
            <w:tcBorders>
              <w:top w:val="single" w:sz="4" w:space="0" w:color="auto"/>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-64</w:t>
            </w:r>
          </w:p>
        </w:tc>
        <w:tc>
          <w:tcPr>
            <w:tcW w:w="1351" w:type="dxa"/>
            <w:gridSpan w:val="2"/>
            <w:tcBorders>
              <w:top w:val="single" w:sz="4" w:space="0" w:color="auto"/>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-116 325</w:t>
            </w:r>
          </w:p>
        </w:tc>
        <w:tc>
          <w:tcPr>
            <w:tcW w:w="1351" w:type="dxa"/>
            <w:tcBorders>
              <w:top w:val="single" w:sz="4" w:space="0" w:color="auto"/>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-127 761</w:t>
            </w:r>
          </w:p>
        </w:tc>
      </w:tr>
      <w:tr>
        <w:tblPrEx>
          <w:tblW w:w="9224" w:type="dxa"/>
          <w:tblInd w:w="60"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ind w:firstLine="480" w:firstLineChars="200"/>
              <w:rPr>
                <w:rFonts w:ascii="Times New Roman" w:hAnsi="Times New Roman"/>
                <w:color w:val="000000"/>
              </w:rPr>
            </w:pPr>
            <w:r w:rsidRPr="00323053">
              <w:rPr>
                <w:rFonts w:ascii="Times New Roman" w:hAnsi="Times New Roman"/>
                <w:color w:val="000000"/>
              </w:rPr>
              <w:t>z toho vplyv na ŠR</w:t>
            </w:r>
          </w:p>
        </w:tc>
        <w:tc>
          <w:tcPr>
            <w:tcW w:w="1351" w:type="dxa"/>
            <w:gridSpan w:val="2"/>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351" w:type="dxa"/>
            <w:gridSpan w:val="2"/>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w:t>
            </w:r>
          </w:p>
        </w:tc>
        <w:tc>
          <w:tcPr>
            <w:tcW w:w="1351" w:type="dxa"/>
            <w:gridSpan w:val="2"/>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-41 313</w:t>
            </w:r>
          </w:p>
        </w:tc>
        <w:tc>
          <w:tcPr>
            <w:tcW w:w="1351"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-46 715</w:t>
            </w:r>
          </w:p>
        </w:tc>
      </w:tr>
      <w:tr>
        <w:tblPrEx>
          <w:tblW w:w="9224" w:type="dxa"/>
          <w:tblInd w:w="60"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financovanie zabezpečené v rozpočte</w:t>
            </w:r>
          </w:p>
        </w:tc>
        <w:tc>
          <w:tcPr>
            <w:tcW w:w="1351" w:type="dxa"/>
            <w:gridSpan w:val="2"/>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1" w:type="dxa"/>
            <w:gridSpan w:val="2"/>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1" w:type="dxa"/>
            <w:gridSpan w:val="2"/>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1"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4" w:type="dxa"/>
          <w:tblInd w:w="60"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ostatné zdroje financovania</w:t>
            </w:r>
          </w:p>
        </w:tc>
        <w:tc>
          <w:tcPr>
            <w:tcW w:w="1351" w:type="dxa"/>
            <w:gridSpan w:val="2"/>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351" w:type="dxa"/>
            <w:gridSpan w:val="2"/>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1" w:type="dxa"/>
            <w:gridSpan w:val="2"/>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351"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24" w:type="dxa"/>
          <w:tblInd w:w="60"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Rozpočtovo nekrytý vplyv / úspora *</w:t>
            </w:r>
          </w:p>
        </w:tc>
        <w:tc>
          <w:tcPr>
            <w:tcW w:w="1351" w:type="dxa"/>
            <w:gridSpan w:val="2"/>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351" w:type="dxa"/>
            <w:gridSpan w:val="2"/>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-64</w:t>
            </w:r>
          </w:p>
        </w:tc>
        <w:tc>
          <w:tcPr>
            <w:tcW w:w="1351" w:type="dxa"/>
            <w:gridSpan w:val="2"/>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-116 325</w:t>
            </w:r>
          </w:p>
        </w:tc>
        <w:tc>
          <w:tcPr>
            <w:tcW w:w="1351"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b/>
                <w:bCs/>
                <w:color w:val="000000"/>
              </w:rPr>
            </w:pPr>
            <w:r>
              <w:rPr>
                <w:rFonts w:ascii="Times New Roman" w:hAnsi="Times New Roman"/>
                <w:b/>
                <w:bCs/>
                <w:color w:val="000000"/>
              </w:rPr>
              <w:t>-127 761</w:t>
            </w:r>
          </w:p>
        </w:tc>
      </w:tr>
      <w:tr>
        <w:tblPrEx>
          <w:tblW w:w="9224" w:type="dxa"/>
          <w:tblInd w:w="60" w:type="dxa"/>
          <w:tblLayout w:type="fixed"/>
          <w:tblCellMar>
            <w:left w:w="70" w:type="dxa"/>
            <w:right w:w="70" w:type="dxa"/>
          </w:tblCellMar>
          <w:tblLook w:val="04A0"/>
        </w:tblPrEx>
        <w:trPr>
          <w:trHeight w:val="315"/>
        </w:trPr>
        <w:tc>
          <w:tcPr>
            <w:tcW w:w="382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úspora má znamienko (-)</w:t>
            </w:r>
          </w:p>
        </w:tc>
        <w:tc>
          <w:tcPr>
            <w:tcW w:w="773"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989" w:type="dxa"/>
            <w:gridSpan w:val="2"/>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359" w:type="dxa"/>
            <w:gridSpan w:val="2"/>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2283" w:type="dxa"/>
            <w:gridSpan w:val="2"/>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r>
    </w:tbl>
    <w:p w:rsidR="007264D7" w:rsidRPr="00323053" w:rsidP="007264D7">
      <w:pPr>
        <w:bidi w:val="0"/>
        <w:rPr>
          <w:rFonts w:ascii="Times New Roman" w:hAnsi="Times New Roman"/>
          <w:b/>
          <w:bCs/>
        </w:rPr>
      </w:pPr>
    </w:p>
    <w:p w:rsidR="007264D7" w:rsidRPr="00323053" w:rsidP="007264D7">
      <w:pPr>
        <w:bidi w:val="0"/>
        <w:rPr>
          <w:rFonts w:ascii="Times New Roman" w:hAnsi="Times New Roman"/>
          <w:b/>
          <w:bCs/>
        </w:rPr>
      </w:pPr>
    </w:p>
    <w:p w:rsidR="007264D7" w:rsidRPr="00323053" w:rsidP="007264D7">
      <w:pPr>
        <w:bidi w:val="0"/>
        <w:rPr>
          <w:rFonts w:ascii="Times New Roman" w:hAnsi="Times New Roman"/>
        </w:rPr>
      </w:pPr>
      <w:r w:rsidRPr="00323053">
        <w:rPr>
          <w:rFonts w:ascii="Times New Roman" w:hAnsi="Times New Roman"/>
          <w:b/>
          <w:bCs/>
        </w:rPr>
        <w:t>Návrh na riešenie úbytku príjmov alebo zvýšených výdavkov podľa § 33 ods. 1 zákona č. 523/2004 Z. z. o rozpočtových pravidlách verejnej správy:</w:t>
      </w:r>
    </w:p>
    <w:p w:rsidR="007264D7" w:rsidRPr="00323053" w:rsidP="007264D7">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7264D7" w:rsidRPr="00323053" w:rsidP="007264D7">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7264D7" w:rsidRPr="00323053" w:rsidP="007264D7">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7264D7" w:rsidRPr="00323053" w:rsidP="007264D7">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7264D7" w:rsidRPr="00323053" w:rsidP="007264D7">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7264D7" w:rsidRPr="00323053" w:rsidP="007264D7">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7264D7" w:rsidRPr="00323053" w:rsidP="007264D7">
      <w:pPr>
        <w:bidi w:val="0"/>
        <w:rPr>
          <w:rFonts w:ascii="Times New Roman" w:hAnsi="Times New Roman"/>
          <w:b/>
          <w:bCs/>
        </w:rPr>
      </w:pPr>
    </w:p>
    <w:p w:rsidR="007264D7" w:rsidRPr="00323053" w:rsidP="007264D7">
      <w:pPr>
        <w:bidi w:val="0"/>
        <w:rPr>
          <w:rFonts w:ascii="Times New Roman" w:hAnsi="Times New Roman"/>
        </w:rPr>
      </w:pPr>
      <w:r w:rsidRPr="00323053">
        <w:rPr>
          <w:rFonts w:ascii="Times New Roman" w:hAnsi="Times New Roman"/>
          <w:b/>
          <w:bCs/>
        </w:rPr>
        <w:t>2.3. Popis a charakteristika návrhu</w:t>
      </w:r>
    </w:p>
    <w:p w:rsidR="007264D7" w:rsidRPr="00323053" w:rsidP="007264D7">
      <w:pPr>
        <w:bidi w:val="0"/>
        <w:rPr>
          <w:rFonts w:ascii="Times New Roman" w:hAnsi="Times New Roman"/>
        </w:rPr>
      </w:pPr>
      <w:r w:rsidRPr="00323053">
        <w:rPr>
          <w:rFonts w:ascii="Times New Roman" w:hAnsi="Times New Roman"/>
        </w:rPr>
        <w:t> </w:t>
      </w:r>
    </w:p>
    <w:p w:rsidR="007264D7" w:rsidRPr="00323053" w:rsidP="007264D7">
      <w:pPr>
        <w:bidi w:val="0"/>
        <w:jc w:val="both"/>
        <w:rPr>
          <w:rFonts w:ascii="Times New Roman" w:hAnsi="Times New Roman"/>
        </w:rPr>
      </w:pPr>
      <w:r w:rsidRPr="00323053">
        <w:rPr>
          <w:rFonts w:ascii="Times New Roman" w:hAnsi="Times New Roman"/>
          <w:b/>
          <w:bCs/>
        </w:rPr>
        <w:t>2.3.1. Popis návrhu:</w:t>
      </w:r>
    </w:p>
    <w:p w:rsidR="007264D7" w:rsidRPr="00323053" w:rsidP="007264D7">
      <w:pPr>
        <w:bidi w:val="0"/>
        <w:jc w:val="both"/>
        <w:rPr>
          <w:rFonts w:ascii="Times New Roman" w:hAnsi="Times New Roman"/>
          <w:b/>
          <w:bCs/>
        </w:rPr>
      </w:pPr>
    </w:p>
    <w:p w:rsidR="007264D7" w:rsidRPr="00323053" w:rsidP="007264D7">
      <w:pPr>
        <w:bidi w:val="0"/>
        <w:jc w:val="both"/>
        <w:rPr>
          <w:rFonts w:ascii="Times New Roman" w:hAnsi="Times New Roman"/>
          <w:b/>
          <w:bCs/>
        </w:rPr>
      </w:pPr>
      <w:r w:rsidRPr="00323053">
        <w:rPr>
          <w:rFonts w:ascii="Times New Roman" w:hAnsi="Times New Roman"/>
          <w:b/>
          <w:bCs/>
        </w:rPr>
        <w:t>Návrh zákona, ktorým sa mení a dopĺňa zákon č. 595/2003 Z. z. o dani z príjmov v znení neskorších predpisov a</w:t>
      </w:r>
      <w:r>
        <w:rPr>
          <w:rFonts w:ascii="Times New Roman" w:hAnsi="Times New Roman"/>
          <w:b/>
          <w:bCs/>
        </w:rPr>
        <w:t> ktorým sa mení zákon č. 283/2002 Z. z. o cestovných náhradách v znení neskorších predpisov</w:t>
      </w:r>
      <w:r w:rsidRPr="00323053">
        <w:rPr>
          <w:rFonts w:ascii="Times New Roman" w:hAnsi="Times New Roman"/>
          <w:b/>
          <w:bCs/>
        </w:rPr>
        <w:t xml:space="preserve"> (ďalej len „zákon o dani z príjmov).</w:t>
      </w:r>
    </w:p>
    <w:p w:rsidR="007264D7" w:rsidRPr="00323053" w:rsidP="007264D7">
      <w:pPr>
        <w:bidi w:val="0"/>
        <w:jc w:val="both"/>
        <w:rPr>
          <w:rFonts w:ascii="Times New Roman" w:hAnsi="Times New Roman"/>
          <w:b/>
          <w:bCs/>
        </w:rPr>
      </w:pPr>
    </w:p>
    <w:p w:rsidR="007264D7" w:rsidRPr="007264D7" w:rsidP="00A054D3">
      <w:pPr>
        <w:pStyle w:val="ListParagraph"/>
        <w:numPr>
          <w:numId w:val="7"/>
        </w:numPr>
        <w:bidi w:val="0"/>
        <w:ind w:left="426" w:hanging="426"/>
        <w:jc w:val="both"/>
        <w:rPr>
          <w:rFonts w:ascii="Times New Roman" w:hAnsi="Times New Roman" w:cs="Times New Roman"/>
          <w:b/>
          <w:sz w:val="24"/>
          <w:szCs w:val="24"/>
        </w:rPr>
      </w:pPr>
      <w:r w:rsidRPr="007264D7">
        <w:rPr>
          <w:rFonts w:ascii="Times New Roman" w:hAnsi="Times New Roman" w:cs="Times New Roman"/>
          <w:b/>
          <w:sz w:val="24"/>
          <w:szCs w:val="24"/>
        </w:rPr>
        <w:t xml:space="preserve">Úprava nezdaniteľných častí základu dane </w:t>
      </w:r>
    </w:p>
    <w:p w:rsidR="007264D7" w:rsidRPr="007264D7" w:rsidP="00A054D3">
      <w:pPr>
        <w:pStyle w:val="ListParagraph"/>
        <w:numPr>
          <w:numId w:val="8"/>
        </w:numPr>
        <w:bidi w:val="0"/>
        <w:ind w:left="709" w:hanging="283"/>
        <w:jc w:val="both"/>
        <w:rPr>
          <w:rFonts w:ascii="Times New Roman" w:hAnsi="Times New Roman" w:cs="Times New Roman"/>
          <w:sz w:val="24"/>
          <w:szCs w:val="24"/>
        </w:rPr>
      </w:pPr>
      <w:r w:rsidRPr="007264D7">
        <w:rPr>
          <w:rFonts w:ascii="Times New Roman" w:hAnsi="Times New Roman" w:cs="Times New Roman"/>
          <w:sz w:val="24"/>
          <w:szCs w:val="24"/>
        </w:rPr>
        <w:t>Uplatňovanie nezdaniteľnej časti základu dane na daňovníka len na tzv. aktívne príjmy</w:t>
      </w:r>
    </w:p>
    <w:p w:rsidR="007264D7" w:rsidRPr="007264D7" w:rsidP="00A054D3">
      <w:pPr>
        <w:pStyle w:val="ListParagraph"/>
        <w:numPr>
          <w:numId w:val="8"/>
        </w:numPr>
        <w:bidi w:val="0"/>
        <w:ind w:left="709" w:hanging="283"/>
        <w:jc w:val="both"/>
        <w:rPr>
          <w:rFonts w:ascii="Times New Roman" w:hAnsi="Times New Roman" w:cs="Times New Roman"/>
          <w:b/>
          <w:sz w:val="24"/>
          <w:szCs w:val="24"/>
        </w:rPr>
      </w:pPr>
      <w:r w:rsidRPr="007264D7">
        <w:rPr>
          <w:rFonts w:ascii="Times New Roman" w:hAnsi="Times New Roman" w:cs="Times New Roman"/>
          <w:sz w:val="24"/>
          <w:szCs w:val="24"/>
        </w:rPr>
        <w:t>Zrušenie nezdaniteľnej časti základu dane na doplnkové dôchodkové sporenie, účelové sporenie a životné poistenie,</w:t>
      </w:r>
    </w:p>
    <w:p w:rsidR="007264D7" w:rsidRPr="007264D7" w:rsidP="00A054D3">
      <w:pPr>
        <w:pStyle w:val="ListParagraph"/>
        <w:numPr>
          <w:numId w:val="8"/>
        </w:numPr>
        <w:bidi w:val="0"/>
        <w:ind w:left="709" w:hanging="283"/>
        <w:jc w:val="both"/>
        <w:rPr>
          <w:rFonts w:ascii="Times New Roman" w:hAnsi="Times New Roman" w:cs="Times New Roman"/>
          <w:b/>
          <w:sz w:val="24"/>
          <w:szCs w:val="24"/>
        </w:rPr>
      </w:pPr>
      <w:r w:rsidRPr="007264D7">
        <w:rPr>
          <w:rFonts w:ascii="Times New Roman" w:hAnsi="Times New Roman" w:cs="Times New Roman"/>
          <w:sz w:val="24"/>
          <w:szCs w:val="24"/>
        </w:rPr>
        <w:t>Zrušenie úpravy základu dane zdravotníckych pracovníkov o úhrady na ich ďalšie vzdelávanie</w:t>
      </w:r>
    </w:p>
    <w:p w:rsidR="007264D7" w:rsidRPr="007264D7" w:rsidP="007264D7">
      <w:pPr>
        <w:pStyle w:val="ListParagraph"/>
        <w:bidi w:val="0"/>
        <w:ind w:left="709"/>
        <w:jc w:val="both"/>
        <w:rPr>
          <w:rFonts w:ascii="Times New Roman" w:hAnsi="Times New Roman" w:cs="Times New Roman"/>
          <w:b/>
          <w:sz w:val="24"/>
          <w:szCs w:val="24"/>
        </w:rPr>
      </w:pPr>
    </w:p>
    <w:p w:rsidR="007264D7" w:rsidRPr="007264D7" w:rsidP="00A054D3">
      <w:pPr>
        <w:pStyle w:val="ListParagraph"/>
        <w:numPr>
          <w:numId w:val="7"/>
        </w:numPr>
        <w:bidi w:val="0"/>
        <w:ind w:left="426" w:hanging="426"/>
        <w:jc w:val="both"/>
        <w:rPr>
          <w:rFonts w:ascii="Times New Roman" w:hAnsi="Times New Roman" w:cs="Times New Roman"/>
          <w:b/>
          <w:sz w:val="24"/>
          <w:szCs w:val="24"/>
        </w:rPr>
      </w:pPr>
      <w:r w:rsidRPr="007264D7">
        <w:rPr>
          <w:rFonts w:ascii="Times New Roman" w:hAnsi="Times New Roman" w:cs="Times New Roman"/>
          <w:b/>
          <w:sz w:val="24"/>
          <w:szCs w:val="24"/>
        </w:rPr>
        <w:t>Zrušenie vybraných oslobodení</w:t>
      </w:r>
    </w:p>
    <w:p w:rsidR="007264D7" w:rsidRPr="007264D7" w:rsidP="00A054D3">
      <w:pPr>
        <w:pStyle w:val="ListParagraph"/>
        <w:numPr>
          <w:numId w:val="9"/>
        </w:numPr>
        <w:bidi w:val="0"/>
        <w:ind w:left="709" w:hanging="283"/>
        <w:jc w:val="both"/>
        <w:rPr>
          <w:rFonts w:ascii="Times New Roman" w:hAnsi="Times New Roman" w:cs="Times New Roman"/>
          <w:sz w:val="24"/>
          <w:szCs w:val="24"/>
        </w:rPr>
      </w:pPr>
      <w:r w:rsidRPr="007264D7">
        <w:rPr>
          <w:rFonts w:ascii="Times New Roman" w:hAnsi="Times New Roman" w:cs="Times New Roman"/>
          <w:sz w:val="24"/>
          <w:szCs w:val="24"/>
        </w:rPr>
        <w:t>Obmedzenie oslobodenia príjmov z prenájmu, z príležitostných činností vrátane príjmov z príležitostnej poľnohospodárskej výroby, lesného a vodného hospodárstva a z príležitostného prenájmu hnuteľných vecí, z prevodu opcií, z prevodu cenných papierov a z prevodu účasti (podielu) na spoločnosti s ručením obmedzeným, komanditnej spoločnosti alebo z prevodu členských práv družstva do výšky 500 eur.</w:t>
      </w:r>
    </w:p>
    <w:p w:rsidR="007264D7" w:rsidRPr="007264D7" w:rsidP="00A054D3">
      <w:pPr>
        <w:pStyle w:val="ListParagraph"/>
        <w:numPr>
          <w:numId w:val="9"/>
        </w:numPr>
        <w:bidi w:val="0"/>
        <w:ind w:left="709" w:hanging="283"/>
        <w:jc w:val="both"/>
        <w:rPr>
          <w:rFonts w:ascii="Times New Roman" w:hAnsi="Times New Roman" w:cs="Times New Roman"/>
          <w:b/>
          <w:sz w:val="24"/>
          <w:szCs w:val="24"/>
        </w:rPr>
      </w:pPr>
      <w:r w:rsidRPr="007264D7">
        <w:rPr>
          <w:rFonts w:ascii="Times New Roman" w:hAnsi="Times New Roman" w:cs="Times New Roman"/>
          <w:sz w:val="24"/>
          <w:szCs w:val="24"/>
        </w:rPr>
        <w:t>Zrušenie oslobodenia príjmov z predaja nehnuteľností, v ktorých mal predávajúci trvalý pobyt najmenej 2 roky. Zachovaná zostáva podmienka vlastnenia nehnuteľnosti počas 5 rokov vrátane nehnuteľností nadobudnutých dedením.</w:t>
      </w:r>
    </w:p>
    <w:p w:rsidR="007264D7" w:rsidRPr="007264D7" w:rsidP="00A054D3">
      <w:pPr>
        <w:pStyle w:val="ListParagraph"/>
        <w:numPr>
          <w:numId w:val="9"/>
        </w:numPr>
        <w:bidi w:val="0"/>
        <w:ind w:left="709" w:hanging="283"/>
        <w:jc w:val="both"/>
        <w:rPr>
          <w:rFonts w:ascii="Times New Roman" w:hAnsi="Times New Roman" w:cs="Times New Roman"/>
          <w:b/>
          <w:sz w:val="24"/>
          <w:szCs w:val="24"/>
        </w:rPr>
      </w:pPr>
      <w:r w:rsidRPr="007264D7">
        <w:rPr>
          <w:rFonts w:ascii="Times New Roman" w:hAnsi="Times New Roman" w:cs="Times New Roman"/>
          <w:sz w:val="24"/>
          <w:szCs w:val="24"/>
        </w:rPr>
        <w:t xml:space="preserve">Zrušenie oslobodenia príjmov plynúcich z prenájmu a predaja majetku obcí a vyšších územných celkov ako aj ich rozpočtových organizácií </w:t>
      </w:r>
    </w:p>
    <w:p w:rsidR="007264D7" w:rsidRPr="007264D7" w:rsidP="007264D7">
      <w:pPr>
        <w:pStyle w:val="ListParagraph"/>
        <w:bidi w:val="0"/>
        <w:ind w:left="786"/>
        <w:jc w:val="both"/>
        <w:rPr>
          <w:rFonts w:ascii="Times New Roman" w:hAnsi="Times New Roman" w:cs="Times New Roman"/>
          <w:b/>
          <w:sz w:val="24"/>
          <w:szCs w:val="24"/>
        </w:rPr>
      </w:pPr>
    </w:p>
    <w:p w:rsidR="007264D7" w:rsidRPr="007264D7" w:rsidP="00A054D3">
      <w:pPr>
        <w:pStyle w:val="ListParagraph"/>
        <w:numPr>
          <w:numId w:val="7"/>
        </w:numPr>
        <w:bidi w:val="0"/>
        <w:ind w:left="426" w:hanging="426"/>
        <w:jc w:val="both"/>
        <w:rPr>
          <w:rFonts w:ascii="Times New Roman" w:hAnsi="Times New Roman" w:cs="Times New Roman"/>
          <w:sz w:val="24"/>
          <w:szCs w:val="24"/>
        </w:rPr>
      </w:pPr>
      <w:r w:rsidRPr="007264D7">
        <w:rPr>
          <w:rFonts w:ascii="Times New Roman" w:hAnsi="Times New Roman" w:cs="Times New Roman"/>
          <w:b/>
          <w:sz w:val="24"/>
          <w:szCs w:val="24"/>
        </w:rPr>
        <w:t xml:space="preserve">Zjednotenie a zníženie výšky paušálnych výdavkov </w:t>
      </w:r>
      <w:r w:rsidRPr="007264D7">
        <w:rPr>
          <w:rFonts w:ascii="Times New Roman" w:hAnsi="Times New Roman" w:cs="Times New Roman"/>
          <w:sz w:val="24"/>
          <w:szCs w:val="24"/>
        </w:rPr>
        <w:t xml:space="preserve">u fyzických osôb, ktoré dosahujú príjmy z podnikania, z inej samostatnej zárobkovej činnosti a z prenájmu na úroveň 40%. </w:t>
      </w:r>
    </w:p>
    <w:p w:rsidR="007264D7" w:rsidRPr="007264D7" w:rsidP="007264D7">
      <w:pPr>
        <w:pStyle w:val="ListParagraph"/>
        <w:bidi w:val="0"/>
        <w:ind w:left="426"/>
        <w:jc w:val="both"/>
        <w:rPr>
          <w:rFonts w:ascii="Times New Roman" w:hAnsi="Times New Roman" w:cs="Times New Roman"/>
          <w:sz w:val="24"/>
          <w:szCs w:val="24"/>
        </w:rPr>
      </w:pPr>
    </w:p>
    <w:p w:rsidR="007264D7" w:rsidRPr="007264D7" w:rsidP="00A054D3">
      <w:pPr>
        <w:pStyle w:val="ListParagraph"/>
        <w:numPr>
          <w:numId w:val="7"/>
        </w:numPr>
        <w:bidi w:val="0"/>
        <w:ind w:left="426" w:hanging="426"/>
        <w:jc w:val="both"/>
        <w:rPr>
          <w:rFonts w:ascii="Times New Roman" w:hAnsi="Times New Roman" w:cs="Times New Roman"/>
          <w:sz w:val="24"/>
          <w:szCs w:val="24"/>
        </w:rPr>
      </w:pPr>
      <w:r w:rsidRPr="007264D7">
        <w:rPr>
          <w:rFonts w:ascii="Times New Roman" w:hAnsi="Times New Roman" w:cs="Times New Roman"/>
          <w:b/>
          <w:sz w:val="24"/>
          <w:szCs w:val="24"/>
        </w:rPr>
        <w:t xml:space="preserve">Daň vyberanú zrážkou  </w:t>
      </w:r>
      <w:r w:rsidRPr="007264D7">
        <w:rPr>
          <w:rFonts w:ascii="Times New Roman" w:hAnsi="Times New Roman" w:cs="Times New Roman"/>
          <w:sz w:val="24"/>
          <w:szCs w:val="24"/>
        </w:rPr>
        <w:t>nebude možné považovať za preddavok na daň pri podaní daňového priznania, nakoľko vykonaním zrážky dane je daňová povinnosť daňovníka splnená. Výnimku predstavujú príjmy plynúce právnickým a fyzickým osobám z podielových listov a dlhopisov.</w:t>
      </w:r>
    </w:p>
    <w:p w:rsidR="007264D7" w:rsidRPr="007264D7" w:rsidP="007264D7">
      <w:pPr>
        <w:pStyle w:val="ListParagraph"/>
        <w:bidi w:val="0"/>
        <w:ind w:left="426"/>
        <w:jc w:val="both"/>
        <w:rPr>
          <w:rFonts w:ascii="Times New Roman" w:hAnsi="Times New Roman" w:cs="Times New Roman"/>
          <w:sz w:val="24"/>
          <w:szCs w:val="24"/>
        </w:rPr>
      </w:pPr>
    </w:p>
    <w:p w:rsidR="007264D7" w:rsidRPr="007264D7" w:rsidP="00A054D3">
      <w:pPr>
        <w:pStyle w:val="ListParagraph"/>
        <w:numPr>
          <w:numId w:val="7"/>
        </w:numPr>
        <w:bidi w:val="0"/>
        <w:ind w:left="426" w:hanging="426"/>
        <w:jc w:val="both"/>
        <w:rPr>
          <w:rFonts w:ascii="Times New Roman" w:hAnsi="Times New Roman" w:cs="Times New Roman"/>
          <w:sz w:val="24"/>
          <w:szCs w:val="24"/>
        </w:rPr>
      </w:pPr>
      <w:r w:rsidRPr="007264D7">
        <w:rPr>
          <w:rFonts w:ascii="Times New Roman" w:hAnsi="Times New Roman" w:cs="Times New Roman"/>
          <w:b/>
          <w:sz w:val="24"/>
          <w:szCs w:val="24"/>
        </w:rPr>
        <w:t>Zmeny ovplyvňujúce podnikateľské prostredie právnických osôb</w:t>
      </w:r>
    </w:p>
    <w:p w:rsidR="007264D7" w:rsidRPr="007264D7" w:rsidP="00A054D3">
      <w:pPr>
        <w:pStyle w:val="ListParagraph"/>
        <w:numPr>
          <w:numId w:val="10"/>
        </w:numPr>
        <w:bidi w:val="0"/>
        <w:ind w:left="709" w:hanging="283"/>
        <w:jc w:val="both"/>
        <w:rPr>
          <w:rFonts w:ascii="Times New Roman" w:hAnsi="Times New Roman" w:cs="Times New Roman"/>
          <w:sz w:val="24"/>
          <w:szCs w:val="24"/>
        </w:rPr>
      </w:pPr>
      <w:r w:rsidRPr="007264D7">
        <w:rPr>
          <w:rFonts w:ascii="Times New Roman" w:hAnsi="Times New Roman" w:cs="Times New Roman"/>
          <w:sz w:val="24"/>
          <w:szCs w:val="24"/>
        </w:rPr>
        <w:t>Zjednotenie odpisovania hmotného majetku obstaraného formou finančného prenájmu s inými formami obstarania</w:t>
      </w:r>
    </w:p>
    <w:p w:rsidR="007264D7" w:rsidRPr="007264D7" w:rsidP="00A054D3">
      <w:pPr>
        <w:pStyle w:val="ListParagraph"/>
        <w:numPr>
          <w:numId w:val="10"/>
        </w:numPr>
        <w:bidi w:val="0"/>
        <w:ind w:left="709" w:hanging="283"/>
        <w:jc w:val="both"/>
        <w:rPr>
          <w:rFonts w:ascii="Times New Roman" w:hAnsi="Times New Roman" w:cs="Times New Roman"/>
          <w:sz w:val="24"/>
          <w:szCs w:val="24"/>
        </w:rPr>
      </w:pPr>
      <w:r w:rsidRPr="007264D7">
        <w:rPr>
          <w:rFonts w:ascii="Times New Roman" w:hAnsi="Times New Roman" w:cs="Times New Roman"/>
          <w:sz w:val="24"/>
          <w:szCs w:val="24"/>
        </w:rPr>
        <w:t>Spresnenie legislatívy v oblasti uplatňovania daňových výdavkov v prípade dane z pridanej hodnoty platenej v zahraničí</w:t>
      </w:r>
    </w:p>
    <w:p w:rsidR="007264D7" w:rsidRPr="007264D7" w:rsidP="00A054D3">
      <w:pPr>
        <w:pStyle w:val="ListParagraph"/>
        <w:numPr>
          <w:numId w:val="10"/>
        </w:numPr>
        <w:bidi w:val="0"/>
        <w:ind w:left="709" w:hanging="283"/>
        <w:jc w:val="both"/>
        <w:rPr>
          <w:rFonts w:ascii="Times New Roman" w:hAnsi="Times New Roman" w:cs="Times New Roman"/>
          <w:sz w:val="24"/>
          <w:szCs w:val="24"/>
        </w:rPr>
      </w:pPr>
      <w:r w:rsidRPr="007264D7">
        <w:rPr>
          <w:rFonts w:ascii="Times New Roman" w:hAnsi="Times New Roman" w:cs="Times New Roman"/>
          <w:sz w:val="24"/>
          <w:szCs w:val="24"/>
        </w:rPr>
        <w:t>Umožnenie uplatnenia v daňových výdavkoch zamestnávateľa aj príspevky na doplnkové dôchodkové sporenie zamestnancov platené do zahraničia, ak budú v plnej miere zachované princípy a pravidlá tohto sporenia v zahraničí tak, ako sú definované v zákone o doplnkovom dôchodkovom sporení</w:t>
      </w:r>
    </w:p>
    <w:p w:rsidR="007264D7" w:rsidRPr="007264D7" w:rsidP="00A054D3">
      <w:pPr>
        <w:pStyle w:val="ListParagraph"/>
        <w:numPr>
          <w:numId w:val="10"/>
        </w:numPr>
        <w:bidi w:val="0"/>
        <w:ind w:left="709" w:hanging="283"/>
        <w:jc w:val="both"/>
        <w:rPr>
          <w:rFonts w:ascii="Times New Roman" w:hAnsi="Times New Roman" w:cs="Times New Roman"/>
          <w:sz w:val="24"/>
          <w:szCs w:val="24"/>
        </w:rPr>
      </w:pPr>
      <w:r w:rsidRPr="007264D7">
        <w:rPr>
          <w:rFonts w:ascii="Times New Roman" w:hAnsi="Times New Roman" w:cs="Times New Roman"/>
          <w:sz w:val="24"/>
          <w:szCs w:val="24"/>
        </w:rPr>
        <w:t xml:space="preserve">Zrušenie oznamovacej povinnosti novovzniknutej právnickej osoby na účely platenia preddavkov na daň z príjmov </w:t>
      </w:r>
    </w:p>
    <w:p w:rsidR="007264D7" w:rsidRPr="007264D7" w:rsidP="007264D7">
      <w:pPr>
        <w:bidi w:val="0"/>
        <w:jc w:val="both"/>
        <w:rPr>
          <w:rFonts w:ascii="Times New Roman" w:hAnsi="Times New Roman"/>
          <w:b/>
          <w:bCs/>
        </w:rPr>
      </w:pPr>
    </w:p>
    <w:p w:rsidR="007264D7" w:rsidRPr="007264D7" w:rsidP="007264D7">
      <w:pPr>
        <w:bidi w:val="0"/>
        <w:jc w:val="both"/>
        <w:rPr>
          <w:rFonts w:ascii="Times New Roman" w:hAnsi="Times New Roman"/>
        </w:rPr>
      </w:pPr>
      <w:r w:rsidRPr="007264D7">
        <w:rPr>
          <w:rFonts w:ascii="Times New Roman" w:hAnsi="Times New Roman"/>
        </w:rPr>
        <w:t xml:space="preserve">Legislatívne zmeny bude implementovať Ministerstvo financií SR a Daňové riaditeľstvo SR. </w:t>
      </w:r>
    </w:p>
    <w:p w:rsidR="007264D7" w:rsidRPr="007264D7" w:rsidP="007264D7">
      <w:pPr>
        <w:bidi w:val="0"/>
        <w:jc w:val="both"/>
        <w:rPr>
          <w:rFonts w:ascii="Times New Roman" w:hAnsi="Times New Roman"/>
        </w:rPr>
      </w:pPr>
    </w:p>
    <w:p w:rsidR="007264D7" w:rsidRPr="007264D7" w:rsidP="007264D7">
      <w:pPr>
        <w:bidi w:val="0"/>
        <w:rPr>
          <w:rFonts w:ascii="Times New Roman" w:hAnsi="Times New Roman"/>
        </w:rPr>
      </w:pPr>
    </w:p>
    <w:p w:rsidR="007264D7" w:rsidRPr="007264D7" w:rsidP="007264D7">
      <w:pPr>
        <w:bidi w:val="0"/>
        <w:rPr>
          <w:rFonts w:ascii="Times New Roman" w:hAnsi="Times New Roman"/>
        </w:rPr>
      </w:pPr>
      <w:r w:rsidRPr="007264D7">
        <w:rPr>
          <w:rFonts w:ascii="Times New Roman" w:hAnsi="Times New Roman"/>
          <w:b/>
          <w:bCs/>
        </w:rPr>
        <w:t>2.3.2. Charakteristika návrhu podľa bodu  2.3.2. Metodiky :</w:t>
      </w:r>
    </w:p>
    <w:p w:rsidR="007264D7" w:rsidRPr="007264D7" w:rsidP="007264D7">
      <w:pPr>
        <w:bidi w:val="0"/>
        <w:rPr>
          <w:rFonts w:ascii="Times New Roman" w:hAnsi="Times New Roman"/>
        </w:rPr>
      </w:pPr>
      <w:r w:rsidRPr="007264D7">
        <w:rPr>
          <w:rFonts w:ascii="Times New Roman" w:hAnsi="Times New Roman"/>
        </w:rPr>
        <w:t> </w:t>
      </w:r>
    </w:p>
    <w:p w:rsidR="007264D7" w:rsidRPr="007264D7" w:rsidP="007264D7">
      <w:pPr>
        <w:bidi w:val="0"/>
        <w:rPr>
          <w:rFonts w:ascii="Times New Roman" w:hAnsi="Times New Roman"/>
        </w:rPr>
      </w:pPr>
      <w:r w:rsidRPr="007264D7">
        <w:rPr>
          <w:rFonts w:ascii="Times New Roman" w:hAnsi="Times New Roman"/>
          <w:b/>
          <w:bCs/>
          <w:bdr w:val="single" w:sz="4" w:space="0" w:color="000000" w:frame="1"/>
        </w:rPr>
        <w:t xml:space="preserve">     </w:t>
      </w:r>
      <w:r w:rsidRPr="007264D7">
        <w:rPr>
          <w:rFonts w:ascii="Times New Roman" w:hAnsi="Times New Roman"/>
          <w:b/>
          <w:bCs/>
        </w:rPr>
        <w:t xml:space="preserve">  </w:t>
      </w:r>
      <w:r w:rsidRPr="007264D7">
        <w:rPr>
          <w:rFonts w:ascii="Times New Roman" w:hAnsi="Times New Roman"/>
        </w:rPr>
        <w:t>zmena sadzby</w:t>
      </w:r>
    </w:p>
    <w:p w:rsidR="007264D7" w:rsidRPr="007264D7" w:rsidP="007264D7">
      <w:pPr>
        <w:bidi w:val="0"/>
        <w:rPr>
          <w:rFonts w:ascii="Times New Roman" w:hAnsi="Times New Roman"/>
        </w:rPr>
      </w:pPr>
      <w:r w:rsidRPr="007264D7">
        <w:rPr>
          <w:rFonts w:ascii="Times New Roman" w:hAnsi="Times New Roman"/>
          <w:bdr w:val="single" w:sz="4" w:space="0" w:color="000000" w:frame="1"/>
        </w:rPr>
        <w:t xml:space="preserve">     </w:t>
      </w:r>
      <w:r w:rsidRPr="007264D7">
        <w:rPr>
          <w:rFonts w:ascii="Times New Roman" w:hAnsi="Times New Roman"/>
        </w:rPr>
        <w:t>  zmena v nároku</w:t>
      </w:r>
    </w:p>
    <w:p w:rsidR="007264D7" w:rsidRPr="007264D7" w:rsidP="007264D7">
      <w:pPr>
        <w:bidi w:val="0"/>
        <w:rPr>
          <w:rFonts w:ascii="Times New Roman" w:hAnsi="Times New Roman"/>
        </w:rPr>
      </w:pPr>
      <w:r w:rsidRPr="007264D7">
        <w:rPr>
          <w:rFonts w:ascii="Times New Roman" w:hAnsi="Times New Roman"/>
          <w:bdr w:val="single" w:sz="4" w:space="0" w:color="000000" w:frame="1"/>
        </w:rPr>
        <w:t xml:space="preserve">     </w:t>
      </w:r>
      <w:r w:rsidRPr="007264D7">
        <w:rPr>
          <w:rFonts w:ascii="Times New Roman" w:hAnsi="Times New Roman"/>
        </w:rPr>
        <w:t>  nová služba alebo nariadenie (alebo ich zrušenie)</w:t>
      </w:r>
    </w:p>
    <w:p w:rsidR="007264D7" w:rsidRPr="007264D7" w:rsidP="007264D7">
      <w:pPr>
        <w:bidi w:val="0"/>
        <w:rPr>
          <w:rFonts w:ascii="Times New Roman" w:hAnsi="Times New Roman"/>
        </w:rPr>
      </w:pPr>
      <w:r w:rsidRPr="007264D7">
        <w:rPr>
          <w:rFonts w:ascii="Times New Roman" w:hAnsi="Times New Roman"/>
          <w:bdr w:val="single" w:sz="4" w:space="0" w:color="000000" w:frame="1"/>
        </w:rPr>
        <w:t>     </w:t>
      </w:r>
      <w:r w:rsidRPr="007264D7">
        <w:rPr>
          <w:rFonts w:ascii="Times New Roman" w:hAnsi="Times New Roman"/>
        </w:rPr>
        <w:t>  kombinovaný návrh</w:t>
      </w:r>
    </w:p>
    <w:p w:rsidR="007264D7" w:rsidRPr="007264D7" w:rsidP="007264D7">
      <w:pPr>
        <w:bidi w:val="0"/>
        <w:rPr>
          <w:rFonts w:ascii="Times New Roman" w:hAnsi="Times New Roman"/>
        </w:rPr>
      </w:pPr>
      <w:r w:rsidRPr="007264D7">
        <w:rPr>
          <w:rFonts w:ascii="Times New Roman" w:hAnsi="Times New Roman"/>
          <w:bdr w:val="single" w:sz="4" w:space="0" w:color="000000" w:frame="1"/>
        </w:rPr>
        <w:t xml:space="preserve"> x  </w:t>
      </w:r>
      <w:r w:rsidRPr="007264D7">
        <w:rPr>
          <w:rFonts w:ascii="Times New Roman" w:hAnsi="Times New Roman"/>
        </w:rPr>
        <w:t>  iné (rozšírenie základne pre výpočet dane z príjmov)</w:t>
      </w:r>
    </w:p>
    <w:p w:rsidR="007264D7" w:rsidRPr="007264D7" w:rsidP="007264D7">
      <w:pPr>
        <w:bidi w:val="0"/>
        <w:rPr>
          <w:rFonts w:ascii="Times New Roman" w:hAnsi="Times New Roman"/>
        </w:rPr>
      </w:pPr>
      <w:r w:rsidRPr="007264D7">
        <w:rPr>
          <w:rFonts w:ascii="Times New Roman" w:hAnsi="Times New Roman"/>
        </w:rPr>
        <w:t> </w:t>
      </w:r>
    </w:p>
    <w:p w:rsidR="007264D7" w:rsidRPr="007264D7" w:rsidP="007264D7">
      <w:pPr>
        <w:bidi w:val="0"/>
        <w:rPr>
          <w:rFonts w:ascii="Times New Roman" w:hAnsi="Times New Roman"/>
        </w:rPr>
      </w:pPr>
      <w:r w:rsidRPr="007264D7">
        <w:rPr>
          <w:rFonts w:ascii="Times New Roman" w:hAnsi="Times New Roman"/>
        </w:rPr>
        <w:t> </w:t>
      </w:r>
    </w:p>
    <w:p w:rsidR="007264D7" w:rsidRPr="007264D7" w:rsidP="007264D7">
      <w:pPr>
        <w:bidi w:val="0"/>
        <w:rPr>
          <w:rFonts w:ascii="Times New Roman" w:hAnsi="Times New Roman"/>
        </w:rPr>
      </w:pPr>
      <w:r w:rsidRPr="007264D7">
        <w:rPr>
          <w:rFonts w:ascii="Times New Roman" w:hAnsi="Times New Roman"/>
          <w:b/>
          <w:bCs/>
        </w:rPr>
        <w:t>2.3.3. Predpoklady vývoja objemu aktivít:</w:t>
      </w:r>
    </w:p>
    <w:p w:rsidR="007264D7" w:rsidRPr="007264D7" w:rsidP="007264D7">
      <w:pPr>
        <w:bidi w:val="0"/>
        <w:rPr>
          <w:rFonts w:ascii="Times New Roman" w:hAnsi="Times New Roman"/>
        </w:rPr>
      </w:pPr>
      <w:r w:rsidRPr="007264D7">
        <w:rPr>
          <w:rFonts w:ascii="Times New Roman" w:hAnsi="Times New Roman"/>
        </w:rPr>
        <w:t> </w:t>
      </w:r>
    </w:p>
    <w:p w:rsidR="007264D7" w:rsidRPr="007264D7" w:rsidP="007264D7">
      <w:pPr>
        <w:bidi w:val="0"/>
        <w:jc w:val="both"/>
        <w:rPr>
          <w:rFonts w:ascii="Times New Roman" w:hAnsi="Times New Roman"/>
        </w:rPr>
      </w:pPr>
      <w:r w:rsidRPr="007264D7">
        <w:rPr>
          <w:rFonts w:ascii="Times New Roman" w:hAnsi="Times New Roman"/>
        </w:rPr>
        <w:t xml:space="preserve">Legislatívna zmena zákona o dani z príjmov, ktorou sa rušia niektoré oslobodenia od dane z príjmov, môžu mať vplyv na mierny nárast počtu podaných daňových priznaní. Na druhej strane sa predpokladá, že zmena uplatňovania zrážkovej dane počet podaných daňových priznaní zníži. V tejto súvislosti sa zároveň očakáva, že náklady správcov dane súvisiace s potrebou vyplácania preplatkov na dani z príjmov sa znížia vplyvom zmeny uplatňovania dane vyberanej zrážkou spolu s obmedzením uplatňovania nezdaniteľných častí základu dane.    </w:t>
      </w:r>
    </w:p>
    <w:p w:rsidR="007264D7" w:rsidRPr="007264D7" w:rsidP="007264D7">
      <w:pPr>
        <w:bidi w:val="0"/>
        <w:rPr>
          <w:rFonts w:ascii="Times New Roman" w:hAnsi="Times New Roman"/>
        </w:rPr>
      </w:pPr>
    </w:p>
    <w:p w:rsidR="007264D7" w:rsidRPr="007264D7" w:rsidP="007264D7">
      <w:pPr>
        <w:bidi w:val="0"/>
        <w:rPr>
          <w:rFonts w:ascii="Times New Roman" w:hAnsi="Times New Roman"/>
          <w:b/>
          <w:bCs/>
        </w:rPr>
      </w:pPr>
      <w:r w:rsidRPr="007264D7">
        <w:rPr>
          <w:rFonts w:ascii="Times New Roman" w:hAnsi="Times New Roman"/>
          <w:b/>
          <w:bCs/>
        </w:rPr>
        <w:t>2.3.4. Výpočty vplyvov na verejné financie</w:t>
      </w:r>
    </w:p>
    <w:p w:rsidR="007264D7" w:rsidRPr="007264D7" w:rsidP="007264D7">
      <w:pPr>
        <w:autoSpaceDE w:val="0"/>
        <w:autoSpaceDN w:val="0"/>
        <w:bidi w:val="0"/>
        <w:adjustRightInd w:val="0"/>
        <w:jc w:val="both"/>
        <w:rPr>
          <w:rFonts w:ascii="Times New Roman" w:hAnsi="Times New Roman"/>
        </w:rPr>
      </w:pPr>
    </w:p>
    <w:p w:rsidR="007264D7" w:rsidRPr="007264D7" w:rsidP="007264D7">
      <w:pPr>
        <w:autoSpaceDE w:val="0"/>
        <w:autoSpaceDN w:val="0"/>
        <w:bidi w:val="0"/>
        <w:adjustRightInd w:val="0"/>
        <w:jc w:val="both"/>
        <w:rPr>
          <w:rFonts w:ascii="Times New Roman" w:hAnsi="Times New Roman"/>
        </w:rPr>
      </w:pPr>
      <w:r w:rsidRPr="007264D7">
        <w:rPr>
          <w:rFonts w:ascii="Times New Roman" w:hAnsi="Times New Roman"/>
        </w:rPr>
        <w:t>Kvantifikácia predpokladá pozitívny vplyv na úrovni 78,3 mil. EUR v roku 2011 (0,1% HDP) s následným rastom na úroveň 142,0 mil. eur v roku 2012 (0,2% HDP). Medziročný nárast je spôsobený premietnutím niektorých opatrení až do výnosu v roku 2012, napriek tomu, že sú účinné už od 1.1.2011. Ide najmä o zrušenie niektorých nezdaniteľných častí (na sporenie), ktoré sa zúčtovávajú až v marci nasledujúceho roka a podľa aktuálne platnej metodiky akrualizácie daní tento vplyv patrí do roku 2012 (ročný posun).</w:t>
      </w:r>
    </w:p>
    <w:p w:rsidR="007264D7" w:rsidRPr="007264D7" w:rsidP="007264D7">
      <w:pPr>
        <w:autoSpaceDE w:val="0"/>
        <w:autoSpaceDN w:val="0"/>
        <w:bidi w:val="0"/>
        <w:adjustRightInd w:val="0"/>
        <w:jc w:val="both"/>
        <w:rPr>
          <w:rFonts w:ascii="Times New Roman" w:hAnsi="Times New Roman"/>
        </w:rPr>
      </w:pPr>
    </w:p>
    <w:p w:rsidR="007264D7" w:rsidRPr="00323053" w:rsidP="007264D7">
      <w:pPr>
        <w:autoSpaceDE w:val="0"/>
        <w:autoSpaceDN w:val="0"/>
        <w:bidi w:val="0"/>
        <w:adjustRightInd w:val="0"/>
        <w:jc w:val="both"/>
        <w:rPr>
          <w:rFonts w:ascii="Times New Roman" w:hAnsi="Times New Roman"/>
          <w:b/>
        </w:rPr>
      </w:pPr>
      <w:r w:rsidRPr="00323053">
        <w:rPr>
          <w:rFonts w:ascii="Times New Roman" w:hAnsi="Times New Roman"/>
          <w:b/>
        </w:rPr>
        <w:t>Kvantifikácia príjmov</w:t>
      </w:r>
    </w:p>
    <w:p w:rsidR="007264D7" w:rsidRPr="00323053" w:rsidP="007264D7">
      <w:pPr>
        <w:autoSpaceDE w:val="0"/>
        <w:autoSpaceDN w:val="0"/>
        <w:bidi w:val="0"/>
        <w:adjustRightInd w:val="0"/>
        <w:jc w:val="both"/>
        <w:rPr>
          <w:rFonts w:ascii="Times New Roman" w:hAnsi="Times New Roman"/>
        </w:rPr>
      </w:pPr>
    </w:p>
    <w:p w:rsidR="007264D7" w:rsidRPr="00323053" w:rsidP="007264D7">
      <w:pPr>
        <w:autoSpaceDE w:val="0"/>
        <w:autoSpaceDN w:val="0"/>
        <w:bidi w:val="0"/>
        <w:adjustRightInd w:val="0"/>
        <w:jc w:val="both"/>
        <w:rPr>
          <w:rFonts w:ascii="Times New Roman" w:hAnsi="Times New Roman"/>
        </w:rPr>
      </w:pPr>
      <w:r w:rsidRPr="00323053">
        <w:rPr>
          <w:rFonts w:ascii="Times New Roman" w:hAnsi="Times New Roman"/>
        </w:rPr>
        <w:t>Kvantifikácia vychádza z predpokladu, že všetky navrhované opatrenia budú platiť súčasne. Počíta sa teda s kombináciou vplyvov a nie je možné považovať nižšie uvedenú kvantifikáciu len ako mechanický súčet vplyvov jednotlivých opatrení. Z uvedeného dôvodu je kvantifikácia relatívne komplexná, pričom z dôvodu absencie niektorých údajov bolo nutné pri niektorých opatreniach urobiť viacero expertných predpokladov.</w:t>
      </w:r>
    </w:p>
    <w:p w:rsidR="007264D7" w:rsidRPr="00323053" w:rsidP="007264D7">
      <w:pPr>
        <w:autoSpaceDE w:val="0"/>
        <w:autoSpaceDN w:val="0"/>
        <w:bidi w:val="0"/>
        <w:adjustRightInd w:val="0"/>
        <w:jc w:val="both"/>
        <w:rPr>
          <w:rFonts w:ascii="Times New Roman" w:hAnsi="Times New Roman"/>
        </w:rPr>
      </w:pPr>
    </w:p>
    <w:p w:rsidR="007264D7" w:rsidRPr="00323053" w:rsidP="00A054D3">
      <w:pPr>
        <w:numPr>
          <w:numId w:val="5"/>
        </w:numPr>
        <w:autoSpaceDE w:val="0"/>
        <w:autoSpaceDN w:val="0"/>
        <w:bidi w:val="0"/>
        <w:adjustRightInd w:val="0"/>
        <w:ind w:left="426"/>
        <w:jc w:val="both"/>
        <w:rPr>
          <w:rFonts w:ascii="Times New Roman" w:hAnsi="Times New Roman"/>
        </w:rPr>
      </w:pPr>
      <w:r w:rsidRPr="00323053">
        <w:rPr>
          <w:rFonts w:ascii="Times New Roman" w:hAnsi="Times New Roman"/>
          <w:u w:val="single"/>
        </w:rPr>
        <w:t>Rozšírenie základu pre daň z príjmov</w:t>
      </w:r>
      <w:r w:rsidRPr="00323053">
        <w:rPr>
          <w:rFonts w:ascii="Times New Roman" w:hAnsi="Times New Roman"/>
        </w:rPr>
        <w:t xml:space="preserve"> – výpočet vychádzal najmä z údajov uvedených v daňových priznaniach (DPFO, DPPO) a hlásení (DPFO závislá činnosť), v ktorých je povinnosť uvádzať všetky nezdaniteľné časti základu dane a väčšinu  výnimiek a úľav. Identifikovaním príslušných riadkov bolo možné kvantifikovať príjmy nepodliehajúce dani. V prípade DPFO sa do úvahy zobralo aj príjmové rozloženie daňovníkov.</w:t>
      </w:r>
      <w:r>
        <w:rPr>
          <w:rFonts w:ascii="Times New Roman" w:hAnsi="Times New Roman"/>
        </w:rPr>
        <w:t xml:space="preserve"> Kvantifikácia zahŕňa vplyvy všetkých legislatívnych zmien, pričom popis kvantifikácie sa zameral na najvýznamnejšie zmeny, čo je v súlade s jednotnou metodikou na posudzovanie vybraných vplyvov.</w:t>
      </w:r>
    </w:p>
    <w:p w:rsidR="007264D7" w:rsidRPr="00323053" w:rsidP="007264D7">
      <w:pPr>
        <w:tabs>
          <w:tab w:val="left" w:pos="851"/>
        </w:tabs>
        <w:autoSpaceDE w:val="0"/>
        <w:autoSpaceDN w:val="0"/>
        <w:bidi w:val="0"/>
        <w:adjustRightInd w:val="0"/>
        <w:jc w:val="both"/>
        <w:rPr>
          <w:rFonts w:ascii="Times New Roman" w:hAnsi="Times New Roman"/>
          <w:i/>
        </w:rPr>
      </w:pPr>
    </w:p>
    <w:p w:rsidR="007264D7" w:rsidRPr="00323053" w:rsidP="00A054D3">
      <w:pPr>
        <w:numPr>
          <w:numId w:val="6"/>
        </w:numPr>
        <w:tabs>
          <w:tab w:val="left" w:pos="851"/>
        </w:tabs>
        <w:autoSpaceDE w:val="0"/>
        <w:autoSpaceDN w:val="0"/>
        <w:bidi w:val="0"/>
        <w:adjustRightInd w:val="0"/>
        <w:ind w:left="851"/>
        <w:jc w:val="both"/>
        <w:rPr>
          <w:rFonts w:ascii="Times New Roman" w:hAnsi="Times New Roman"/>
          <w:color w:val="000000"/>
        </w:rPr>
      </w:pPr>
      <w:r w:rsidRPr="00323053">
        <w:rPr>
          <w:rStyle w:val="PlaceholderText"/>
          <w:i/>
          <w:color w:val="000000"/>
        </w:rPr>
        <w:t xml:space="preserve">Zrušenie úpravy základu dane u zdravotníckych pracovníkov - </w:t>
      </w:r>
      <w:r w:rsidRPr="00323053">
        <w:rPr>
          <w:rStyle w:val="PlaceholderText"/>
          <w:color w:val="000000"/>
        </w:rPr>
        <w:t>p</w:t>
      </w:r>
      <w:r w:rsidRPr="00323053">
        <w:rPr>
          <w:rFonts w:ascii="Times New Roman" w:hAnsi="Times New Roman"/>
          <w:color w:val="000000"/>
        </w:rPr>
        <w:t>ri kvantifikácii vyššie uvedeného vplyvu sa vychádzalo najmä z údajov daňových priznaní typu A a typu B. Podľa DP typu A a typu B si v roku 2009 daňovníci znížili základ dane o výdavky na ďalšie vzdelávanie v úhrne o 4,4 mil. eur (vrátane odhadu objemu výdavkov na vzdelávanie vysporiadaných prostredníctvom zamestnávateľa).</w:t>
      </w:r>
    </w:p>
    <w:p w:rsidR="007264D7" w:rsidRPr="00323053" w:rsidP="007264D7">
      <w:pPr>
        <w:tabs>
          <w:tab w:val="left" w:pos="851"/>
        </w:tabs>
        <w:autoSpaceDE w:val="0"/>
        <w:autoSpaceDN w:val="0"/>
        <w:bidi w:val="0"/>
        <w:adjustRightInd w:val="0"/>
        <w:ind w:left="851"/>
        <w:jc w:val="both"/>
        <w:rPr>
          <w:rStyle w:val="PlaceholderText"/>
          <w:i/>
          <w:color w:val="000000"/>
        </w:rPr>
      </w:pPr>
    </w:p>
    <w:p w:rsidR="007264D7" w:rsidRPr="00323053" w:rsidP="00A054D3">
      <w:pPr>
        <w:numPr>
          <w:numId w:val="6"/>
        </w:numPr>
        <w:tabs>
          <w:tab w:val="left" w:pos="851"/>
        </w:tabs>
        <w:autoSpaceDE w:val="0"/>
        <w:autoSpaceDN w:val="0"/>
        <w:bidi w:val="0"/>
        <w:adjustRightInd w:val="0"/>
        <w:ind w:left="851" w:hanging="425"/>
        <w:jc w:val="both"/>
        <w:rPr>
          <w:rFonts w:ascii="Times New Roman" w:hAnsi="Times New Roman"/>
          <w:i/>
        </w:rPr>
      </w:pPr>
      <w:r w:rsidRPr="00323053">
        <w:rPr>
          <w:rStyle w:val="PlaceholderText"/>
          <w:i/>
          <w:color w:val="000000"/>
        </w:rPr>
        <w:t xml:space="preserve">Zrušenie nezdaniteľných častí základu dane na sporenia a poistenie - </w:t>
      </w:r>
      <w:r w:rsidRPr="00323053">
        <w:rPr>
          <w:rStyle w:val="PlaceholderText"/>
          <w:color w:val="000000"/>
        </w:rPr>
        <w:t>p</w:t>
      </w:r>
      <w:r w:rsidRPr="00323053">
        <w:rPr>
          <w:rFonts w:ascii="Times New Roman" w:hAnsi="Times New Roman"/>
          <w:color w:val="000000"/>
        </w:rPr>
        <w:t>ri kvantifikácii vplyvu zrušenia nezdaniteľných častí základu dane na sporenia a poistenie MF SR vychádzalo z údajov daňových priznaní, údajov poskytnutých NBS o poistnom trhu ako aj informácií ADDS o počte účastníckych zmlúv.</w:t>
      </w:r>
    </w:p>
    <w:p w:rsidR="007264D7" w:rsidRPr="00323053" w:rsidP="007264D7">
      <w:pPr>
        <w:tabs>
          <w:tab w:val="left" w:pos="851"/>
        </w:tabs>
        <w:autoSpaceDE w:val="0"/>
        <w:autoSpaceDN w:val="0"/>
        <w:bidi w:val="0"/>
        <w:adjustRightInd w:val="0"/>
        <w:ind w:left="851"/>
        <w:jc w:val="both"/>
        <w:rPr>
          <w:rStyle w:val="PlaceholderText"/>
          <w:i/>
        </w:rPr>
      </w:pPr>
    </w:p>
    <w:p w:rsidR="007264D7" w:rsidRPr="00323053" w:rsidP="00A054D3">
      <w:pPr>
        <w:numPr>
          <w:numId w:val="6"/>
        </w:numPr>
        <w:tabs>
          <w:tab w:val="left" w:pos="851"/>
        </w:tabs>
        <w:autoSpaceDE w:val="0"/>
        <w:autoSpaceDN w:val="0"/>
        <w:bidi w:val="0"/>
        <w:adjustRightInd w:val="0"/>
        <w:ind w:left="851" w:hanging="425"/>
        <w:jc w:val="both"/>
        <w:rPr>
          <w:rFonts w:ascii="Times New Roman" w:hAnsi="Times New Roman"/>
          <w:color w:val="000000"/>
        </w:rPr>
      </w:pPr>
      <w:r w:rsidRPr="00323053">
        <w:rPr>
          <w:rStyle w:val="PlaceholderText"/>
          <w:i/>
          <w:color w:val="000000"/>
        </w:rPr>
        <w:t xml:space="preserve">Uplatňovanie nezdaniteľnej časti základu dane na daňovníka len na tzv. aktívne príjmy - </w:t>
      </w:r>
      <w:r w:rsidRPr="00323053">
        <w:rPr>
          <w:rFonts w:ascii="Times New Roman" w:hAnsi="Times New Roman"/>
          <w:color w:val="000000"/>
        </w:rPr>
        <w:t>pri kvantifikácii vyššie uvedeného vplyvu sa vychádzalo z údajov daňových priznaní, podľa ktorých si v roku 2009 daňovníci prostredníctvom NČZD znížili svoj základ dane z neaktívnych príjmov v úhrnnej výške 122,5 mil. eur.</w:t>
      </w:r>
    </w:p>
    <w:p w:rsidR="007264D7" w:rsidRPr="00323053" w:rsidP="007264D7">
      <w:pPr>
        <w:tabs>
          <w:tab w:val="left" w:pos="851"/>
        </w:tabs>
        <w:autoSpaceDE w:val="0"/>
        <w:autoSpaceDN w:val="0"/>
        <w:bidi w:val="0"/>
        <w:adjustRightInd w:val="0"/>
        <w:jc w:val="both"/>
        <w:rPr>
          <w:rStyle w:val="PlaceholderText"/>
          <w:color w:val="000000"/>
        </w:rPr>
      </w:pPr>
    </w:p>
    <w:p w:rsidR="007264D7" w:rsidRPr="00323053" w:rsidP="00A054D3">
      <w:pPr>
        <w:numPr>
          <w:numId w:val="6"/>
        </w:numPr>
        <w:tabs>
          <w:tab w:val="left" w:pos="851"/>
        </w:tabs>
        <w:autoSpaceDE w:val="0"/>
        <w:autoSpaceDN w:val="0"/>
        <w:bidi w:val="0"/>
        <w:adjustRightInd w:val="0"/>
        <w:ind w:left="851"/>
        <w:jc w:val="both"/>
        <w:rPr>
          <w:rStyle w:val="PlaceholderText"/>
          <w:color w:val="000000"/>
        </w:rPr>
      </w:pPr>
      <w:r>
        <w:rPr>
          <w:rStyle w:val="PlaceholderText"/>
          <w:i/>
          <w:color w:val="000000"/>
        </w:rPr>
        <w:t>Obmedzenie</w:t>
      </w:r>
      <w:r w:rsidRPr="00323053">
        <w:rPr>
          <w:rStyle w:val="PlaceholderText"/>
          <w:i/>
          <w:color w:val="000000"/>
        </w:rPr>
        <w:t xml:space="preserve"> oslobodenia príjmov do výšky 5</w:t>
      </w:r>
      <w:r>
        <w:rPr>
          <w:rStyle w:val="PlaceholderText"/>
          <w:i/>
          <w:color w:val="000000"/>
        </w:rPr>
        <w:t>00 eur</w:t>
      </w:r>
      <w:r w:rsidRPr="00323053">
        <w:rPr>
          <w:rStyle w:val="PlaceholderText"/>
          <w:i/>
          <w:color w:val="000000"/>
        </w:rPr>
        <w:t xml:space="preserve"> - </w:t>
      </w:r>
      <w:r w:rsidRPr="00323053">
        <w:rPr>
          <w:rFonts w:ascii="Times New Roman" w:hAnsi="Times New Roman"/>
          <w:color w:val="000000"/>
        </w:rPr>
        <w:t xml:space="preserve">pri kvantifikácii vplyvu </w:t>
      </w:r>
      <w:r w:rsidRPr="00323053">
        <w:rPr>
          <w:rStyle w:val="PlaceholderText"/>
          <w:color w:val="000000"/>
        </w:rPr>
        <w:t xml:space="preserve">zrušenia oslobodenia vyššie uvedených príjmov </w:t>
      </w:r>
      <w:r w:rsidRPr="00323053">
        <w:rPr>
          <w:rFonts w:ascii="Times New Roman" w:hAnsi="Times New Roman"/>
          <w:color w:val="000000"/>
        </w:rPr>
        <w:t>sa vychádzalo z údajov daňových priznaní. Podľa údajov z DP z roku 2009 uvedené oslobodenie využilo cca 46 000 daňovníkov, pričom v daňovom priznaní nie sú zachytené príjmy do výšky 5xŽM, na základe čoho je možné konštatovať, že uvedená kvantifikácia je konzervatívna.</w:t>
      </w:r>
    </w:p>
    <w:p w:rsidR="007264D7" w:rsidRPr="00323053" w:rsidP="007264D7">
      <w:pPr>
        <w:tabs>
          <w:tab w:val="left" w:pos="851"/>
        </w:tabs>
        <w:autoSpaceDE w:val="0"/>
        <w:autoSpaceDN w:val="0"/>
        <w:bidi w:val="0"/>
        <w:adjustRightInd w:val="0"/>
        <w:ind w:left="851"/>
        <w:jc w:val="both"/>
        <w:rPr>
          <w:rStyle w:val="PlaceholderText"/>
          <w:i/>
          <w:color w:val="000000"/>
        </w:rPr>
      </w:pPr>
    </w:p>
    <w:p w:rsidR="007264D7" w:rsidRPr="00323053" w:rsidP="00A054D3">
      <w:pPr>
        <w:numPr>
          <w:numId w:val="6"/>
        </w:numPr>
        <w:tabs>
          <w:tab w:val="left" w:pos="851"/>
        </w:tabs>
        <w:autoSpaceDE w:val="0"/>
        <w:autoSpaceDN w:val="0"/>
        <w:bidi w:val="0"/>
        <w:adjustRightInd w:val="0"/>
        <w:ind w:left="851" w:hanging="425"/>
        <w:jc w:val="both"/>
        <w:rPr>
          <w:rStyle w:val="PlaceholderText"/>
          <w:i/>
          <w:color w:val="000000"/>
        </w:rPr>
      </w:pPr>
      <w:r w:rsidRPr="00323053">
        <w:rPr>
          <w:rStyle w:val="PlaceholderText"/>
          <w:i/>
          <w:color w:val="000000"/>
        </w:rPr>
        <w:t xml:space="preserve">Zdanenie príjmov VÚC a obcí z predaja a nájmu majetku - </w:t>
      </w:r>
      <w:r w:rsidRPr="00323053">
        <w:rPr>
          <w:rStyle w:val="PlaceholderText"/>
          <w:color w:val="000000"/>
        </w:rPr>
        <w:t>výpočet vplyvu opatrenia vychádza z plánovaného objemu kapitálových príjmov a príjmov z vlastníctva obcí a VÚC v rozpočte verejnej správy a agregovaných daňových priznaní DPPO za obce a VÚC.</w:t>
      </w:r>
    </w:p>
    <w:p w:rsidR="007264D7" w:rsidRPr="00323053" w:rsidP="007264D7">
      <w:pPr>
        <w:tabs>
          <w:tab w:val="left" w:pos="851"/>
        </w:tabs>
        <w:autoSpaceDE w:val="0"/>
        <w:autoSpaceDN w:val="0"/>
        <w:bidi w:val="0"/>
        <w:adjustRightInd w:val="0"/>
        <w:ind w:left="851"/>
        <w:jc w:val="both"/>
        <w:rPr>
          <w:rStyle w:val="PlaceholderText"/>
          <w:i/>
          <w:color w:val="000000"/>
        </w:rPr>
      </w:pPr>
    </w:p>
    <w:p w:rsidR="007264D7" w:rsidRPr="00323053" w:rsidP="00A054D3">
      <w:pPr>
        <w:numPr>
          <w:numId w:val="6"/>
        </w:numPr>
        <w:tabs>
          <w:tab w:val="left" w:pos="851"/>
        </w:tabs>
        <w:bidi w:val="0"/>
        <w:ind w:left="851" w:hanging="425"/>
        <w:jc w:val="both"/>
        <w:rPr>
          <w:rStyle w:val="PlaceholderText"/>
          <w:color w:val="000000"/>
        </w:rPr>
      </w:pPr>
      <w:r>
        <w:rPr>
          <w:rStyle w:val="PlaceholderText"/>
          <w:i/>
          <w:color w:val="000000"/>
        </w:rPr>
        <w:t>Daň vybran</w:t>
      </w:r>
      <w:r w:rsidRPr="00323053">
        <w:rPr>
          <w:rStyle w:val="PlaceholderText"/>
          <w:i/>
          <w:color w:val="000000"/>
        </w:rPr>
        <w:t xml:space="preserve">á zrážkou podľa § 43 bude vysporiadaná - </w:t>
      </w:r>
      <w:r w:rsidRPr="00323053">
        <w:rPr>
          <w:rStyle w:val="PlaceholderText"/>
          <w:color w:val="000000"/>
        </w:rPr>
        <w:t xml:space="preserve">pri kvantifikácia boli použité údaje z agregovaných daňových priznaní právnických osôb a daňových priznaní „B“ fyzických osôb. Podiel fyzických osôb na celkovom vplyve opatrenia je nepatrný. Z predpokladaného výnosu zrážkovej dane sa na základe vývoja v predchádzajúcich rokoch odhadol podiel zaplatený právnickými osobami. Následne na základe agregovaných daňových priznaní právnických osôb s nulovou resp. negatívnou daňovou povinnosťou (opatrenie vplýva na stratové spoločnosti) bol kvantifikovaný vplyv opatrenia v nasledujúcich rokoch.  </w:t>
      </w:r>
    </w:p>
    <w:p w:rsidR="007264D7" w:rsidRPr="00323053" w:rsidP="007264D7">
      <w:pPr>
        <w:tabs>
          <w:tab w:val="left" w:pos="851"/>
        </w:tabs>
        <w:autoSpaceDE w:val="0"/>
        <w:autoSpaceDN w:val="0"/>
        <w:bidi w:val="0"/>
        <w:adjustRightInd w:val="0"/>
        <w:ind w:left="851"/>
        <w:jc w:val="both"/>
        <w:rPr>
          <w:rStyle w:val="PlaceholderText"/>
          <w:i/>
          <w:color w:val="000000"/>
        </w:rPr>
      </w:pPr>
    </w:p>
    <w:p w:rsidR="007264D7" w:rsidRPr="00323053" w:rsidP="00A054D3">
      <w:pPr>
        <w:numPr>
          <w:numId w:val="6"/>
        </w:numPr>
        <w:tabs>
          <w:tab w:val="left" w:pos="851"/>
        </w:tabs>
        <w:autoSpaceDE w:val="0"/>
        <w:autoSpaceDN w:val="0"/>
        <w:bidi w:val="0"/>
        <w:adjustRightInd w:val="0"/>
        <w:ind w:left="851" w:hanging="425"/>
        <w:jc w:val="both"/>
        <w:rPr>
          <w:rStyle w:val="PlaceholderText"/>
          <w:i/>
          <w:color w:val="000000"/>
        </w:rPr>
      </w:pPr>
      <w:r w:rsidRPr="00323053">
        <w:rPr>
          <w:rStyle w:val="PlaceholderText"/>
          <w:i/>
          <w:color w:val="000000"/>
        </w:rPr>
        <w:t>Zjednotenie odpisovania hmotného majetku - k</w:t>
      </w:r>
      <w:r w:rsidRPr="00323053">
        <w:rPr>
          <w:rStyle w:val="PlaceholderText"/>
          <w:color w:val="000000"/>
        </w:rPr>
        <w:t>vantifikácia vplyvu vychádza z údajov Asociácie leasingových spoločností SR, ktorá združuje relevantných poskytovateľov leasingových služieb. V roku 2009 bol formou finančného leasingu nadobudnutý hmotný majetok vo výške viac ako 722 mil. eur, pri počte zmlúv 23 645 ks. Pri výpočte boli využité údaje za minulé roky o štruktúre nájomcov, type obstarávaného zariadenia, dĺžke trvania leasingových zmlúv a predpoklady o zaradení majetku do jednotlivých skupín odpisovania a rýchlosti rastu leasingového sektora.</w:t>
      </w:r>
    </w:p>
    <w:p w:rsidR="007264D7" w:rsidRPr="00323053" w:rsidP="007264D7">
      <w:pPr>
        <w:pStyle w:val="ListParagraph"/>
        <w:bidi w:val="0"/>
        <w:rPr>
          <w:rStyle w:val="PlaceholderText"/>
          <w:i/>
          <w:color w:val="000000"/>
        </w:rPr>
      </w:pPr>
    </w:p>
    <w:tbl>
      <w:tblPr>
        <w:tblStyle w:val="TableNormal"/>
        <w:tblW w:w="9082" w:type="dxa"/>
        <w:tblInd w:w="60" w:type="dxa"/>
        <w:tblLayout w:type="fixed"/>
        <w:tblCellMar>
          <w:left w:w="70" w:type="dxa"/>
          <w:right w:w="70" w:type="dxa"/>
        </w:tblCellMar>
        <w:tblLook w:val="04A0"/>
      </w:tblPr>
      <w:tblGrid>
        <w:gridCol w:w="960"/>
        <w:gridCol w:w="3445"/>
        <w:gridCol w:w="1169"/>
        <w:gridCol w:w="1169"/>
        <w:gridCol w:w="1169"/>
        <w:gridCol w:w="1170"/>
      </w:tblGrid>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r w:rsidRPr="00323053">
              <w:rPr>
                <w:rFonts w:ascii="Times New Roman" w:hAnsi="Times New Roman"/>
                <w:b/>
                <w:bCs/>
                <w:color w:val="FFFFFF"/>
                <w:u w:val="single"/>
              </w:rPr>
              <w:t>Štátny rozpočet (VPS) - príjmy (v tis. eur)</w:t>
            </w:r>
          </w:p>
        </w:tc>
        <w:tc>
          <w:tcPr>
            <w:tcW w:w="4677" w:type="dxa"/>
            <w:gridSpan w:val="4"/>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štátny rozpočet (ESA95)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vMerge/>
            <w:tcBorders>
              <w:top w:val="none" w:sz="0" w:space="0" w:color="auto"/>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283"/>
        </w:trPr>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78 288</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47 961</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56 851</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78 288</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47 961</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56 851</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45 458</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7 631</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7 275</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112</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právnickej osoby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32 830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40 330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49 576</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113</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vyberaná zrážkou</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131</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pridanej hodnoty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132</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Spotrebné dane</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obcí (ESA95)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Rozpočet obcí - príjmy (v tis. eur)</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45</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67 956</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69 341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45</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67 956</w:t>
            </w:r>
          </w:p>
        </w:tc>
        <w:tc>
          <w:tcPr>
            <w:tcW w:w="1170"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69 341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45</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67 956</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69 341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VÚC (ESA95)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Rozpočet VÚC - príjmy (v tis. eur)</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15</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22 716</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23 180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15</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22 716</w:t>
            </w:r>
          </w:p>
        </w:tc>
        <w:tc>
          <w:tcPr>
            <w:tcW w:w="1170"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23 180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15</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22 716</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23 180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Sociálnej poisťovne (ESA95)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Rozpočet Sociálnej poisťovne - príjmy (v tis. eur)</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2 247</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4 861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150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Poistné</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2 247</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4 861</w:t>
            </w:r>
          </w:p>
        </w:tc>
      </w:tr>
      <w:tr>
        <w:tblPrEx>
          <w:tblW w:w="9082" w:type="dxa"/>
          <w:tblInd w:w="60" w:type="dxa"/>
          <w:tblLayout w:type="fixed"/>
          <w:tblCellMar>
            <w:left w:w="70" w:type="dxa"/>
            <w:right w:w="70" w:type="dxa"/>
          </w:tblCellMar>
          <w:tblLook w:val="04A0"/>
        </w:tblPrEx>
        <w:trPr>
          <w:trHeight w:val="450"/>
        </w:trPr>
        <w:tc>
          <w:tcPr>
            <w:tcW w:w="960" w:type="dxa"/>
            <w:tcBorders>
              <w:top w:val="nil"/>
              <w:left w:val="single" w:sz="4" w:space="0" w:color="auto"/>
              <w:bottom w:val="single" w:sz="4" w:space="0" w:color="auto"/>
              <w:right w:val="single" w:sz="4" w:space="0" w:color="auto"/>
            </w:tcBorders>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151-153, 155-158</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Sociálne poistenie</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2 247</w:t>
            </w:r>
          </w:p>
        </w:tc>
        <w:tc>
          <w:tcPr>
            <w:tcW w:w="1170"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4 861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170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Sankcie súvisiace so zdravotným poistením a sociálnym poistením</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zdravotných poisťovní (ESA95)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Rozpočet zdravotných poisťovní - príjmy (v tis. eur)</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1 125</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2 434</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150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Poistné</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1 125</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2 434</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154</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Zdravotné poistenie</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1 125</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2 434</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170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Sankcie súvisiace so zdravotným poistením a sociálnym poistením</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center"/>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verejnej správy (ESA95)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center"/>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Rozpočet verejnej správy - príjmy (v tis. eur)</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center"/>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78 348</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142 005</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156 667</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78 348</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138 633</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149 372</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45 518</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98 303</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99 796</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112</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právnickej osoby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32 830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40 330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49 576</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113</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vyberaná zrážkou</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131</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pridanej hodnoty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132</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Spotrebné dane</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133</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Dane za špecifické služby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139</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Iné dane za tovary a služby</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150</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Poistné</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3 372</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7 295</w:t>
            </w:r>
          </w:p>
        </w:tc>
      </w:tr>
      <w:tr>
        <w:tblPrEx>
          <w:tblW w:w="9082" w:type="dxa"/>
          <w:tblInd w:w="60" w:type="dxa"/>
          <w:tblLayout w:type="fixed"/>
          <w:tblCellMar>
            <w:left w:w="70" w:type="dxa"/>
            <w:right w:w="70" w:type="dxa"/>
          </w:tblCellMar>
          <w:tblLook w:val="04A0"/>
        </w:tblPrEx>
        <w:trPr>
          <w:trHeight w:val="450"/>
        </w:trPr>
        <w:tc>
          <w:tcPr>
            <w:tcW w:w="960" w:type="dxa"/>
            <w:tcBorders>
              <w:top w:val="nil"/>
              <w:left w:val="single" w:sz="4" w:space="0" w:color="auto"/>
              <w:bottom w:val="single" w:sz="4" w:space="0" w:color="auto"/>
              <w:right w:val="single" w:sz="4" w:space="0" w:color="auto"/>
            </w:tcBorders>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151-153, 155-158</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Sociálne poistenie</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2 247</w:t>
            </w:r>
          </w:p>
        </w:tc>
        <w:tc>
          <w:tcPr>
            <w:tcW w:w="1170"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4 861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154</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Zdravotné poistenie</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1 125</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2 434</w:t>
            </w:r>
          </w:p>
        </w:tc>
      </w:tr>
    </w:tbl>
    <w:p w:rsidR="007264D7" w:rsidRPr="00323053" w:rsidP="007264D7">
      <w:pPr>
        <w:tabs>
          <w:tab w:val="left" w:pos="851"/>
        </w:tabs>
        <w:autoSpaceDE w:val="0"/>
        <w:autoSpaceDN w:val="0"/>
        <w:bidi w:val="0"/>
        <w:adjustRightInd w:val="0"/>
        <w:jc w:val="both"/>
        <w:rPr>
          <w:rStyle w:val="PlaceholderText"/>
          <w:i/>
          <w:color w:val="000000"/>
        </w:rPr>
      </w:pPr>
    </w:p>
    <w:tbl>
      <w:tblPr>
        <w:tblStyle w:val="TableNormal"/>
        <w:tblW w:w="9082" w:type="dxa"/>
        <w:tblInd w:w="60" w:type="dxa"/>
        <w:tblLayout w:type="fixed"/>
        <w:tblCellMar>
          <w:left w:w="70" w:type="dxa"/>
          <w:right w:w="70" w:type="dxa"/>
        </w:tblCellMar>
        <w:tblLook w:val="04A0"/>
      </w:tblPr>
      <w:tblGrid>
        <w:gridCol w:w="960"/>
        <w:gridCol w:w="3445"/>
        <w:gridCol w:w="1169"/>
        <w:gridCol w:w="1169"/>
        <w:gridCol w:w="1169"/>
        <w:gridCol w:w="1170"/>
      </w:tblGrid>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štátny rozpočet (cash)</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Štátny rozpočet (VPS) - príjmy (v tis. eur)</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4</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41 313</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46 715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4</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41 313</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46 715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5 995</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6 117</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112</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právnickej osoby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35 318</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40 598</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113</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vyberaná zrážkou</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131</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pridanej hodnoty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132</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Spotrebné dane</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obcí (cash)</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Rozpočet obcí - príjmy (v tis. eur)</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45</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67 956</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69 341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45</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67 956</w:t>
            </w:r>
          </w:p>
        </w:tc>
        <w:tc>
          <w:tcPr>
            <w:tcW w:w="1170"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69 341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45</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67 956</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69 341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VÚC (cash)</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Rozpočet VÚC - príjmy (v tis. eur)</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15</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22 716</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23 180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15</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22 716</w:t>
            </w:r>
          </w:p>
        </w:tc>
        <w:tc>
          <w:tcPr>
            <w:tcW w:w="1170"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i/>
                <w:iCs/>
                <w:color w:val="000000"/>
              </w:rPr>
            </w:pPr>
            <w:r>
              <w:rPr>
                <w:rFonts w:ascii="Times New Roman" w:hAnsi="Times New Roman"/>
                <w:i/>
                <w:iCs/>
                <w:color w:val="000000"/>
              </w:rPr>
              <w:t>23 180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15</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22 716</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23 180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Sociálnej poisťovne (cash)</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u w:val="single"/>
              </w:rPr>
            </w:pPr>
            <w:r w:rsidRPr="00323053">
              <w:rPr>
                <w:rFonts w:ascii="Times New Roman" w:hAnsi="Times New Roman"/>
                <w:b/>
                <w:bCs/>
                <w:color w:val="FFFFFF"/>
                <w:u w:val="single"/>
              </w:rPr>
              <w:t>Rozpočet Sociálnej poisťovne - príjmy (v tis. eur)</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1 873</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4 831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150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Poistné</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1 873</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4 831</w:t>
            </w:r>
          </w:p>
        </w:tc>
      </w:tr>
      <w:tr>
        <w:tblPrEx>
          <w:tblW w:w="9082" w:type="dxa"/>
          <w:tblInd w:w="60" w:type="dxa"/>
          <w:tblLayout w:type="fixed"/>
          <w:tblCellMar>
            <w:left w:w="70" w:type="dxa"/>
            <w:right w:w="70" w:type="dxa"/>
          </w:tblCellMar>
          <w:tblLook w:val="04A0"/>
        </w:tblPrEx>
        <w:trPr>
          <w:trHeight w:val="450"/>
        </w:trPr>
        <w:tc>
          <w:tcPr>
            <w:tcW w:w="960" w:type="dxa"/>
            <w:tcBorders>
              <w:top w:val="nil"/>
              <w:left w:val="single" w:sz="4" w:space="0" w:color="auto"/>
              <w:bottom w:val="single" w:sz="4" w:space="0" w:color="auto"/>
              <w:right w:val="single" w:sz="4" w:space="0" w:color="auto"/>
            </w:tcBorders>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151-153, 155-158</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Sociálne poistenie</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1 873</w:t>
            </w:r>
          </w:p>
        </w:tc>
        <w:tc>
          <w:tcPr>
            <w:tcW w:w="1170"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4 831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170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Sankcie súvisiace so zdravotným poistením a sociálnym poistením</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vMerge w:val="restart"/>
            <w:tcBorders>
              <w:top w:val="single" w:sz="4" w:space="0" w:color="auto"/>
              <w:left w:val="nil"/>
              <w:bottom w:val="none" w:sz="0" w:space="0" w:color="auto"/>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u w:val="single"/>
              </w:rPr>
              <w:t>Rozpočet zdravotných poisťovní - príjmy (v tis. eur)</w:t>
            </w:r>
          </w:p>
        </w:tc>
        <w:tc>
          <w:tcPr>
            <w:tcW w:w="4677" w:type="dxa"/>
            <w:gridSpan w:val="4"/>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zdravotných poisťovní (cash)</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vMerge/>
            <w:tcBorders>
              <w:top w:val="none" w:sz="0" w:space="0" w:color="auto"/>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u w:val="single"/>
              </w:rPr>
            </w:pP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938</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2 418</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150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Poistné</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938</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2 418</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154</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Zdravotné poistenie</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938</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2 418</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170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Sankcie súvisiace so zdravotným poistením a sociálnym poistením</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i/>
                <w:iCs/>
                <w:color w:val="000000"/>
              </w:rPr>
            </w:pPr>
            <w:r>
              <w:rPr>
                <w:rFonts w:ascii="Times New Roman" w:hAnsi="Times New Roman"/>
                <w:i/>
                <w:iCs/>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3445"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c>
          <w:tcPr>
            <w:tcW w:w="1170" w:type="dxa"/>
            <w:tcBorders>
              <w:top w:val="nil"/>
              <w:left w:val="nil"/>
              <w:bottom w:val="nil"/>
              <w:right w:val="nil"/>
            </w:tcBorders>
            <w:noWrap/>
            <w:textDirection w:val="lrTb"/>
            <w:vAlign w:val="bottom"/>
            <w:hideMark/>
          </w:tcPr>
          <w:p w:rsidR="007264D7" w:rsidRPr="00323053" w:rsidP="007264D7">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vMerge w:val="restart"/>
            <w:tcBorders>
              <w:top w:val="single" w:sz="4" w:space="0" w:color="auto"/>
              <w:left w:val="nil"/>
              <w:bottom w:val="none" w:sz="0" w:space="0" w:color="auto"/>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u w:val="single"/>
              </w:rPr>
              <w:t>Rozpočet verejnej správy - príjmy (v tis. eur)</w:t>
            </w:r>
          </w:p>
        </w:tc>
        <w:tc>
          <w:tcPr>
            <w:tcW w:w="4677" w:type="dxa"/>
            <w:gridSpan w:val="4"/>
            <w:tcBorders>
              <w:top w:val="single" w:sz="4" w:space="0" w:color="auto"/>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Vplyv na rozpočet verejnej správy (cash)</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rPr>
            </w:pPr>
            <w:r w:rsidRPr="00323053">
              <w:rPr>
                <w:rFonts w:ascii="Times New Roman" w:hAnsi="Times New Roman"/>
                <w:b/>
                <w:bCs/>
                <w:color w:val="FFFFFF"/>
              </w:rPr>
              <w:t> </w:t>
            </w:r>
          </w:p>
        </w:tc>
        <w:tc>
          <w:tcPr>
            <w:tcW w:w="3445" w:type="dxa"/>
            <w:vMerge/>
            <w:tcBorders>
              <w:top w:val="none" w:sz="0" w:space="0" w:color="auto"/>
              <w:left w:val="nil"/>
              <w:bottom w:val="nil"/>
              <w:right w:val="nil"/>
            </w:tcBorders>
            <w:shd w:val="clear" w:color="000000" w:fill="000000"/>
            <w:noWrap/>
            <w:textDirection w:val="lrTb"/>
            <w:vAlign w:val="bottom"/>
            <w:hideMark/>
          </w:tcPr>
          <w:p w:rsidR="007264D7" w:rsidRPr="00323053" w:rsidP="007264D7">
            <w:pPr>
              <w:bidi w:val="0"/>
              <w:rPr>
                <w:rFonts w:ascii="Times New Roman" w:hAnsi="Times New Roman"/>
                <w:b/>
                <w:bCs/>
                <w:color w:val="FFFFFF"/>
                <w:u w:val="single"/>
              </w:rPr>
            </w:pP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2010</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2011</w:t>
            </w:r>
          </w:p>
        </w:tc>
        <w:tc>
          <w:tcPr>
            <w:tcW w:w="1169"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2012</w:t>
            </w:r>
          </w:p>
        </w:tc>
        <w:tc>
          <w:tcPr>
            <w:tcW w:w="1170" w:type="dxa"/>
            <w:tcBorders>
              <w:top w:val="nil"/>
              <w:left w:val="nil"/>
              <w:bottom w:val="nil"/>
              <w:right w:val="nil"/>
            </w:tcBorders>
            <w:shd w:val="clear" w:color="000000" w:fill="000000"/>
            <w:noWrap/>
            <w:textDirection w:val="lrTb"/>
            <w:vAlign w:val="bottom"/>
            <w:hideMark/>
          </w:tcPr>
          <w:p w:rsidR="007264D7" w:rsidRPr="00323053" w:rsidP="007264D7">
            <w:pPr>
              <w:bidi w:val="0"/>
              <w:jc w:val="center"/>
              <w:rPr>
                <w:rFonts w:ascii="Times New Roman" w:hAnsi="Times New Roman"/>
                <w:b/>
                <w:bCs/>
                <w:color w:val="FFFFFF"/>
              </w:rPr>
            </w:pPr>
            <w:r w:rsidRPr="00323053">
              <w:rPr>
                <w:rFonts w:ascii="Times New Roman" w:hAnsi="Times New Roman"/>
                <w:b/>
                <w:bCs/>
                <w:color w:val="FFFFFF"/>
              </w:rPr>
              <w:t>2013</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b/>
                <w:bCs/>
                <w:color w:val="000000"/>
              </w:rPr>
            </w:pPr>
            <w:r w:rsidRPr="00323053">
              <w:rPr>
                <w:rFonts w:ascii="Times New Roman" w:hAnsi="Times New Roman"/>
                <w:b/>
                <w:bCs/>
                <w:color w:val="000000"/>
              </w:rPr>
              <w:t>0</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64</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134 795</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146 485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64</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131 985</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139 236</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64</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96 667</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98 638</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112</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právnickej osoby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35 318</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40 598</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113</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príjmov vyberaná zrážkou</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131</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Daň z pridanej hodnoty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132</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Spotrebné dane</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133</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Dane za špecifické služby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139</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Iné dane za tovary a služby</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150</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i/>
                <w:iCs/>
                <w:color w:val="000000"/>
              </w:rPr>
            </w:pPr>
            <w:r w:rsidRPr="00323053">
              <w:rPr>
                <w:rFonts w:ascii="Times New Roman" w:hAnsi="Times New Roman"/>
                <w:i/>
                <w:iCs/>
                <w:color w:val="000000"/>
              </w:rPr>
              <w:t>Poistné</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i/>
                <w:iCs/>
                <w:color w:val="000000"/>
              </w:rPr>
            </w:pPr>
            <w:r w:rsidRPr="00323053">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2 810</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7 249</w:t>
            </w:r>
          </w:p>
        </w:tc>
      </w:tr>
      <w:tr>
        <w:tblPrEx>
          <w:tblW w:w="9082" w:type="dxa"/>
          <w:tblInd w:w="60" w:type="dxa"/>
          <w:tblLayout w:type="fixed"/>
          <w:tblCellMar>
            <w:left w:w="70" w:type="dxa"/>
            <w:right w:w="70" w:type="dxa"/>
          </w:tblCellMar>
          <w:tblLook w:val="04A0"/>
        </w:tblPrEx>
        <w:trPr>
          <w:trHeight w:val="450"/>
        </w:trPr>
        <w:tc>
          <w:tcPr>
            <w:tcW w:w="960" w:type="dxa"/>
            <w:tcBorders>
              <w:top w:val="nil"/>
              <w:left w:val="single" w:sz="4" w:space="0" w:color="auto"/>
              <w:bottom w:val="single" w:sz="4" w:space="0" w:color="auto"/>
              <w:right w:val="single" w:sz="4" w:space="0" w:color="auto"/>
            </w:tcBorders>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151-153, 155-158</w:t>
            </w:r>
          </w:p>
        </w:tc>
        <w:tc>
          <w:tcPr>
            <w:tcW w:w="3445" w:type="dxa"/>
            <w:tcBorders>
              <w:top w:val="nil"/>
              <w:left w:val="nil"/>
              <w:bottom w:val="single" w:sz="4" w:space="0" w:color="auto"/>
              <w:right w:val="single" w:sz="4" w:space="0" w:color="auto"/>
            </w:tcBorders>
            <w:noWrap/>
            <w:textDirection w:val="lrTb"/>
            <w:vAlign w:val="center"/>
            <w:hideMark/>
          </w:tcPr>
          <w:p w:rsidR="007264D7" w:rsidRPr="00323053" w:rsidP="007264D7">
            <w:pPr>
              <w:bidi w:val="0"/>
              <w:rPr>
                <w:rFonts w:ascii="Times New Roman" w:hAnsi="Times New Roman"/>
                <w:color w:val="000000"/>
              </w:rPr>
            </w:pPr>
            <w:r w:rsidRPr="00323053">
              <w:rPr>
                <w:rFonts w:ascii="Times New Roman" w:hAnsi="Times New Roman"/>
                <w:color w:val="000000"/>
              </w:rPr>
              <w:t>Sociálne poistenie</w:t>
            </w:r>
          </w:p>
        </w:tc>
        <w:tc>
          <w:tcPr>
            <w:tcW w:w="1169" w:type="dxa"/>
            <w:tcBorders>
              <w:top w:val="nil"/>
              <w:left w:val="nil"/>
              <w:bottom w:val="single" w:sz="4" w:space="0" w:color="auto"/>
              <w:right w:val="single" w:sz="4" w:space="0" w:color="auto"/>
            </w:tcBorders>
            <w:noWrap/>
            <w:textDirection w:val="lrTb"/>
            <w:vAlign w:val="center"/>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1 873</w:t>
            </w:r>
          </w:p>
        </w:tc>
        <w:tc>
          <w:tcPr>
            <w:tcW w:w="1170" w:type="dxa"/>
            <w:tcBorders>
              <w:top w:val="nil"/>
              <w:left w:val="nil"/>
              <w:bottom w:val="single" w:sz="4" w:space="0" w:color="auto"/>
              <w:right w:val="single" w:sz="4" w:space="0" w:color="auto"/>
            </w:tcBorders>
            <w:noWrap/>
            <w:textDirection w:val="lrTb"/>
            <w:vAlign w:val="center"/>
            <w:hideMark/>
          </w:tcPr>
          <w:p w:rsidR="007264D7" w:rsidP="007264D7">
            <w:pPr>
              <w:bidi w:val="0"/>
              <w:jc w:val="right"/>
              <w:rPr>
                <w:rFonts w:ascii="Times New Roman" w:hAnsi="Times New Roman"/>
                <w:color w:val="000000"/>
              </w:rPr>
            </w:pPr>
            <w:r>
              <w:rPr>
                <w:rFonts w:ascii="Times New Roman" w:hAnsi="Times New Roman"/>
                <w:color w:val="000000"/>
              </w:rPr>
              <w:t>4 831</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154</w:t>
            </w:r>
          </w:p>
        </w:tc>
        <w:tc>
          <w:tcPr>
            <w:tcW w:w="3445" w:type="dxa"/>
            <w:tcBorders>
              <w:top w:val="nil"/>
              <w:left w:val="nil"/>
              <w:bottom w:val="single" w:sz="4" w:space="0" w:color="auto"/>
              <w:right w:val="single" w:sz="4" w:space="0" w:color="auto"/>
            </w:tcBorders>
            <w:noWrap/>
            <w:textDirection w:val="lrTb"/>
            <w:vAlign w:val="bottom"/>
            <w:hideMark/>
          </w:tcPr>
          <w:p w:rsidR="007264D7" w:rsidRPr="00323053" w:rsidP="007264D7">
            <w:pPr>
              <w:bidi w:val="0"/>
              <w:rPr>
                <w:rFonts w:ascii="Times New Roman" w:hAnsi="Times New Roman"/>
                <w:color w:val="000000"/>
              </w:rPr>
            </w:pPr>
            <w:r w:rsidRPr="00323053">
              <w:rPr>
                <w:rFonts w:ascii="Times New Roman" w:hAnsi="Times New Roman"/>
                <w:color w:val="000000"/>
              </w:rPr>
              <w:t>Zdravotné poistenie</w:t>
            </w:r>
          </w:p>
        </w:tc>
        <w:tc>
          <w:tcPr>
            <w:tcW w:w="1169" w:type="dxa"/>
            <w:tcBorders>
              <w:top w:val="nil"/>
              <w:left w:val="nil"/>
              <w:bottom w:val="single" w:sz="4" w:space="0" w:color="auto"/>
              <w:right w:val="single" w:sz="4" w:space="0" w:color="auto"/>
            </w:tcBorders>
            <w:noWrap/>
            <w:textDirection w:val="lrTb"/>
            <w:vAlign w:val="bottom"/>
            <w:hideMark/>
          </w:tcPr>
          <w:p w:rsidR="007264D7" w:rsidRPr="00323053" w:rsidP="007264D7">
            <w:pPr>
              <w:bidi w:val="0"/>
              <w:jc w:val="right"/>
              <w:rPr>
                <w:rFonts w:ascii="Times New Roman" w:hAnsi="Times New Roman"/>
                <w:color w:val="000000"/>
              </w:rPr>
            </w:pPr>
            <w:r w:rsidRPr="00323053">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1169"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938</w:t>
            </w:r>
          </w:p>
        </w:tc>
        <w:tc>
          <w:tcPr>
            <w:tcW w:w="1170"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2 418</w:t>
            </w:r>
          </w:p>
        </w:tc>
      </w:tr>
    </w:tbl>
    <w:p w:rsidR="007264D7" w:rsidRPr="00323053" w:rsidP="007264D7">
      <w:pPr>
        <w:tabs>
          <w:tab w:val="left" w:pos="851"/>
        </w:tabs>
        <w:autoSpaceDE w:val="0"/>
        <w:autoSpaceDN w:val="0"/>
        <w:bidi w:val="0"/>
        <w:adjustRightInd w:val="0"/>
        <w:jc w:val="both"/>
        <w:rPr>
          <w:rStyle w:val="PlaceholderText"/>
          <w:i/>
          <w:color w:val="000000"/>
        </w:rPr>
      </w:pPr>
    </w:p>
    <w:p w:rsidR="007264D7" w:rsidRPr="00323053" w:rsidP="007264D7">
      <w:pPr>
        <w:autoSpaceDE w:val="0"/>
        <w:autoSpaceDN w:val="0"/>
        <w:bidi w:val="0"/>
        <w:adjustRightInd w:val="0"/>
        <w:jc w:val="both"/>
        <w:rPr>
          <w:rFonts w:ascii="Times New Roman" w:hAnsi="Times New Roman"/>
          <w:b/>
        </w:rPr>
      </w:pPr>
    </w:p>
    <w:p w:rsidR="007264D7" w:rsidRPr="00323053" w:rsidP="007264D7">
      <w:pPr>
        <w:autoSpaceDE w:val="0"/>
        <w:autoSpaceDN w:val="0"/>
        <w:bidi w:val="0"/>
        <w:adjustRightInd w:val="0"/>
        <w:jc w:val="both"/>
        <w:rPr>
          <w:rFonts w:ascii="Times New Roman" w:hAnsi="Times New Roman"/>
          <w:b/>
        </w:rPr>
      </w:pPr>
      <w:r w:rsidRPr="00323053">
        <w:rPr>
          <w:rFonts w:ascii="Times New Roman" w:hAnsi="Times New Roman"/>
          <w:b/>
        </w:rPr>
        <w:t>Kvantifikácia výdavkov</w:t>
      </w:r>
    </w:p>
    <w:p w:rsidR="007264D7" w:rsidRPr="00323053" w:rsidP="007264D7">
      <w:pPr>
        <w:autoSpaceDE w:val="0"/>
        <w:autoSpaceDN w:val="0"/>
        <w:bidi w:val="0"/>
        <w:adjustRightInd w:val="0"/>
        <w:ind w:left="360"/>
        <w:jc w:val="both"/>
        <w:rPr>
          <w:rFonts w:ascii="Times New Roman" w:hAnsi="Times New Roman"/>
        </w:rPr>
      </w:pPr>
    </w:p>
    <w:p w:rsidR="007264D7" w:rsidRPr="00323053" w:rsidP="007264D7">
      <w:pPr>
        <w:autoSpaceDE w:val="0"/>
        <w:autoSpaceDN w:val="0"/>
        <w:bidi w:val="0"/>
        <w:adjustRightInd w:val="0"/>
        <w:jc w:val="both"/>
        <w:rPr>
          <w:rFonts w:ascii="Times New Roman" w:hAnsi="Times New Roman"/>
        </w:rPr>
      </w:pPr>
      <w:r w:rsidRPr="00323053">
        <w:rPr>
          <w:rFonts w:ascii="Times New Roman" w:hAnsi="Times New Roman"/>
        </w:rPr>
        <w:t>Prijatie opatrení v oblasti dani z príjmov nebude mať priamy vplyv na zmenu výdavkov rozpočtu verejnej správy, nakoľko neexistuje žiadny vzťah medzi zaplatenou daňou a nejakou službou/benefitom zo strany štátu.</w:t>
      </w:r>
    </w:p>
    <w:p w:rsidR="007264D7" w:rsidRPr="00323053" w:rsidP="007264D7">
      <w:pPr>
        <w:autoSpaceDE w:val="0"/>
        <w:autoSpaceDN w:val="0"/>
        <w:bidi w:val="0"/>
        <w:adjustRightInd w:val="0"/>
        <w:jc w:val="both"/>
        <w:rPr>
          <w:rFonts w:ascii="Times New Roman" w:hAnsi="Times New Roman"/>
        </w:rPr>
      </w:pPr>
    </w:p>
    <w:p w:rsidR="007264D7" w:rsidRPr="00323053" w:rsidP="007264D7">
      <w:pPr>
        <w:autoSpaceDE w:val="0"/>
        <w:autoSpaceDN w:val="0"/>
        <w:bidi w:val="0"/>
        <w:adjustRightInd w:val="0"/>
        <w:jc w:val="both"/>
        <w:rPr>
          <w:rFonts w:ascii="Times New Roman" w:hAnsi="Times New Roman"/>
        </w:rPr>
      </w:pPr>
      <w:r w:rsidRPr="00323053">
        <w:rPr>
          <w:rFonts w:ascii="Times New Roman" w:hAnsi="Times New Roman"/>
        </w:rPr>
        <w:t>Z dôvodu vyšších príjmov na sociálne poistenie bol kvantifikovaný vplyv na tvorbu správneho fondu Sociálnej poisťovne vo výške 2,9% z prijatého poistného a 0,5% z postúpených príspevkov na starobné dôchodkové sporenie, pričom v uvedenej výške sa očakáva nárast výdavkov Sociálnej poisťovne. Vplyv na dávky zo sociálneho zabezpečenia sa očakáva na zanedbateľnej úrovni.</w:t>
      </w:r>
    </w:p>
    <w:p w:rsidR="007264D7" w:rsidRPr="00323053" w:rsidP="007264D7">
      <w:pPr>
        <w:autoSpaceDE w:val="0"/>
        <w:autoSpaceDN w:val="0"/>
        <w:bidi w:val="0"/>
        <w:adjustRightInd w:val="0"/>
        <w:jc w:val="both"/>
        <w:rPr>
          <w:rFonts w:ascii="Times New Roman" w:hAnsi="Times New Roman"/>
        </w:rPr>
      </w:pPr>
    </w:p>
    <w:p w:rsidR="007264D7" w:rsidRPr="00323053" w:rsidP="007264D7">
      <w:pPr>
        <w:autoSpaceDE w:val="0"/>
        <w:autoSpaceDN w:val="0"/>
        <w:bidi w:val="0"/>
        <w:adjustRightInd w:val="0"/>
        <w:jc w:val="both"/>
        <w:rPr>
          <w:rFonts w:ascii="Times New Roman" w:hAnsi="Times New Roman"/>
        </w:rPr>
      </w:pPr>
      <w:r w:rsidRPr="00323053">
        <w:rPr>
          <w:rFonts w:ascii="Times New Roman" w:hAnsi="Times New Roman"/>
        </w:rPr>
        <w:t>Aj keď neexistuje priamy vplyv prijatých opatrení na výdavky zdravotných poisťovní, na základe historických skúseností je potrebné uvažovať s možnosťou, že vyššie príjmy budú použité na financovanie zdravotnej starostlivosti, t.j. dôjde k adekvátnemu nárastu výdavkov verejnej správy.</w:t>
      </w:r>
    </w:p>
    <w:p w:rsidR="007264D7" w:rsidRPr="00323053" w:rsidP="007264D7">
      <w:pPr>
        <w:autoSpaceDE w:val="0"/>
        <w:autoSpaceDN w:val="0"/>
        <w:bidi w:val="0"/>
        <w:adjustRightInd w:val="0"/>
        <w:jc w:val="both"/>
        <w:rPr>
          <w:rFonts w:ascii="Times New Roman" w:hAnsi="Times New Roman"/>
        </w:rPr>
      </w:pPr>
    </w:p>
    <w:p w:rsidR="007264D7" w:rsidRPr="00323053" w:rsidP="007264D7">
      <w:pPr>
        <w:autoSpaceDE w:val="0"/>
        <w:autoSpaceDN w:val="0"/>
        <w:bidi w:val="0"/>
        <w:adjustRightInd w:val="0"/>
        <w:jc w:val="both"/>
        <w:rPr>
          <w:rFonts w:ascii="Times New Roman" w:hAnsi="Times New Roman"/>
        </w:rPr>
      </w:pPr>
    </w:p>
    <w:tbl>
      <w:tblPr>
        <w:tblStyle w:val="TableNormal"/>
        <w:tblW w:w="9212" w:type="dxa"/>
        <w:jc w:val="center"/>
        <w:tblLayout w:type="fixed"/>
        <w:tblCellMar>
          <w:left w:w="70" w:type="dxa"/>
          <w:right w:w="70" w:type="dxa"/>
        </w:tblCellMar>
        <w:tblLook w:val="04A0"/>
      </w:tblPr>
      <w:tblGrid>
        <w:gridCol w:w="753"/>
        <w:gridCol w:w="4650"/>
        <w:gridCol w:w="952"/>
        <w:gridCol w:w="952"/>
        <w:gridCol w:w="952"/>
        <w:gridCol w:w="953"/>
      </w:tblGrid>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val="restart"/>
            <w:tcBorders>
              <w:top w:val="single" w:sz="4" w:space="0" w:color="auto"/>
              <w:left w:val="nil"/>
              <w:bottom w:val="none" w:sz="0" w:space="0" w:color="auto"/>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r w:rsidRPr="00A85981">
              <w:rPr>
                <w:rFonts w:ascii="Times New Roman" w:hAnsi="Times New Roman"/>
                <w:b/>
                <w:bCs/>
                <w:color w:val="FFFFFF"/>
                <w:u w:val="single"/>
              </w:rPr>
              <w:t>Štátny rozpočet (MPSVaR) - výdavky (v tis. eur)</w:t>
            </w:r>
          </w:p>
        </w:tc>
        <w:tc>
          <w:tcPr>
            <w:tcW w:w="3809" w:type="dxa"/>
            <w:gridSpan w:val="4"/>
            <w:tcBorders>
              <w:top w:val="single" w:sz="4" w:space="0" w:color="auto"/>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Vplyv na štátny rozpočet (ESA95)</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tcBorders>
              <w:top w:val="none" w:sz="0" w:space="0" w:color="auto"/>
              <w:left w:val="nil"/>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u w:val="single"/>
              </w:rPr>
            </w:pP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2010</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2011</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2012</w:t>
            </w:r>
          </w:p>
        </w:tc>
        <w:tc>
          <w:tcPr>
            <w:tcW w:w="953"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600</w:t>
            </w:r>
          </w:p>
        </w:tc>
        <w:tc>
          <w:tcPr>
            <w:tcW w:w="4650"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b/>
                <w:bCs/>
                <w:color w:val="000000"/>
              </w:rPr>
            </w:pPr>
            <w:r w:rsidRPr="00A85981">
              <w:rPr>
                <w:rFonts w:ascii="Times New Roman" w:hAnsi="Times New Roman"/>
                <w:b/>
                <w:bCs/>
                <w:color w:val="000000"/>
              </w:rPr>
              <w:t>Bežné výdavky</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0</w:t>
            </w:r>
          </w:p>
        </w:tc>
        <w:tc>
          <w:tcPr>
            <w:tcW w:w="953"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640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Bežné transfery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641</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v rámci verejnej správy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642</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jednotlivcom a neziskovým právnickým osobám</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4650"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3"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r w:rsidRPr="00A85981">
              <w:rPr>
                <w:rFonts w:ascii="Times New Roman" w:hAnsi="Times New Roman"/>
                <w:b/>
                <w:bCs/>
                <w:color w:val="FFFFFF"/>
                <w:u w:val="single"/>
              </w:rPr>
              <w:t>Rozpočet obcí - výdavky (v tis. eur)</w:t>
            </w:r>
          </w:p>
        </w:tc>
        <w:tc>
          <w:tcPr>
            <w:tcW w:w="3809" w:type="dxa"/>
            <w:gridSpan w:val="4"/>
            <w:tcBorders>
              <w:top w:val="single" w:sz="4" w:space="0" w:color="auto"/>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Vplyv na rozpočet obcí (ESA95)</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tcBorders>
              <w:top w:val="none" w:sz="0" w:space="0" w:color="auto"/>
              <w:left w:val="nil"/>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u w:val="single"/>
              </w:rPr>
            </w:pP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2010</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2011</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2012</w:t>
            </w:r>
          </w:p>
        </w:tc>
        <w:tc>
          <w:tcPr>
            <w:tcW w:w="953"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600</w:t>
            </w:r>
          </w:p>
        </w:tc>
        <w:tc>
          <w:tcPr>
            <w:tcW w:w="4650"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b/>
                <w:bCs/>
                <w:color w:val="000000"/>
              </w:rPr>
            </w:pPr>
            <w:r w:rsidRPr="00A85981">
              <w:rPr>
                <w:rFonts w:ascii="Times New Roman" w:hAnsi="Times New Roman"/>
                <w:b/>
                <w:bCs/>
                <w:color w:val="000000"/>
              </w:rPr>
              <w:t>Bežné výdavky</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17 040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17 132</w:t>
            </w:r>
          </w:p>
        </w:tc>
        <w:tc>
          <w:tcPr>
            <w:tcW w:w="953"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17 224</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630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Tovary a služby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17 040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17 132</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17 224</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640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Bežné transfery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641</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v rámci verejnej správy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642</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jednotlivcom a neziskovým právnickým osobám</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4650"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3"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r w:rsidRPr="00A85981">
              <w:rPr>
                <w:rFonts w:ascii="Times New Roman" w:hAnsi="Times New Roman"/>
                <w:b/>
                <w:bCs/>
                <w:color w:val="FFFFFF"/>
                <w:u w:val="single"/>
              </w:rPr>
              <w:t>Rozpočet VÚC - výdavky (v tis. eur)</w:t>
            </w:r>
          </w:p>
        </w:tc>
        <w:tc>
          <w:tcPr>
            <w:tcW w:w="3809" w:type="dxa"/>
            <w:gridSpan w:val="4"/>
            <w:tcBorders>
              <w:top w:val="single" w:sz="4" w:space="0" w:color="auto"/>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Vplyv na rozpočet VÚC (ESA95)</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tcBorders>
              <w:top w:val="none" w:sz="0" w:space="0" w:color="auto"/>
              <w:left w:val="nil"/>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u w:val="single"/>
              </w:rPr>
            </w:pP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2010</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2011</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2012</w:t>
            </w:r>
          </w:p>
        </w:tc>
        <w:tc>
          <w:tcPr>
            <w:tcW w:w="953"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600</w:t>
            </w:r>
          </w:p>
        </w:tc>
        <w:tc>
          <w:tcPr>
            <w:tcW w:w="4650"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b/>
                <w:bCs/>
                <w:color w:val="000000"/>
              </w:rPr>
            </w:pPr>
            <w:r w:rsidRPr="00A85981">
              <w:rPr>
                <w:rFonts w:ascii="Times New Roman" w:hAnsi="Times New Roman"/>
                <w:b/>
                <w:bCs/>
                <w:color w:val="000000"/>
              </w:rPr>
              <w:t>Bežné výdavky</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1 368</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1 444</w:t>
            </w:r>
          </w:p>
        </w:tc>
        <w:tc>
          <w:tcPr>
            <w:tcW w:w="953"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1 520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630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Tovary a služby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1 368</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1 444</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1 520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640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Bežné transfery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641</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v rámci verejnej správy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642</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jednotlivcom a neziskovým právnickým osobám</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4650"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3"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r w:rsidRPr="00A85981">
              <w:rPr>
                <w:rFonts w:ascii="Times New Roman" w:hAnsi="Times New Roman"/>
                <w:b/>
                <w:bCs/>
                <w:color w:val="FFFFFF"/>
                <w:u w:val="single"/>
              </w:rPr>
              <w:t>Rozpočet Sociálnej poisťovne - výdavky (v tis. eur)</w:t>
            </w:r>
          </w:p>
        </w:tc>
        <w:tc>
          <w:tcPr>
            <w:tcW w:w="3809" w:type="dxa"/>
            <w:gridSpan w:val="4"/>
            <w:tcBorders>
              <w:top w:val="single" w:sz="4" w:space="0" w:color="auto"/>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Vplyv na rozpočet Sociálnej poisťovne (ESA95)</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tcBorders>
              <w:top w:val="none" w:sz="0" w:space="0" w:color="auto"/>
              <w:left w:val="nil"/>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u w:val="single"/>
              </w:rPr>
            </w:pP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2010</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2011</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2012</w:t>
            </w:r>
          </w:p>
        </w:tc>
        <w:tc>
          <w:tcPr>
            <w:tcW w:w="953"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600</w:t>
            </w:r>
          </w:p>
        </w:tc>
        <w:tc>
          <w:tcPr>
            <w:tcW w:w="4650"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b/>
                <w:bCs/>
                <w:color w:val="000000"/>
              </w:rPr>
            </w:pPr>
            <w:r w:rsidRPr="00A85981">
              <w:rPr>
                <w:rFonts w:ascii="Times New Roman" w:hAnsi="Times New Roman"/>
                <w:b/>
                <w:bCs/>
                <w:color w:val="000000"/>
              </w:rPr>
              <w:t>Bežné výdavky</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62</w:t>
            </w:r>
          </w:p>
        </w:tc>
        <w:tc>
          <w:tcPr>
            <w:tcW w:w="953"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148</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630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Tovary a služby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62</w:t>
            </w:r>
          </w:p>
        </w:tc>
        <w:tc>
          <w:tcPr>
            <w:tcW w:w="953"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148</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640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Bežné transfery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641</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v rámci verejnej správy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953"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642</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jednotlivcom a neziskovým právnickým osobám</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4650"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c>
          <w:tcPr>
            <w:tcW w:w="953" w:type="dxa"/>
            <w:tcBorders>
              <w:top w:val="nil"/>
              <w:left w:val="nil"/>
              <w:bottom w:val="nil"/>
              <w:right w:val="nil"/>
            </w:tcBorders>
            <w:noWrap/>
            <w:textDirection w:val="lrTb"/>
            <w:vAlign w:val="bottom"/>
            <w:hideMark/>
          </w:tcPr>
          <w:p w:rsidR="007264D7" w:rsidRPr="00A85981" w:rsidP="007264D7">
            <w:pPr>
              <w:bidi w:val="0"/>
              <w:rPr>
                <w:rFonts w:ascii="Times New Roman" w:hAnsi="Times New Roman"/>
                <w:color w:val="000000"/>
              </w:rPr>
            </w:pP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r w:rsidRPr="00A85981">
              <w:rPr>
                <w:rFonts w:ascii="Times New Roman" w:hAnsi="Times New Roman"/>
                <w:b/>
                <w:bCs/>
                <w:color w:val="FFFFFF"/>
                <w:u w:val="single"/>
              </w:rPr>
              <w:t>Rozpočet verejnej správy - výdavky (v tis. eur)</w:t>
            </w:r>
          </w:p>
        </w:tc>
        <w:tc>
          <w:tcPr>
            <w:tcW w:w="3809" w:type="dxa"/>
            <w:gridSpan w:val="4"/>
            <w:tcBorders>
              <w:top w:val="single" w:sz="4" w:space="0" w:color="auto"/>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Vplyv na rozpočet verejnej správy (ESA95)</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rPr>
            </w:pPr>
            <w:r w:rsidRPr="00A85981">
              <w:rPr>
                <w:rFonts w:ascii="Times New Roman" w:hAnsi="Times New Roman"/>
                <w:b/>
                <w:bCs/>
                <w:color w:val="FFFFFF"/>
              </w:rPr>
              <w:t> </w:t>
            </w:r>
          </w:p>
        </w:tc>
        <w:tc>
          <w:tcPr>
            <w:tcW w:w="4650" w:type="dxa"/>
            <w:vMerge/>
            <w:tcBorders>
              <w:top w:val="none" w:sz="0" w:space="0" w:color="auto"/>
              <w:left w:val="nil"/>
              <w:bottom w:val="nil"/>
              <w:right w:val="nil"/>
            </w:tcBorders>
            <w:shd w:val="clear" w:color="000000" w:fill="000000"/>
            <w:noWrap/>
            <w:textDirection w:val="lrTb"/>
            <w:vAlign w:val="bottom"/>
            <w:hideMark/>
          </w:tcPr>
          <w:p w:rsidR="007264D7" w:rsidRPr="00A85981" w:rsidP="007264D7">
            <w:pPr>
              <w:bidi w:val="0"/>
              <w:rPr>
                <w:rFonts w:ascii="Times New Roman" w:hAnsi="Times New Roman"/>
                <w:b/>
                <w:bCs/>
                <w:color w:val="FFFFFF"/>
                <w:u w:val="single"/>
              </w:rPr>
            </w:pP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2010</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2011</w:t>
            </w:r>
          </w:p>
        </w:tc>
        <w:tc>
          <w:tcPr>
            <w:tcW w:w="952"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2012</w:t>
            </w:r>
          </w:p>
        </w:tc>
        <w:tc>
          <w:tcPr>
            <w:tcW w:w="953" w:type="dxa"/>
            <w:tcBorders>
              <w:top w:val="nil"/>
              <w:left w:val="nil"/>
              <w:bottom w:val="nil"/>
              <w:right w:val="nil"/>
            </w:tcBorders>
            <w:shd w:val="clear" w:color="000000" w:fill="000000"/>
            <w:noWrap/>
            <w:textDirection w:val="lrTb"/>
            <w:vAlign w:val="bottom"/>
            <w:hideMark/>
          </w:tcPr>
          <w:p w:rsidR="007264D7" w:rsidRPr="00A85981" w:rsidP="007264D7">
            <w:pPr>
              <w:bidi w:val="0"/>
              <w:jc w:val="center"/>
              <w:rPr>
                <w:rFonts w:ascii="Times New Roman" w:hAnsi="Times New Roman"/>
                <w:b/>
                <w:bCs/>
                <w:color w:val="FFFFFF"/>
              </w:rPr>
            </w:pPr>
            <w:r w:rsidRPr="00A85981">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600</w:t>
            </w:r>
          </w:p>
        </w:tc>
        <w:tc>
          <w:tcPr>
            <w:tcW w:w="4650"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b/>
                <w:bCs/>
                <w:color w:val="000000"/>
              </w:rPr>
            </w:pPr>
            <w:r w:rsidRPr="00A85981">
              <w:rPr>
                <w:rFonts w:ascii="Times New Roman" w:hAnsi="Times New Roman"/>
                <w:b/>
                <w:bCs/>
                <w:color w:val="000000"/>
              </w:rPr>
              <w:t>Bežné výdavky</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b/>
                <w:bCs/>
                <w:color w:val="000000"/>
              </w:rPr>
            </w:pPr>
            <w:r w:rsidRPr="00A85981">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18 470</w:t>
            </w:r>
          </w:p>
        </w:tc>
        <w:tc>
          <w:tcPr>
            <w:tcW w:w="953"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18 724</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630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Tovary a služby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18 470</w:t>
            </w:r>
          </w:p>
        </w:tc>
        <w:tc>
          <w:tcPr>
            <w:tcW w:w="953"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18 724</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640</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i/>
                <w:iCs/>
                <w:color w:val="000000"/>
              </w:rPr>
            </w:pPr>
            <w:r w:rsidRPr="00A85981">
              <w:rPr>
                <w:rFonts w:ascii="Times New Roman" w:hAnsi="Times New Roman"/>
                <w:i/>
                <w:iCs/>
                <w:color w:val="000000"/>
              </w:rPr>
              <w:t>Bežné transfery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i/>
                <w:iCs/>
                <w:color w:val="000000"/>
              </w:rPr>
            </w:pPr>
            <w:r w:rsidRPr="00A85981">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641</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v rámci verejnej správy</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642</w:t>
            </w:r>
          </w:p>
        </w:tc>
        <w:tc>
          <w:tcPr>
            <w:tcW w:w="4650" w:type="dxa"/>
            <w:tcBorders>
              <w:top w:val="nil"/>
              <w:left w:val="nil"/>
              <w:bottom w:val="single" w:sz="4" w:space="0" w:color="auto"/>
              <w:right w:val="single" w:sz="4" w:space="0" w:color="auto"/>
            </w:tcBorders>
            <w:noWrap/>
            <w:textDirection w:val="lrTb"/>
            <w:vAlign w:val="bottom"/>
            <w:hideMark/>
          </w:tcPr>
          <w:p w:rsidR="007264D7" w:rsidRPr="00A85981" w:rsidP="007264D7">
            <w:pPr>
              <w:bidi w:val="0"/>
              <w:rPr>
                <w:rFonts w:ascii="Times New Roman" w:hAnsi="Times New Roman"/>
                <w:color w:val="000000"/>
              </w:rPr>
            </w:pPr>
            <w:r w:rsidRPr="00A85981">
              <w:rPr>
                <w:rFonts w:ascii="Times New Roman" w:hAnsi="Times New Roman"/>
                <w:color w:val="000000"/>
              </w:rPr>
              <w:t>Transfery jednotlivcom a neziskovým právnickým osobám</w:t>
            </w:r>
          </w:p>
        </w:tc>
        <w:tc>
          <w:tcPr>
            <w:tcW w:w="952" w:type="dxa"/>
            <w:tcBorders>
              <w:top w:val="nil"/>
              <w:left w:val="nil"/>
              <w:bottom w:val="single" w:sz="4" w:space="0" w:color="auto"/>
              <w:right w:val="single" w:sz="4" w:space="0" w:color="auto"/>
            </w:tcBorders>
            <w:noWrap/>
            <w:textDirection w:val="lrTb"/>
            <w:vAlign w:val="bottom"/>
            <w:hideMark/>
          </w:tcPr>
          <w:p w:rsidR="007264D7" w:rsidRPr="00A85981" w:rsidP="007264D7">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bl>
    <w:p w:rsidR="007264D7" w:rsidRPr="00323053" w:rsidP="007264D7">
      <w:pPr>
        <w:autoSpaceDE w:val="0"/>
        <w:autoSpaceDN w:val="0"/>
        <w:bidi w:val="0"/>
        <w:adjustRightInd w:val="0"/>
        <w:jc w:val="both"/>
        <w:rPr>
          <w:rFonts w:ascii="Times New Roman" w:hAnsi="Times New Roman"/>
          <w:bCs/>
        </w:rPr>
      </w:pPr>
    </w:p>
    <w:p w:rsidR="007264D7" w:rsidP="007264D7">
      <w:pPr>
        <w:autoSpaceDE w:val="0"/>
        <w:autoSpaceDN w:val="0"/>
        <w:bidi w:val="0"/>
        <w:adjustRightInd w:val="0"/>
        <w:jc w:val="both"/>
        <w:rPr>
          <w:rFonts w:ascii="Times New Roman" w:hAnsi="Times New Roman"/>
          <w:b/>
        </w:rPr>
      </w:pPr>
    </w:p>
    <w:tbl>
      <w:tblPr>
        <w:tblStyle w:val="TableNormal"/>
        <w:tblW w:w="9212" w:type="dxa"/>
        <w:jc w:val="center"/>
        <w:tblLayout w:type="fixed"/>
        <w:tblCellMar>
          <w:left w:w="70" w:type="dxa"/>
          <w:right w:w="70" w:type="dxa"/>
        </w:tblCellMar>
        <w:tblLook w:val="04A0"/>
      </w:tblPr>
      <w:tblGrid>
        <w:gridCol w:w="770"/>
        <w:gridCol w:w="4754"/>
        <w:gridCol w:w="922"/>
        <w:gridCol w:w="922"/>
        <w:gridCol w:w="922"/>
        <w:gridCol w:w="922"/>
      </w:tblGrid>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val="restart"/>
            <w:tcBorders>
              <w:top w:val="single" w:sz="4" w:space="0" w:color="auto"/>
              <w:left w:val="nil"/>
              <w:bottom w:val="none" w:sz="0" w:space="0" w:color="auto"/>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r w:rsidRPr="00B032FB">
              <w:rPr>
                <w:rFonts w:ascii="Times New Roman" w:hAnsi="Times New Roman"/>
                <w:b/>
                <w:bCs/>
                <w:color w:val="FFFFFF"/>
                <w:u w:val="single"/>
              </w:rPr>
              <w:t>Štátny rozpočet (MPSVaR) - výdavky (v tis. eur)</w:t>
            </w:r>
          </w:p>
        </w:tc>
        <w:tc>
          <w:tcPr>
            <w:tcW w:w="3688" w:type="dxa"/>
            <w:gridSpan w:val="4"/>
            <w:tcBorders>
              <w:top w:val="single" w:sz="4" w:space="0" w:color="auto"/>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Vplyv na štátny rozpočet (cash)</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tcBorders>
              <w:top w:val="none" w:sz="0" w:space="0" w:color="auto"/>
              <w:left w:val="nil"/>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u w:val="single"/>
              </w:rPr>
            </w:pP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2010</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2011</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2012</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600</w:t>
            </w:r>
          </w:p>
        </w:tc>
        <w:tc>
          <w:tcPr>
            <w:tcW w:w="4754"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b/>
                <w:bCs/>
                <w:color w:val="000000"/>
              </w:rPr>
            </w:pPr>
            <w:r w:rsidRPr="00B032FB">
              <w:rPr>
                <w:rFonts w:ascii="Times New Roman" w:hAnsi="Times New Roman"/>
                <w:b/>
                <w:bCs/>
                <w:color w:val="000000"/>
              </w:rPr>
              <w:t>Bežné výdavky</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640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Bežné transfery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641</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v rámci verejnej správy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642</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jednotlivcom a neziskovým právnickým osobám</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4754"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r w:rsidRPr="00B032FB">
              <w:rPr>
                <w:rFonts w:ascii="Times New Roman" w:hAnsi="Times New Roman"/>
                <w:b/>
                <w:bCs/>
                <w:color w:val="FFFFFF"/>
                <w:u w:val="single"/>
              </w:rPr>
              <w:t>Rozpočet obcí - výdavky (v tis. eur)</w:t>
            </w:r>
          </w:p>
        </w:tc>
        <w:tc>
          <w:tcPr>
            <w:tcW w:w="3688" w:type="dxa"/>
            <w:gridSpan w:val="4"/>
            <w:tcBorders>
              <w:top w:val="single" w:sz="4" w:space="0" w:color="auto"/>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Vplyv na rozpočet obcí (cash)</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tcBorders>
              <w:top w:val="none" w:sz="0" w:space="0" w:color="auto"/>
              <w:left w:val="nil"/>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u w:val="single"/>
              </w:rPr>
            </w:pP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2010</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2011</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2012</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600</w:t>
            </w:r>
          </w:p>
        </w:tc>
        <w:tc>
          <w:tcPr>
            <w:tcW w:w="4754"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b/>
                <w:bCs/>
                <w:color w:val="000000"/>
              </w:rPr>
            </w:pPr>
            <w:r w:rsidRPr="00B032FB">
              <w:rPr>
                <w:rFonts w:ascii="Times New Roman" w:hAnsi="Times New Roman"/>
                <w:b/>
                <w:bCs/>
                <w:color w:val="000000"/>
              </w:rPr>
              <w:t>Bežné výdavky</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17 040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17 132</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630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Tovary a služby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17 040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17 132</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640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Bežné transfery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641</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v rámci verejnej správy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642</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jednotlivcom a neziskovým právnickým osobám</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4754"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r w:rsidRPr="00B032FB">
              <w:rPr>
                <w:rFonts w:ascii="Times New Roman" w:hAnsi="Times New Roman"/>
                <w:b/>
                <w:bCs/>
                <w:color w:val="FFFFFF"/>
                <w:u w:val="single"/>
              </w:rPr>
              <w:t>Rozpočet VÚC - výdavky (v tis. eur)</w:t>
            </w:r>
          </w:p>
        </w:tc>
        <w:tc>
          <w:tcPr>
            <w:tcW w:w="3688" w:type="dxa"/>
            <w:gridSpan w:val="4"/>
            <w:tcBorders>
              <w:top w:val="single" w:sz="4" w:space="0" w:color="auto"/>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Vplyv na rozpočet VÚC (cash)</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tcBorders>
              <w:top w:val="none" w:sz="0" w:space="0" w:color="auto"/>
              <w:left w:val="nil"/>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u w:val="single"/>
              </w:rPr>
            </w:pP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2010</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2011</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2012</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600</w:t>
            </w:r>
          </w:p>
        </w:tc>
        <w:tc>
          <w:tcPr>
            <w:tcW w:w="4754"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b/>
                <w:bCs/>
                <w:color w:val="000000"/>
              </w:rPr>
            </w:pPr>
            <w:r w:rsidRPr="00B032FB">
              <w:rPr>
                <w:rFonts w:ascii="Times New Roman" w:hAnsi="Times New Roman"/>
                <w:b/>
                <w:bCs/>
                <w:color w:val="000000"/>
              </w:rPr>
              <w:t>Bežné výdavky</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1 368</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1 444</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630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Tovary a služby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1 368</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1 444</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640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Bežné transfery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641</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v rámci verejnej správy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642</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jednotlivcom a neziskovým právnickým osobám</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4754"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u w:val="single"/>
              </w:rPr>
              <w:t>Rozpočet Sociálnej poisťovne - výdavky (v tis. eur)</w:t>
            </w:r>
          </w:p>
        </w:tc>
        <w:tc>
          <w:tcPr>
            <w:tcW w:w="3688" w:type="dxa"/>
            <w:gridSpan w:val="4"/>
            <w:tcBorders>
              <w:top w:val="single" w:sz="4" w:space="0" w:color="auto"/>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Vplyv na rozpočet Sociálnej poisťovne (cash)</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tcBorders>
              <w:top w:val="none" w:sz="0" w:space="0" w:color="auto"/>
              <w:left w:val="nil"/>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u w:val="single"/>
              </w:rPr>
            </w:pP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2010</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2011</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2012</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600</w:t>
            </w:r>
          </w:p>
        </w:tc>
        <w:tc>
          <w:tcPr>
            <w:tcW w:w="4754"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b/>
                <w:bCs/>
                <w:color w:val="000000"/>
              </w:rPr>
            </w:pPr>
            <w:r w:rsidRPr="00B032FB">
              <w:rPr>
                <w:rFonts w:ascii="Times New Roman" w:hAnsi="Times New Roman"/>
                <w:b/>
                <w:bCs/>
                <w:color w:val="000000"/>
              </w:rPr>
              <w:t>Bežné výdavky</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62</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148</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630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Tovary a služby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62</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148</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640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Bežné transfery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641</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v rámci verejnej správy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rPr>
                <w:rFonts w:ascii="Times New Roman" w:hAnsi="Times New Roman"/>
                <w:color w:val="000000"/>
              </w:rPr>
            </w:pPr>
            <w:r>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642</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jednotlivcom a neziskovým právnickým osobám</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4754"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c>
          <w:tcPr>
            <w:tcW w:w="922" w:type="dxa"/>
            <w:tcBorders>
              <w:top w:val="nil"/>
              <w:left w:val="nil"/>
              <w:bottom w:val="nil"/>
              <w:right w:val="nil"/>
            </w:tcBorders>
            <w:noWrap/>
            <w:textDirection w:val="lrTb"/>
            <w:vAlign w:val="bottom"/>
            <w:hideMark/>
          </w:tcPr>
          <w:p w:rsidR="007264D7" w:rsidRPr="00B032FB" w:rsidP="007264D7">
            <w:pPr>
              <w:bidi w:val="0"/>
              <w:rPr>
                <w:rFonts w:ascii="Times New Roman" w:hAnsi="Times New Roman"/>
                <w:color w:val="000000"/>
              </w:rPr>
            </w:pP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u w:val="single"/>
              </w:rPr>
              <w:t>Rozpočet verejnej správy - výdavky (v tis. eur)</w:t>
            </w:r>
          </w:p>
        </w:tc>
        <w:tc>
          <w:tcPr>
            <w:tcW w:w="3688" w:type="dxa"/>
            <w:gridSpan w:val="4"/>
            <w:tcBorders>
              <w:top w:val="single" w:sz="4" w:space="0" w:color="auto"/>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Vplyv na rozpočet verejnej správy (cash)</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rPr>
            </w:pPr>
            <w:r w:rsidRPr="00B032FB">
              <w:rPr>
                <w:rFonts w:ascii="Times New Roman" w:hAnsi="Times New Roman"/>
                <w:b/>
                <w:bCs/>
                <w:color w:val="FFFFFF"/>
              </w:rPr>
              <w:t> </w:t>
            </w:r>
          </w:p>
        </w:tc>
        <w:tc>
          <w:tcPr>
            <w:tcW w:w="4754" w:type="dxa"/>
            <w:vMerge/>
            <w:tcBorders>
              <w:top w:val="none" w:sz="0" w:space="0" w:color="auto"/>
              <w:left w:val="nil"/>
              <w:bottom w:val="nil"/>
              <w:right w:val="nil"/>
            </w:tcBorders>
            <w:shd w:val="clear" w:color="000000" w:fill="000000"/>
            <w:noWrap/>
            <w:textDirection w:val="lrTb"/>
            <w:vAlign w:val="bottom"/>
            <w:hideMark/>
          </w:tcPr>
          <w:p w:rsidR="007264D7" w:rsidRPr="00B032FB" w:rsidP="007264D7">
            <w:pPr>
              <w:bidi w:val="0"/>
              <w:rPr>
                <w:rFonts w:ascii="Times New Roman" w:hAnsi="Times New Roman"/>
                <w:b/>
                <w:bCs/>
                <w:color w:val="FFFFFF"/>
                <w:u w:val="single"/>
              </w:rPr>
            </w:pP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2010</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2011</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2012</w:t>
            </w:r>
          </w:p>
        </w:tc>
        <w:tc>
          <w:tcPr>
            <w:tcW w:w="922" w:type="dxa"/>
            <w:tcBorders>
              <w:top w:val="nil"/>
              <w:left w:val="nil"/>
              <w:bottom w:val="nil"/>
              <w:right w:val="nil"/>
            </w:tcBorders>
            <w:shd w:val="clear" w:color="000000" w:fill="000000"/>
            <w:noWrap/>
            <w:textDirection w:val="lrTb"/>
            <w:vAlign w:val="bottom"/>
            <w:hideMark/>
          </w:tcPr>
          <w:p w:rsidR="007264D7" w:rsidRPr="00B032FB" w:rsidP="007264D7">
            <w:pPr>
              <w:bidi w:val="0"/>
              <w:jc w:val="center"/>
              <w:rPr>
                <w:rFonts w:ascii="Times New Roman" w:hAnsi="Times New Roman"/>
                <w:b/>
                <w:bCs/>
                <w:color w:val="FFFFFF"/>
              </w:rPr>
            </w:pPr>
            <w:r w:rsidRPr="00B032FB">
              <w:rPr>
                <w:rFonts w:ascii="Times New Roman" w:hAnsi="Times New Roman"/>
                <w:b/>
                <w:bCs/>
                <w:color w:val="FFFFFF"/>
              </w:rPr>
              <w:t>2013</w:t>
            </w:r>
          </w:p>
        </w:tc>
      </w:tr>
      <w:tr>
        <w:tblPrEx>
          <w:tblW w:w="9212" w:type="dxa"/>
          <w:jc w:val="center"/>
          <w:tblLayout w:type="fixed"/>
          <w:tblCellMar>
            <w:left w:w="70" w:type="dxa"/>
            <w:right w:w="70" w:type="dxa"/>
          </w:tblCellMar>
          <w:tblLook w:val="04A0"/>
        </w:tblPrEx>
        <w:trPr>
          <w:trHeight w:val="315"/>
          <w:jc w:val="center"/>
        </w:trPr>
        <w:tc>
          <w:tcPr>
            <w:tcW w:w="770" w:type="dxa"/>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600</w:t>
            </w:r>
          </w:p>
        </w:tc>
        <w:tc>
          <w:tcPr>
            <w:tcW w:w="4754"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b/>
                <w:bCs/>
                <w:color w:val="000000"/>
              </w:rPr>
            </w:pPr>
            <w:r w:rsidRPr="00B032FB">
              <w:rPr>
                <w:rFonts w:ascii="Times New Roman" w:hAnsi="Times New Roman"/>
                <w:b/>
                <w:bCs/>
                <w:color w:val="000000"/>
              </w:rPr>
              <w:t>Bežné výdavky</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b/>
                <w:bCs/>
                <w:color w:val="000000"/>
              </w:rPr>
            </w:pPr>
            <w:r w:rsidRPr="00B032FB">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18 470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b/>
                <w:bCs/>
                <w:color w:val="000000"/>
              </w:rPr>
            </w:pPr>
            <w:r>
              <w:rPr>
                <w:rFonts w:ascii="Times New Roman" w:hAnsi="Times New Roman"/>
                <w:b/>
                <w:bCs/>
                <w:color w:val="000000"/>
              </w:rPr>
              <w:t>18 724</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630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Tovary a služby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18 470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18 724</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640</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i/>
                <w:iCs/>
                <w:color w:val="000000"/>
              </w:rPr>
            </w:pPr>
            <w:r w:rsidRPr="00B032FB">
              <w:rPr>
                <w:rFonts w:ascii="Times New Roman" w:hAnsi="Times New Roman"/>
                <w:i/>
                <w:iCs/>
                <w:color w:val="000000"/>
              </w:rPr>
              <w:t>Bežné transfery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i/>
                <w:iCs/>
                <w:color w:val="000000"/>
              </w:rPr>
            </w:pPr>
            <w:r w:rsidRPr="00B032FB">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i/>
                <w:iCs/>
                <w:color w:val="000000"/>
              </w:rPr>
            </w:pPr>
            <w:r>
              <w:rPr>
                <w:rFonts w:ascii="Times New Roman" w:hAnsi="Times New Roman"/>
                <w:i/>
                <w:iCs/>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641</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v rámci verejnej správy</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70" w:type="dxa"/>
            <w:tcBorders>
              <w:top w:val="nil"/>
              <w:left w:val="single" w:sz="4" w:space="0" w:color="auto"/>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642</w:t>
            </w:r>
          </w:p>
        </w:tc>
        <w:tc>
          <w:tcPr>
            <w:tcW w:w="4754" w:type="dxa"/>
            <w:tcBorders>
              <w:top w:val="nil"/>
              <w:left w:val="nil"/>
              <w:bottom w:val="single" w:sz="4" w:space="0" w:color="auto"/>
              <w:right w:val="single" w:sz="4" w:space="0" w:color="auto"/>
            </w:tcBorders>
            <w:noWrap/>
            <w:textDirection w:val="lrTb"/>
            <w:vAlign w:val="bottom"/>
            <w:hideMark/>
          </w:tcPr>
          <w:p w:rsidR="007264D7" w:rsidRPr="00B032FB" w:rsidP="007264D7">
            <w:pPr>
              <w:bidi w:val="0"/>
              <w:rPr>
                <w:rFonts w:ascii="Times New Roman" w:hAnsi="Times New Roman"/>
                <w:color w:val="000000"/>
              </w:rPr>
            </w:pPr>
            <w:r w:rsidRPr="00B032FB">
              <w:rPr>
                <w:rFonts w:ascii="Times New Roman" w:hAnsi="Times New Roman"/>
                <w:color w:val="000000"/>
              </w:rPr>
              <w:t>Transfery jednotlivcom a neziskovým právnickým osobám</w:t>
            </w:r>
          </w:p>
        </w:tc>
        <w:tc>
          <w:tcPr>
            <w:tcW w:w="922" w:type="dxa"/>
            <w:tcBorders>
              <w:top w:val="nil"/>
              <w:left w:val="nil"/>
              <w:bottom w:val="single" w:sz="4" w:space="0" w:color="auto"/>
              <w:right w:val="single" w:sz="4" w:space="0" w:color="auto"/>
            </w:tcBorders>
            <w:noWrap/>
            <w:textDirection w:val="lrTb"/>
            <w:vAlign w:val="bottom"/>
            <w:hideMark/>
          </w:tcPr>
          <w:p w:rsidR="007264D7" w:rsidRPr="00B032FB" w:rsidP="007264D7">
            <w:pPr>
              <w:bidi w:val="0"/>
              <w:jc w:val="right"/>
              <w:rPr>
                <w:rFonts w:ascii="Times New Roman" w:hAnsi="Times New Roman"/>
                <w:color w:val="000000"/>
              </w:rPr>
            </w:pPr>
            <w:r w:rsidRPr="00B032FB">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c>
          <w:tcPr>
            <w:tcW w:w="922" w:type="dxa"/>
            <w:tcBorders>
              <w:top w:val="nil"/>
              <w:left w:val="nil"/>
              <w:bottom w:val="single" w:sz="4" w:space="0" w:color="auto"/>
              <w:right w:val="single" w:sz="4" w:space="0" w:color="auto"/>
            </w:tcBorders>
            <w:noWrap/>
            <w:textDirection w:val="lrTb"/>
            <w:vAlign w:val="bottom"/>
            <w:hideMark/>
          </w:tcPr>
          <w:p w:rsidR="007264D7" w:rsidP="007264D7">
            <w:pPr>
              <w:bidi w:val="0"/>
              <w:jc w:val="right"/>
              <w:rPr>
                <w:rFonts w:ascii="Times New Roman" w:hAnsi="Times New Roman"/>
                <w:color w:val="000000"/>
              </w:rPr>
            </w:pPr>
            <w:r>
              <w:rPr>
                <w:rFonts w:ascii="Times New Roman" w:hAnsi="Times New Roman"/>
                <w:color w:val="000000"/>
              </w:rPr>
              <w:t>0</w:t>
            </w:r>
          </w:p>
        </w:tc>
      </w:tr>
    </w:tbl>
    <w:p w:rsidR="007264D7" w:rsidRPr="00323053" w:rsidP="007264D7">
      <w:pPr>
        <w:autoSpaceDE w:val="0"/>
        <w:autoSpaceDN w:val="0"/>
        <w:bidi w:val="0"/>
        <w:adjustRightInd w:val="0"/>
        <w:jc w:val="both"/>
        <w:rPr>
          <w:rFonts w:ascii="Times New Roman" w:hAnsi="Times New Roman"/>
          <w:b/>
        </w:rPr>
      </w:pPr>
    </w:p>
    <w:p w:rsidR="007264D7" w:rsidRPr="00323053" w:rsidP="007264D7">
      <w:pPr>
        <w:autoSpaceDE w:val="0"/>
        <w:autoSpaceDN w:val="0"/>
        <w:bidi w:val="0"/>
        <w:adjustRightInd w:val="0"/>
        <w:jc w:val="both"/>
        <w:rPr>
          <w:rFonts w:ascii="Times New Roman" w:hAnsi="Times New Roman"/>
          <w:b/>
        </w:rPr>
      </w:pPr>
      <w:r w:rsidRPr="00323053">
        <w:rPr>
          <w:rFonts w:ascii="Times New Roman" w:hAnsi="Times New Roman"/>
          <w:b/>
        </w:rPr>
        <w:t>Vplyv na zamestnanosť</w:t>
      </w:r>
    </w:p>
    <w:p w:rsidR="007264D7" w:rsidRPr="00323053" w:rsidP="007264D7">
      <w:pPr>
        <w:autoSpaceDE w:val="0"/>
        <w:autoSpaceDN w:val="0"/>
        <w:bidi w:val="0"/>
        <w:adjustRightInd w:val="0"/>
        <w:jc w:val="both"/>
        <w:rPr>
          <w:rFonts w:ascii="Times New Roman" w:hAnsi="Times New Roman"/>
        </w:rPr>
      </w:pPr>
    </w:p>
    <w:p w:rsidR="007264D7" w:rsidRPr="00323053" w:rsidP="007264D7">
      <w:pPr>
        <w:bidi w:val="0"/>
        <w:jc w:val="both"/>
        <w:rPr>
          <w:rFonts w:ascii="Times New Roman" w:hAnsi="Times New Roman"/>
        </w:rPr>
      </w:pPr>
      <w:r w:rsidRPr="00323053">
        <w:rPr>
          <w:rFonts w:ascii="Times New Roman" w:hAnsi="Times New Roman"/>
        </w:rPr>
        <w:t xml:space="preserve">Navrhované opatrenia nemajú vplyv na zamestnanosť vo verejnej správe. </w:t>
      </w:r>
    </w:p>
    <w:p w:rsidR="007264D7" w:rsidRPr="00323053" w:rsidP="007264D7">
      <w:pPr>
        <w:autoSpaceDE w:val="0"/>
        <w:autoSpaceDN w:val="0"/>
        <w:bidi w:val="0"/>
        <w:adjustRightInd w:val="0"/>
        <w:jc w:val="both"/>
        <w:rPr>
          <w:rFonts w:ascii="Times New Roman" w:hAnsi="Times New Roman"/>
        </w:rPr>
      </w:pPr>
    </w:p>
    <w:p w:rsidR="007264D7" w:rsidRPr="00323053" w:rsidP="007264D7">
      <w:pPr>
        <w:autoSpaceDE w:val="0"/>
        <w:autoSpaceDN w:val="0"/>
        <w:bidi w:val="0"/>
        <w:adjustRightInd w:val="0"/>
        <w:jc w:val="both"/>
        <w:rPr>
          <w:rFonts w:ascii="Times New Roman" w:hAnsi="Times New Roman"/>
        </w:rPr>
      </w:pPr>
    </w:p>
    <w:p w:rsidR="007264D7" w:rsidRPr="00323053" w:rsidP="007264D7">
      <w:pPr>
        <w:autoSpaceDE w:val="0"/>
        <w:autoSpaceDN w:val="0"/>
        <w:bidi w:val="0"/>
        <w:adjustRightInd w:val="0"/>
        <w:jc w:val="both"/>
        <w:rPr>
          <w:rFonts w:ascii="Times New Roman" w:hAnsi="Times New Roman"/>
        </w:rPr>
      </w:pPr>
    </w:p>
    <w:p w:rsidR="007264D7" w:rsidRPr="00323053" w:rsidP="007264D7">
      <w:pPr>
        <w:bidi w:val="0"/>
        <w:rPr>
          <w:rFonts w:ascii="Times New Roman" w:hAnsi="Times New Roman"/>
        </w:rPr>
      </w:pPr>
    </w:p>
    <w:p w:rsidR="007264D7" w:rsidRPr="00323053" w:rsidP="007264D7">
      <w:pPr>
        <w:bidi w:val="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0A4918" w:rsidP="00B962A2">
      <w:pPr>
        <w:pStyle w:val="BodyTextIndent"/>
        <w:bidi w:val="0"/>
        <w:spacing w:after="0"/>
        <w:ind w:left="0"/>
        <w:jc w:val="both"/>
        <w:rPr>
          <w:rFonts w:ascii="Times New Roman" w:hAnsi="Times New Roman"/>
        </w:rPr>
      </w:pPr>
    </w:p>
    <w:p w:rsidR="000A4918"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B962A2">
      <w:pPr>
        <w:pStyle w:val="BodyTextIndent"/>
        <w:bidi w:val="0"/>
        <w:spacing w:after="0"/>
        <w:ind w:left="0"/>
        <w:jc w:val="both"/>
        <w:rPr>
          <w:rFonts w:ascii="Times New Roman" w:hAnsi="Times New Roman"/>
        </w:rPr>
      </w:pPr>
    </w:p>
    <w:p w:rsidR="007264D7" w:rsidP="007264D7">
      <w:pPr>
        <w:pStyle w:val="BodyTextIndent"/>
        <w:bidi w:val="0"/>
        <w:spacing w:after="0"/>
        <w:ind w:left="7080" w:firstLine="708"/>
        <w:jc w:val="both"/>
        <w:rPr>
          <w:rFonts w:ascii="Times New Roman" w:hAnsi="Times New Roman"/>
        </w:rPr>
      </w:pPr>
      <w:r>
        <w:rPr>
          <w:rFonts w:ascii="Times New Roman" w:hAnsi="Times New Roman"/>
        </w:rPr>
        <w:t xml:space="preserve">   Príloha č. 2</w:t>
      </w:r>
    </w:p>
    <w:p w:rsidR="007264D7" w:rsidP="00B962A2">
      <w:pPr>
        <w:pStyle w:val="BodyTextIndent"/>
        <w:bidi w:val="0"/>
        <w:spacing w:after="0"/>
        <w:ind w:left="0"/>
        <w:jc w:val="both"/>
        <w:rPr>
          <w:rFonts w:ascii="Times New Roman" w:hAnsi="Times New Roman"/>
        </w:rPr>
      </w:pPr>
    </w:p>
    <w:p w:rsidR="007264D7" w:rsidRPr="002A0DDB" w:rsidP="007264D7">
      <w:pPr>
        <w:bidi w:val="0"/>
        <w:jc w:val="center"/>
        <w:rPr>
          <w:rFonts w:ascii="Times New Roman" w:hAnsi="Times New Roman"/>
          <w:b/>
          <w:bCs/>
        </w:rPr>
      </w:pPr>
      <w:r w:rsidRPr="002A0DDB">
        <w:rPr>
          <w:rFonts w:ascii="Times New Roman" w:hAnsi="Times New Roman"/>
          <w:b/>
          <w:bCs/>
        </w:rPr>
        <w:t>Vplyvy na podnikateľské prostredie</w:t>
      </w:r>
    </w:p>
    <w:p w:rsidR="007264D7" w:rsidRPr="002A0DDB" w:rsidP="007264D7">
      <w:pPr>
        <w:bidi w:val="0"/>
        <w:rPr>
          <w:rFonts w:ascii="Times New Roman" w:hAnsi="Times New Roman"/>
          <w:b/>
          <w:bCs/>
        </w:rPr>
      </w:pPr>
    </w:p>
    <w:tbl>
      <w:tblPr>
        <w:tblStyle w:val="TableNormal"/>
        <w:tblW w:w="9195" w:type="dxa"/>
        <w:tblInd w:w="55" w:type="dxa"/>
        <w:tblCellMar>
          <w:left w:w="70" w:type="dxa"/>
          <w:right w:w="70" w:type="dxa"/>
        </w:tblCellMar>
      </w:tblPr>
      <w:tblGrid>
        <w:gridCol w:w="3134"/>
        <w:gridCol w:w="6061"/>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7264D7" w:rsidRPr="002A0DDB" w:rsidP="007264D7">
            <w:pPr>
              <w:bidi w:val="0"/>
              <w:jc w:val="center"/>
              <w:rPr>
                <w:rFonts w:ascii="Times New Roman" w:hAnsi="Times New Roman"/>
                <w:b/>
                <w:bCs/>
                <w:color w:val="FFFFFF"/>
              </w:rPr>
            </w:pPr>
            <w:r w:rsidRPr="002A0DDB">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7264D7" w:rsidRPr="002A0DDB" w:rsidP="007264D7">
            <w:pPr>
              <w:bidi w:val="0"/>
              <w:rPr>
                <w:rFonts w:ascii="Times New Roman" w:hAnsi="Times New Roman"/>
              </w:rPr>
            </w:pPr>
          </w:p>
          <w:p w:rsidR="007264D7" w:rsidRPr="002A0DDB" w:rsidP="007264D7">
            <w:pPr>
              <w:bidi w:val="0"/>
              <w:rPr>
                <w:rFonts w:ascii="Times New Roman" w:hAnsi="Times New Roman"/>
              </w:rPr>
            </w:pPr>
            <w:r w:rsidRPr="002A0DDB">
              <w:rPr>
                <w:rFonts w:ascii="Times New Roman" w:hAnsi="Times New Roman"/>
                <w:b/>
              </w:rPr>
              <w:t>3.1</w:t>
            </w:r>
            <w:r w:rsidRPr="002A0DDB">
              <w:rPr>
                <w:rFonts w:ascii="Times New Roman" w:hAnsi="Times New Roman"/>
              </w:rPr>
              <w:t>. Ktoré podnikateľské subjekty budú predkladaným návrhom ovplyvnené a aký je ich počet?</w:t>
            </w:r>
          </w:p>
          <w:p w:rsidR="007264D7" w:rsidRPr="002A0DDB" w:rsidP="007264D7">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7264D7" w:rsidRPr="002A0DDB" w:rsidP="00A054D3">
            <w:pPr>
              <w:numPr>
                <w:numId w:val="12"/>
              </w:numPr>
              <w:bidi w:val="0"/>
              <w:ind w:left="326" w:hanging="281"/>
              <w:rPr>
                <w:rFonts w:ascii="Times New Roman" w:hAnsi="Times New Roman"/>
              </w:rPr>
            </w:pPr>
            <w:r w:rsidRPr="002A0DDB">
              <w:rPr>
                <w:rFonts w:ascii="Times New Roman" w:hAnsi="Times New Roman"/>
              </w:rPr>
              <w:t>Obce – 2 891</w:t>
            </w:r>
          </w:p>
          <w:p w:rsidR="007264D7" w:rsidRPr="002A0DDB" w:rsidP="00A054D3">
            <w:pPr>
              <w:numPr>
                <w:numId w:val="12"/>
              </w:numPr>
              <w:bidi w:val="0"/>
              <w:ind w:left="326" w:hanging="281"/>
              <w:rPr>
                <w:rFonts w:ascii="Times New Roman" w:hAnsi="Times New Roman"/>
              </w:rPr>
            </w:pPr>
            <w:r w:rsidRPr="002A0DDB">
              <w:rPr>
                <w:rFonts w:ascii="Times New Roman" w:hAnsi="Times New Roman"/>
              </w:rPr>
              <w:t>VÚC – 8</w:t>
            </w:r>
          </w:p>
          <w:p w:rsidR="007264D7" w:rsidRPr="002A0DDB" w:rsidP="00A054D3">
            <w:pPr>
              <w:numPr>
                <w:numId w:val="12"/>
              </w:numPr>
              <w:bidi w:val="0"/>
              <w:ind w:left="326" w:hanging="281"/>
              <w:rPr>
                <w:rFonts w:ascii="Times New Roman" w:hAnsi="Times New Roman"/>
              </w:rPr>
            </w:pPr>
            <w:r w:rsidRPr="002A0DDB">
              <w:rPr>
                <w:rFonts w:ascii="Times New Roman" w:hAnsi="Times New Roman"/>
              </w:rPr>
              <w:t>Zamestnávatelia - všetci</w:t>
            </w:r>
          </w:p>
          <w:p w:rsidR="007264D7" w:rsidRPr="002A0DDB" w:rsidP="00A054D3">
            <w:pPr>
              <w:numPr>
                <w:numId w:val="12"/>
              </w:numPr>
              <w:bidi w:val="0"/>
              <w:ind w:left="326" w:hanging="281"/>
              <w:rPr>
                <w:rFonts w:ascii="Times New Roman" w:hAnsi="Times New Roman"/>
              </w:rPr>
            </w:pPr>
            <w:r w:rsidRPr="002A0DDB">
              <w:rPr>
                <w:rFonts w:ascii="Times New Roman" w:hAnsi="Times New Roman"/>
              </w:rPr>
              <w:t xml:space="preserve">SZČO využívajúci paušálne výdavky –  približne 143 000 </w:t>
            </w:r>
          </w:p>
          <w:p w:rsidR="007264D7" w:rsidRPr="002A0DDB" w:rsidP="00A054D3">
            <w:pPr>
              <w:numPr>
                <w:numId w:val="12"/>
              </w:numPr>
              <w:bidi w:val="0"/>
              <w:ind w:left="326" w:hanging="281"/>
              <w:rPr>
                <w:rFonts w:ascii="Times New Roman" w:hAnsi="Times New Roman"/>
              </w:rPr>
            </w:pPr>
            <w:r w:rsidRPr="002A0DDB">
              <w:rPr>
                <w:rFonts w:ascii="Times New Roman" w:hAnsi="Times New Roman"/>
              </w:rPr>
              <w:t>Právnické osoby – všetky</w:t>
            </w:r>
          </w:p>
          <w:p w:rsidR="007264D7" w:rsidRPr="002A0DDB" w:rsidP="00A054D3">
            <w:pPr>
              <w:numPr>
                <w:numId w:val="12"/>
              </w:numPr>
              <w:bidi w:val="0"/>
              <w:ind w:left="326" w:hanging="281"/>
              <w:rPr>
                <w:rFonts w:ascii="Times New Roman" w:hAnsi="Times New Roman"/>
              </w:rPr>
            </w:pPr>
            <w:r w:rsidRPr="002A0DDB">
              <w:rPr>
                <w:rFonts w:ascii="Times New Roman" w:hAnsi="Times New Roman"/>
              </w:rPr>
              <w:t>Novovzniknuté právnické osoby, ktoré existujú menej ako 3 mesiace v zdaňovacom období</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7264D7" w:rsidRPr="002A0DDB" w:rsidP="007264D7">
            <w:pPr>
              <w:bidi w:val="0"/>
              <w:rPr>
                <w:rFonts w:ascii="Times New Roman" w:hAnsi="Times New Roman"/>
              </w:rPr>
            </w:pPr>
          </w:p>
          <w:p w:rsidR="007264D7" w:rsidRPr="002A0DDB" w:rsidP="007264D7">
            <w:pPr>
              <w:bidi w:val="0"/>
              <w:rPr>
                <w:rFonts w:ascii="Times New Roman" w:hAnsi="Times New Roman"/>
              </w:rPr>
            </w:pPr>
            <w:r w:rsidRPr="002A0DDB">
              <w:rPr>
                <w:rFonts w:ascii="Times New Roman" w:hAnsi="Times New Roman"/>
                <w:b/>
              </w:rPr>
              <w:t>3.2</w:t>
            </w:r>
            <w:r w:rsidRPr="002A0DDB">
              <w:rPr>
                <w:rFonts w:ascii="Times New Roman" w:hAnsi="Times New Roman"/>
              </w:rPr>
              <w:t>. Aký je predpokladaný charakter a rozsah nákladov a prínosov?</w:t>
            </w:r>
          </w:p>
          <w:p w:rsidR="007264D7" w:rsidRPr="002A0DDB" w:rsidP="007264D7">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7264D7" w:rsidRPr="002A0DDB" w:rsidP="00A054D3">
            <w:pPr>
              <w:numPr>
                <w:numId w:val="11"/>
              </w:numPr>
              <w:bidi w:val="0"/>
              <w:ind w:left="468"/>
              <w:jc w:val="both"/>
              <w:rPr>
                <w:rFonts w:ascii="Times New Roman" w:hAnsi="Times New Roman"/>
              </w:rPr>
            </w:pPr>
            <w:r w:rsidRPr="002A0DDB">
              <w:rPr>
                <w:rFonts w:ascii="Times New Roman" w:hAnsi="Times New Roman"/>
              </w:rPr>
              <w:t>Zjednotením podmienok  odpisovania hmotného majetku obstaraného formou finančného prenájmu s ostatnými formami obstarania hmotného majetku sa očakáva mierne zvýšenie daňového zaťaženia podnikateľských subjektov.</w:t>
            </w:r>
          </w:p>
          <w:p w:rsidR="007264D7" w:rsidRPr="002A0DDB" w:rsidP="00A054D3">
            <w:pPr>
              <w:numPr>
                <w:numId w:val="11"/>
              </w:numPr>
              <w:bidi w:val="0"/>
              <w:ind w:left="468"/>
              <w:jc w:val="both"/>
              <w:rPr>
                <w:rFonts w:ascii="Times New Roman" w:hAnsi="Times New Roman"/>
              </w:rPr>
            </w:pPr>
            <w:r w:rsidRPr="002A0DDB">
              <w:rPr>
                <w:rFonts w:ascii="Times New Roman" w:hAnsi="Times New Roman"/>
              </w:rPr>
              <w:t>Súčasne sa predpokladá zvýšenie daňového zaťaženia tých fyzických osôb z príjmami z podnikania a z inej samostatne zárobkovej činnosti, ktoré budú naďalej pri vyčíslení základu dane uplatňovať paušálne výdavky.</w:t>
            </w:r>
          </w:p>
          <w:p w:rsidR="007264D7" w:rsidRPr="002A0DDB" w:rsidP="007264D7">
            <w:pPr>
              <w:bidi w:val="0"/>
              <w:ind w:left="468"/>
              <w:jc w:val="both"/>
              <w:rPr>
                <w:rFonts w:ascii="Times New Roman" w:hAnsi="Times New Roman"/>
                <w:lang w:val="pt-BR"/>
              </w:rPr>
            </w:pP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7264D7" w:rsidRPr="002A0DDB" w:rsidP="007264D7">
            <w:pPr>
              <w:bidi w:val="0"/>
              <w:rPr>
                <w:rFonts w:ascii="Times New Roman" w:hAnsi="Times New Roman"/>
              </w:rPr>
            </w:pPr>
          </w:p>
          <w:p w:rsidR="007264D7" w:rsidRPr="002A0DDB" w:rsidP="007264D7">
            <w:pPr>
              <w:bidi w:val="0"/>
              <w:rPr>
                <w:rFonts w:ascii="Times New Roman" w:hAnsi="Times New Roman"/>
              </w:rPr>
            </w:pPr>
            <w:r w:rsidRPr="002A0DDB">
              <w:rPr>
                <w:rFonts w:ascii="Times New Roman" w:hAnsi="Times New Roman"/>
                <w:b/>
              </w:rPr>
              <w:t>3.3</w:t>
            </w:r>
            <w:r w:rsidRPr="002A0DDB">
              <w:rPr>
                <w:rFonts w:ascii="Times New Roman" w:hAnsi="Times New Roman"/>
              </w:rPr>
              <w:t>. Aká je predpokladaná výška administratívnych nákladov, ktoré podniky vynaložia v súvislosti s implementáciou návrhu?</w:t>
            </w:r>
          </w:p>
          <w:p w:rsidR="007264D7" w:rsidRPr="002A0DDB" w:rsidP="007264D7">
            <w:pPr>
              <w:bidi w:val="0"/>
              <w:ind w:left="360" w:hanging="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7264D7" w:rsidRPr="002A0DDB" w:rsidP="00A054D3">
            <w:pPr>
              <w:numPr>
                <w:numId w:val="11"/>
              </w:numPr>
              <w:bidi w:val="0"/>
              <w:ind w:left="468"/>
              <w:jc w:val="both"/>
              <w:rPr>
                <w:rFonts w:ascii="Times New Roman" w:hAnsi="Times New Roman"/>
              </w:rPr>
            </w:pPr>
            <w:r w:rsidRPr="002A0DDB">
              <w:rPr>
                <w:rFonts w:ascii="Times New Roman" w:hAnsi="Times New Roman"/>
              </w:rPr>
              <w:t>Predpokladá sa úprava účtovných systémov podnikateľských subjektov z dôvodu zmeny spôsobu odpisovania hmotného majetku obstaraného formou finančného prenájmu.</w:t>
            </w:r>
          </w:p>
          <w:p w:rsidR="007264D7" w:rsidRPr="002A0DDB" w:rsidP="00A054D3">
            <w:pPr>
              <w:numPr>
                <w:numId w:val="11"/>
              </w:numPr>
              <w:bidi w:val="0"/>
              <w:ind w:left="468"/>
              <w:jc w:val="both"/>
              <w:rPr>
                <w:rFonts w:ascii="Times New Roman" w:hAnsi="Times New Roman"/>
              </w:rPr>
            </w:pPr>
            <w:r w:rsidRPr="002A0DDB">
              <w:rPr>
                <w:rFonts w:ascii="Times New Roman" w:hAnsi="Times New Roman"/>
              </w:rPr>
              <w:t>Na druhej strane malo by dôjsť k zníženiu administratívneho zaťaženia novovzniknutých právnických osôb, ktoré existujú menej ako 3 mesiace v zdaňovacom období</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textDirection w:val="lrTb"/>
            <w:vAlign w:val="top"/>
          </w:tcPr>
          <w:p w:rsidR="007264D7" w:rsidRPr="002A0DDB" w:rsidP="007264D7">
            <w:pPr>
              <w:bidi w:val="0"/>
              <w:rPr>
                <w:rFonts w:ascii="Times New Roman" w:hAnsi="Times New Roman"/>
              </w:rPr>
            </w:pPr>
          </w:p>
          <w:p w:rsidR="007264D7" w:rsidRPr="002A0DDB" w:rsidP="007264D7">
            <w:pPr>
              <w:bidi w:val="0"/>
              <w:rPr>
                <w:rFonts w:ascii="Times New Roman" w:hAnsi="Times New Roman"/>
              </w:rPr>
            </w:pPr>
            <w:r w:rsidRPr="002A0DDB">
              <w:rPr>
                <w:rFonts w:ascii="Times New Roman" w:hAnsi="Times New Roman"/>
                <w:b/>
              </w:rPr>
              <w:t>3.4</w:t>
            </w:r>
            <w:r w:rsidRPr="002A0DDB">
              <w:rPr>
                <w:rFonts w:ascii="Times New Roman" w:hAnsi="Times New Roman"/>
              </w:rPr>
              <w:t>. Aké sú dôsledky pripravovaného návrhu pre fungovanie podnikateľských subjektov na slovenskom trhu (ako sa zmenia operácie na trhu?)</w:t>
            </w:r>
          </w:p>
          <w:p w:rsidR="007264D7" w:rsidRPr="002A0DDB" w:rsidP="007264D7">
            <w:pPr>
              <w:bidi w:val="0"/>
              <w:ind w:left="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7264D7" w:rsidRPr="002A0DDB" w:rsidP="007264D7">
            <w:pPr>
              <w:bidi w:val="0"/>
              <w:jc w:val="both"/>
              <w:rPr>
                <w:rFonts w:ascii="Times New Roman" w:hAnsi="Times New Roman"/>
              </w:rPr>
            </w:pPr>
            <w:r w:rsidRPr="002A0DDB">
              <w:rPr>
                <w:rFonts w:ascii="Times New Roman" w:hAnsi="Times New Roman"/>
              </w:rPr>
              <w:t>Okrem vplyvov uvedených v bode 3.2 a 3.3 sa očakáva, že časť fyzických osôb uplatňujúcich pri vyčíslení základu dane paušálne výdavky zvolia v ďalších zdaňovacích obdobiach radšej vyčíslenie základu dane s uplatnením preukázateľných daňových výdavkov, čím môže dôjsť k miernemu zvýšeniu administratívnej záťaže malých podnikateľov.</w:t>
            </w:r>
          </w:p>
        </w:tc>
      </w:tr>
      <w:tr>
        <w:tblPrEx>
          <w:tblW w:w="9195" w:type="dxa"/>
          <w:tblInd w:w="55" w:type="dxa"/>
          <w:tblCellMar>
            <w:left w:w="70" w:type="dxa"/>
            <w:right w:w="70" w:type="dxa"/>
          </w:tblCellMar>
        </w:tblPrEx>
        <w:trPr>
          <w:trHeight w:val="600"/>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7264D7" w:rsidRPr="002A0DDB" w:rsidP="007264D7">
            <w:pPr>
              <w:bidi w:val="0"/>
              <w:rPr>
                <w:rFonts w:ascii="Times New Roman" w:hAnsi="Times New Roman"/>
              </w:rPr>
            </w:pPr>
          </w:p>
          <w:p w:rsidR="007264D7" w:rsidRPr="002A0DDB" w:rsidP="007264D7">
            <w:pPr>
              <w:bidi w:val="0"/>
              <w:rPr>
                <w:rFonts w:ascii="Times New Roman" w:hAnsi="Times New Roman"/>
              </w:rPr>
            </w:pPr>
            <w:r w:rsidRPr="002A0DDB">
              <w:rPr>
                <w:rFonts w:ascii="Times New Roman" w:hAnsi="Times New Roman"/>
                <w:b/>
              </w:rPr>
              <w:t>3.5</w:t>
            </w:r>
            <w:r w:rsidRPr="002A0DDB">
              <w:rPr>
                <w:rFonts w:ascii="Times New Roman" w:hAnsi="Times New Roman"/>
              </w:rPr>
              <w:t>. Aké sú predpokladané spoločensko – ekonomické dôsledky pripravovaných regulácií?</w:t>
            </w:r>
          </w:p>
          <w:p w:rsidR="007264D7" w:rsidRPr="002A0DDB" w:rsidP="007264D7">
            <w:pPr>
              <w:bidi w:val="0"/>
              <w:rPr>
                <w:rFonts w:ascii="Times New Roman" w:hAnsi="Times New Roman"/>
              </w:rPr>
            </w:pPr>
          </w:p>
        </w:tc>
        <w:tc>
          <w:tcPr>
            <w:tcW w:w="6061" w:type="dxa"/>
            <w:tcBorders>
              <w:top w:val="single" w:sz="4" w:space="0" w:color="auto"/>
              <w:left w:val="nil"/>
              <w:bottom w:val="single" w:sz="4" w:space="0" w:color="auto"/>
              <w:right w:val="single" w:sz="8" w:space="0" w:color="auto"/>
            </w:tcBorders>
            <w:noWrap/>
            <w:textDirection w:val="lrTb"/>
            <w:vAlign w:val="center"/>
          </w:tcPr>
          <w:p w:rsidR="007264D7" w:rsidRPr="002A0DDB" w:rsidP="007264D7">
            <w:pPr>
              <w:bidi w:val="0"/>
              <w:jc w:val="both"/>
              <w:rPr>
                <w:rFonts w:ascii="Arial" w:hAnsi="Arial" w:cs="Arial"/>
              </w:rPr>
            </w:pPr>
            <w:r w:rsidRPr="002A0DDB">
              <w:rPr>
                <w:rFonts w:ascii="Times New Roman" w:hAnsi="Times New Roman"/>
              </w:rPr>
              <w:t>Snahou je udržanie efektívneho, jednoduchého a neutrálneho daňového systému. Odstránením diskriminačných výnimiek sa zrovnoprávňuje spôsob zdaňovania bez ohľadu na typ subjektu a formu príjmu (resp. formu obstarania nákladov) .</w:t>
            </w:r>
            <w:r w:rsidRPr="002A0DDB">
              <w:rPr>
                <w:rFonts w:ascii="Arial" w:hAnsi="Arial" w:cs="Arial"/>
              </w:rPr>
              <w:t xml:space="preserve"> </w:t>
            </w:r>
          </w:p>
        </w:tc>
      </w:tr>
    </w:tbl>
    <w:p w:rsidR="007264D7" w:rsidRPr="002A0DDB" w:rsidP="007264D7">
      <w:pPr>
        <w:pStyle w:val="NormalWeb"/>
        <w:bidi w:val="0"/>
        <w:rPr>
          <w:rFonts w:ascii="Times New Roman" w:hAnsi="Times New Roman"/>
        </w:rPr>
      </w:pPr>
    </w:p>
    <w:p w:rsidR="007264D7" w:rsidRPr="00F172DC" w:rsidP="00B962A2">
      <w:pPr>
        <w:pStyle w:val="BodyTextIndent"/>
        <w:bidi w:val="0"/>
        <w:spacing w:after="0"/>
        <w:ind w:left="0"/>
        <w:jc w:val="both"/>
        <w:rPr>
          <w:rFonts w:ascii="Times New Roman" w:hAnsi="Times New Roman"/>
        </w:rPr>
      </w:pPr>
    </w:p>
    <w:p w:rsidR="009901D6">
      <w:pPr>
        <w:bidi w:val="0"/>
        <w:rPr>
          <w:rFonts w:ascii="Times New Roman" w:hAnsi="Times New Roman"/>
        </w:rPr>
      </w:pPr>
    </w:p>
    <w:p w:rsidR="007264D7" w:rsidP="00F444B8">
      <w:pPr>
        <w:bidi w:val="0"/>
        <w:ind w:left="7788"/>
        <w:rPr>
          <w:rFonts w:ascii="Times New Roman" w:hAnsi="Times New Roman"/>
        </w:rPr>
      </w:pPr>
      <w:r w:rsidR="00F444B8">
        <w:rPr>
          <w:rFonts w:ascii="Times New Roman" w:hAnsi="Times New Roman"/>
        </w:rPr>
        <w:t xml:space="preserve">   Príloha č. 3</w:t>
      </w:r>
    </w:p>
    <w:p w:rsidR="007264D7">
      <w:pPr>
        <w:bidi w:val="0"/>
        <w:rPr>
          <w:rFonts w:ascii="Times New Roman" w:hAnsi="Times New Roman"/>
        </w:rPr>
      </w:pPr>
    </w:p>
    <w:p w:rsidR="007264D7" w:rsidP="007264D7">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7264D7" w:rsidP="007264D7">
      <w:pPr>
        <w:bidi w:val="0"/>
        <w:rPr>
          <w:rFonts w:ascii="Times New Roman" w:hAnsi="Times New Roman"/>
          <w:b/>
          <w:bCs/>
        </w:rPr>
      </w:pPr>
    </w:p>
    <w:tbl>
      <w:tblPr>
        <w:tblStyle w:val="TableNormal"/>
        <w:tblW w:w="9015" w:type="dxa"/>
        <w:jc w:val="center"/>
        <w:tblCellMar>
          <w:left w:w="70" w:type="dxa"/>
          <w:right w:w="70" w:type="dxa"/>
        </w:tblCellMar>
      </w:tblPr>
      <w:tblGrid>
        <w:gridCol w:w="4225"/>
        <w:gridCol w:w="479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7264D7" w:rsidRPr="00495317" w:rsidP="007264D7">
            <w:pPr>
              <w:bidi w:val="0"/>
              <w:jc w:val="center"/>
              <w:rPr>
                <w:rFonts w:ascii="Times New Roman" w:hAnsi="Times New Roman"/>
                <w:b/>
                <w:bCs/>
                <w:color w:val="FFFFFF"/>
              </w:rPr>
            </w:pPr>
            <w:r w:rsidRPr="00495317">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7264D7" w:rsidRPr="00495317" w:rsidP="007264D7">
            <w:pPr>
              <w:bidi w:val="0"/>
              <w:rPr>
                <w:rFonts w:ascii="Times New Roman" w:hAnsi="Times New Roman"/>
              </w:rPr>
            </w:pPr>
            <w:r w:rsidRPr="00495317">
              <w:rPr>
                <w:rFonts w:ascii="Times New Roman" w:hAnsi="Times New Roman"/>
                <w:b/>
              </w:rPr>
              <w:t>4.1.</w:t>
            </w:r>
            <w:r w:rsidRPr="00495317">
              <w:rPr>
                <w:rFonts w:ascii="Times New Roman" w:hAnsi="Times New Roman"/>
              </w:rPr>
              <w:t xml:space="preserve"> Identifikujte vplyv na hospodárenie   domácností a špecifikujte ovplyvnené skupiny domácností, ktoré budú pozitívne/negatívne ovplyvnené.  </w:t>
            </w:r>
          </w:p>
        </w:tc>
        <w:tc>
          <w:tcPr>
            <w:tcW w:w="4790" w:type="dxa"/>
            <w:tcBorders>
              <w:top w:val="single" w:sz="4" w:space="0" w:color="auto"/>
              <w:left w:val="nil"/>
              <w:bottom w:val="single" w:sz="4" w:space="0" w:color="auto"/>
              <w:right w:val="single" w:sz="4" w:space="0" w:color="auto"/>
            </w:tcBorders>
            <w:textDirection w:val="lrTb"/>
            <w:vAlign w:val="top"/>
          </w:tcPr>
          <w:p w:rsidR="007264D7" w:rsidRPr="00495317" w:rsidP="007264D7">
            <w:pPr>
              <w:bidi w:val="0"/>
              <w:jc w:val="both"/>
              <w:rPr>
                <w:rFonts w:ascii="Times New Roman" w:hAnsi="Times New Roman"/>
              </w:rPr>
            </w:pPr>
            <w:r w:rsidRPr="00495317">
              <w:rPr>
                <w:rFonts w:ascii="Times New Roman" w:hAnsi="Times New Roman"/>
              </w:rPr>
              <w:t>Osoby sporiace si na dôchodok v DDS, cez životné poistenie a účelové sporenie s mesačnými príjmami nad 343 €</w:t>
            </w:r>
          </w:p>
          <w:p w:rsidR="007264D7" w:rsidRPr="00495317" w:rsidP="007264D7">
            <w:pPr>
              <w:bidi w:val="0"/>
              <w:jc w:val="both"/>
              <w:rPr>
                <w:rFonts w:ascii="Times New Roman" w:hAnsi="Times New Roman"/>
              </w:rPr>
            </w:pPr>
            <w:r w:rsidRPr="00495317">
              <w:rPr>
                <w:rFonts w:ascii="Times New Roman" w:hAnsi="Times New Roman"/>
              </w:rPr>
              <w:t>Podnikatelia, ktorí si uplatňujú paušálne výdavky, vo vyššej výške ako sú ich reálne výdavky</w:t>
            </w:r>
          </w:p>
          <w:p w:rsidR="007264D7" w:rsidP="007264D7">
            <w:pPr>
              <w:bidi w:val="0"/>
              <w:jc w:val="both"/>
              <w:rPr>
                <w:rFonts w:ascii="Times New Roman" w:hAnsi="Times New Roman"/>
              </w:rPr>
            </w:pPr>
            <w:r w:rsidRPr="00495317">
              <w:rPr>
                <w:rFonts w:ascii="Times New Roman" w:hAnsi="Times New Roman"/>
              </w:rPr>
              <w:t>Osoby, ktoré predajú nehnuteľnosť nadobudnutú po 1.1.2011 za vyššiu cenu ako bola kúpna cena a vlastnili ju viac ako päť rokov.</w:t>
            </w:r>
          </w:p>
          <w:p w:rsidR="007264D7" w:rsidRPr="00495317" w:rsidP="007264D7">
            <w:pPr>
              <w:bidi w:val="0"/>
              <w:jc w:val="both"/>
              <w:rPr>
                <w:rFonts w:ascii="Times New Roman" w:hAnsi="Times New Roman"/>
              </w:rPr>
            </w:pPr>
            <w:r>
              <w:rPr>
                <w:rFonts w:ascii="Times New Roman" w:hAnsi="Times New Roman"/>
                <w:color w:val="000000"/>
              </w:rPr>
              <w:t>Osoby, ktoré majú príjmy z prenájmu, z príležitostných činností vrátane príjmov z príležitostnej poľnohospodárskej výroby, lesného a vodného hospodárstva a pod. vo výške 500</w:t>
            </w:r>
            <w:r>
              <w:rPr>
                <w:rFonts w:ascii="Times New Roman" w:hAnsi="Times New Roman"/>
              </w:rPr>
              <w:t xml:space="preserve"> a viac </w:t>
            </w:r>
            <w:r w:rsidRPr="00495317">
              <w:rPr>
                <w:rFonts w:ascii="Times New Roman" w:hAnsi="Times New Roman"/>
              </w:rPr>
              <w:t>€</w:t>
            </w:r>
            <w:r>
              <w:rPr>
                <w:rFonts w:ascii="Times New Roman" w:hAnsi="Times New Roman"/>
              </w:rPr>
              <w:t xml:space="preserve"> ročne.</w:t>
            </w:r>
          </w:p>
          <w:p w:rsidR="007264D7" w:rsidRPr="00495317" w:rsidP="007264D7">
            <w:pPr>
              <w:bidi w:val="0"/>
              <w:jc w:val="both"/>
              <w:rPr>
                <w:rFonts w:ascii="Times New Roman" w:hAnsi="Times New Roman"/>
              </w:rPr>
            </w:pPr>
            <w:r w:rsidRPr="00495317">
              <w:rPr>
                <w:rFonts w:ascii="Times New Roman" w:hAnsi="Times New Roman"/>
              </w:rPr>
              <w:t>Zdravotnícki pracovníci znižujúci si základ dane o náklady na vzdelávanie</w:t>
            </w:r>
          </w:p>
          <w:p w:rsidR="007264D7" w:rsidRPr="00495317" w:rsidP="007264D7">
            <w:pPr>
              <w:bidi w:val="0"/>
              <w:jc w:val="both"/>
              <w:rPr>
                <w:rFonts w:ascii="Times New Roman" w:hAnsi="Times New Roman"/>
              </w:rPr>
            </w:pPr>
          </w:p>
        </w:tc>
      </w:tr>
      <w:tr>
        <w:tblPrEx>
          <w:tblW w:w="9015" w:type="dxa"/>
          <w:jc w:val="center"/>
          <w:tblCellMar>
            <w:left w:w="70" w:type="dxa"/>
            <w:right w:w="70" w:type="dxa"/>
          </w:tblCellMar>
        </w:tblPrEx>
        <w:trPr>
          <w:cantSplit/>
          <w:trHeight w:val="528"/>
          <w:jc w:val="center"/>
        </w:trPr>
        <w:tc>
          <w:tcPr>
            <w:tcW w:w="4225" w:type="dxa"/>
            <w:tcBorders>
              <w:top w:val="single" w:sz="4" w:space="0" w:color="auto"/>
              <w:left w:val="single" w:sz="4" w:space="0" w:color="auto"/>
              <w:bottom w:val="nil"/>
              <w:right w:val="single" w:sz="4" w:space="0" w:color="auto"/>
            </w:tcBorders>
            <w:textDirection w:val="lrTb"/>
            <w:vAlign w:val="top"/>
          </w:tcPr>
          <w:p w:rsidR="007264D7" w:rsidRPr="00495317" w:rsidP="007264D7">
            <w:pPr>
              <w:bidi w:val="0"/>
              <w:rPr>
                <w:rFonts w:ascii="Times New Roman" w:hAnsi="Times New Roman"/>
                <w:i/>
              </w:rPr>
            </w:pPr>
            <w:r w:rsidRPr="00495317">
              <w:rPr>
                <w:rFonts w:ascii="Times New Roman" w:hAnsi="Times New Roman"/>
                <w:i/>
              </w:rPr>
              <w:t xml:space="preserve">Kvantifikujte: </w:t>
            </w:r>
          </w:p>
        </w:tc>
        <w:tc>
          <w:tcPr>
            <w:tcW w:w="4790" w:type="dxa"/>
            <w:vMerge w:val="restart"/>
            <w:tcBorders>
              <w:top w:val="single" w:sz="4" w:space="0" w:color="auto"/>
              <w:left w:val="nil"/>
              <w:bottom w:val="single" w:sz="4" w:space="0" w:color="auto"/>
              <w:right w:val="single" w:sz="4" w:space="0" w:color="auto"/>
            </w:tcBorders>
            <w:textDirection w:val="lrTb"/>
            <w:vAlign w:val="top"/>
          </w:tcPr>
          <w:p w:rsidR="007264D7" w:rsidRPr="00495317" w:rsidP="007264D7">
            <w:pPr>
              <w:bidi w:val="0"/>
              <w:jc w:val="both"/>
              <w:rPr>
                <w:rFonts w:ascii="Times New Roman" w:hAnsi="Times New Roman"/>
              </w:rPr>
            </w:pPr>
            <w:r w:rsidRPr="00495317">
              <w:rPr>
                <w:rFonts w:ascii="Times New Roman" w:hAnsi="Times New Roman"/>
              </w:rPr>
              <w:t>Osoby sporiace si na dôchodok v DDS, cez životné poistenie a účelové sporenie s mesačnými príjmami nad 343 € - cca 1,3 mil. osôb</w:t>
            </w:r>
          </w:p>
          <w:p w:rsidR="007264D7" w:rsidRPr="00495317" w:rsidP="007264D7">
            <w:pPr>
              <w:bidi w:val="0"/>
              <w:jc w:val="both"/>
              <w:rPr>
                <w:rFonts w:ascii="Times New Roman" w:hAnsi="Times New Roman"/>
              </w:rPr>
            </w:pPr>
            <w:r w:rsidRPr="00495317">
              <w:rPr>
                <w:rFonts w:ascii="Times New Roman" w:hAnsi="Times New Roman"/>
              </w:rPr>
              <w:t>Podnikatelia, ktorí si uplatňujú p</w:t>
            </w:r>
            <w:r>
              <w:rPr>
                <w:rFonts w:ascii="Times New Roman" w:hAnsi="Times New Roman"/>
              </w:rPr>
              <w:t>aušálne výdavky, vo vyššej sume</w:t>
            </w:r>
            <w:r w:rsidRPr="00495317">
              <w:rPr>
                <w:rFonts w:ascii="Times New Roman" w:hAnsi="Times New Roman"/>
              </w:rPr>
              <w:t xml:space="preserve"> ako sú ich </w:t>
            </w:r>
            <w:r>
              <w:rPr>
                <w:rFonts w:ascii="Times New Roman" w:hAnsi="Times New Roman"/>
              </w:rPr>
              <w:t>skutočné</w:t>
            </w:r>
            <w:r w:rsidRPr="00495317">
              <w:rPr>
                <w:rFonts w:ascii="Times New Roman" w:hAnsi="Times New Roman"/>
              </w:rPr>
              <w:t xml:space="preserve"> výdavky – celkovo si paušálne výdavky uplatňuje cca 140 tis. daňovníkov, pričom dotknutá z nich bude iba časť</w:t>
            </w:r>
          </w:p>
          <w:p w:rsidR="007264D7" w:rsidRPr="00495317" w:rsidP="007264D7">
            <w:pPr>
              <w:bidi w:val="0"/>
              <w:jc w:val="both"/>
              <w:rPr>
                <w:rFonts w:ascii="Times New Roman" w:hAnsi="Times New Roman"/>
                <w:b/>
              </w:rPr>
            </w:pPr>
          </w:p>
        </w:tc>
      </w:tr>
      <w:tr>
        <w:tblPrEx>
          <w:tblW w:w="9015" w:type="dxa"/>
          <w:jc w:val="center"/>
          <w:tblCellMar>
            <w:left w:w="70" w:type="dxa"/>
            <w:right w:w="70" w:type="dxa"/>
          </w:tblCellMar>
        </w:tblPrEx>
        <w:trPr>
          <w:cantSplit/>
          <w:trHeight w:val="549"/>
          <w:jc w:val="center"/>
        </w:trPr>
        <w:tc>
          <w:tcPr>
            <w:tcW w:w="4225" w:type="dxa"/>
            <w:tcBorders>
              <w:top w:val="nil"/>
              <w:left w:val="single" w:sz="4" w:space="0" w:color="auto"/>
              <w:bottom w:val="nil"/>
              <w:right w:val="single" w:sz="4" w:space="0" w:color="auto"/>
            </w:tcBorders>
            <w:textDirection w:val="lrTb"/>
            <w:vAlign w:val="top"/>
          </w:tcPr>
          <w:p w:rsidR="007264D7" w:rsidRPr="00495317" w:rsidP="00A054D3">
            <w:pPr>
              <w:numPr>
                <w:numId w:val="13"/>
              </w:numPr>
              <w:tabs>
                <w:tab w:val="left" w:pos="328"/>
              </w:tabs>
              <w:bidi w:val="0"/>
              <w:ind w:left="328"/>
              <w:rPr>
                <w:rFonts w:ascii="Times New Roman" w:hAnsi="Times New Roman"/>
                <w:i/>
              </w:rPr>
            </w:pPr>
            <w:r w:rsidRPr="00495317">
              <w:rPr>
                <w:rFonts w:ascii="Times New Roman" w:hAnsi="Times New Roman"/>
                <w:i/>
              </w:rPr>
              <w:t>Rast alebo pokles príjmov/výdavkov            na priemerného obyvateľa</w:t>
            </w:r>
          </w:p>
        </w:tc>
        <w:tc>
          <w:tcPr>
            <w:tcW w:w="4790" w:type="dxa"/>
            <w:vMerge/>
            <w:tcBorders>
              <w:top w:val="single" w:sz="4" w:space="0" w:color="auto"/>
              <w:left w:val="nil"/>
              <w:bottom w:val="single" w:sz="4" w:space="0" w:color="auto"/>
              <w:right w:val="single" w:sz="4" w:space="0" w:color="auto"/>
            </w:tcBorders>
            <w:textDirection w:val="lrTb"/>
            <w:vAlign w:val="top"/>
          </w:tcPr>
          <w:p w:rsidR="007264D7" w:rsidRPr="00495317" w:rsidP="007264D7">
            <w:pPr>
              <w:bidi w:val="0"/>
              <w:jc w:val="both"/>
              <w:rPr>
                <w:rFonts w:ascii="Times New Roman" w:hAnsi="Times New Roman"/>
              </w:rPr>
            </w:pPr>
          </w:p>
        </w:tc>
      </w:tr>
      <w:tr>
        <w:tblPrEx>
          <w:tblW w:w="9015" w:type="dxa"/>
          <w:jc w:val="center"/>
          <w:tblCellMar>
            <w:left w:w="70" w:type="dxa"/>
            <w:right w:w="70" w:type="dxa"/>
          </w:tblCellMar>
        </w:tblPrEx>
        <w:trPr>
          <w:cantSplit/>
          <w:trHeight w:val="870"/>
          <w:jc w:val="center"/>
        </w:trPr>
        <w:tc>
          <w:tcPr>
            <w:tcW w:w="4225" w:type="dxa"/>
            <w:tcBorders>
              <w:top w:val="nil"/>
              <w:left w:val="single" w:sz="4" w:space="0" w:color="auto"/>
              <w:bottom w:val="nil"/>
              <w:right w:val="single" w:sz="4" w:space="0" w:color="auto"/>
            </w:tcBorders>
            <w:textDirection w:val="lrTb"/>
            <w:vAlign w:val="top"/>
          </w:tcPr>
          <w:p w:rsidR="007264D7" w:rsidRPr="00495317" w:rsidP="00A054D3">
            <w:pPr>
              <w:numPr>
                <w:numId w:val="13"/>
              </w:numPr>
              <w:tabs>
                <w:tab w:val="left" w:pos="328"/>
              </w:tabs>
              <w:bidi w:val="0"/>
              <w:ind w:left="328"/>
              <w:rPr>
                <w:rFonts w:ascii="Times New Roman" w:hAnsi="Times New Roman"/>
                <w:i/>
              </w:rPr>
            </w:pPr>
            <w:r w:rsidRPr="00495317">
              <w:rPr>
                <w:rFonts w:ascii="Times New Roman" w:hAnsi="Times New Roman"/>
                <w:i/>
              </w:rPr>
              <w:t>Rast alebo pokles príjmov/výdavkov                  za jednotlivé ovplyvnené  skupiny domácností</w:t>
            </w:r>
          </w:p>
          <w:p w:rsidR="007264D7" w:rsidRPr="00495317" w:rsidP="00A054D3">
            <w:pPr>
              <w:numPr>
                <w:numId w:val="13"/>
              </w:numPr>
              <w:tabs>
                <w:tab w:val="left" w:pos="328"/>
              </w:tabs>
              <w:bidi w:val="0"/>
              <w:ind w:left="328"/>
              <w:rPr>
                <w:rFonts w:ascii="Times New Roman" w:hAnsi="Times New Roman"/>
                <w:i/>
              </w:rPr>
            </w:pPr>
            <w:r w:rsidRPr="00495317">
              <w:rPr>
                <w:rFonts w:ascii="Times New Roman" w:hAnsi="Times New Roman"/>
                <w:i/>
              </w:rPr>
              <w:t>Celkový počet obyvateľstva/domácností ovplyvnených predkladaným materiálom</w:t>
            </w:r>
          </w:p>
        </w:tc>
        <w:tc>
          <w:tcPr>
            <w:tcW w:w="4790" w:type="dxa"/>
            <w:vMerge/>
            <w:tcBorders>
              <w:top w:val="single" w:sz="4" w:space="0" w:color="auto"/>
              <w:left w:val="nil"/>
              <w:bottom w:val="single" w:sz="4" w:space="0" w:color="auto"/>
              <w:right w:val="single" w:sz="4" w:space="0" w:color="auto"/>
            </w:tcBorders>
            <w:textDirection w:val="lrTb"/>
            <w:vAlign w:val="top"/>
          </w:tcPr>
          <w:p w:rsidR="007264D7" w:rsidRPr="00495317" w:rsidP="007264D7">
            <w:pPr>
              <w:bidi w:val="0"/>
              <w:jc w:val="both"/>
              <w:rPr>
                <w:rFonts w:ascii="Times New Roman" w:hAnsi="Times New Roman"/>
              </w:rPr>
            </w:pPr>
          </w:p>
        </w:tc>
      </w:tr>
      <w:tr>
        <w:tblPrEx>
          <w:tblW w:w="9015" w:type="dxa"/>
          <w:jc w:val="center"/>
          <w:tblCellMar>
            <w:left w:w="70" w:type="dxa"/>
            <w:right w:w="70" w:type="dxa"/>
          </w:tblCellMar>
        </w:tblPrEx>
        <w:trPr>
          <w:cantSplit/>
          <w:trHeight w:val="128"/>
          <w:jc w:val="center"/>
        </w:trPr>
        <w:tc>
          <w:tcPr>
            <w:tcW w:w="4225" w:type="dxa"/>
            <w:tcBorders>
              <w:top w:val="nil"/>
              <w:left w:val="single" w:sz="4" w:space="0" w:color="auto"/>
              <w:bottom w:val="nil"/>
              <w:right w:val="single" w:sz="4" w:space="0" w:color="auto"/>
            </w:tcBorders>
            <w:textDirection w:val="lrTb"/>
            <w:vAlign w:val="top"/>
          </w:tcPr>
          <w:p w:rsidR="007264D7" w:rsidRPr="00495317" w:rsidP="007264D7">
            <w:pPr>
              <w:bidi w:val="0"/>
              <w:ind w:firstLine="720" w:firstLineChars="300"/>
              <w:rPr>
                <w:rFonts w:ascii="Times New Roman" w:hAnsi="Times New Roman"/>
              </w:rPr>
            </w:pPr>
          </w:p>
        </w:tc>
        <w:tc>
          <w:tcPr>
            <w:tcW w:w="4790" w:type="dxa"/>
            <w:vMerge/>
            <w:tcBorders>
              <w:top w:val="single" w:sz="4" w:space="0" w:color="auto"/>
              <w:left w:val="nil"/>
              <w:bottom w:val="single" w:sz="4" w:space="0" w:color="auto"/>
              <w:right w:val="single" w:sz="4" w:space="0" w:color="auto"/>
            </w:tcBorders>
            <w:textDirection w:val="lrTb"/>
            <w:vAlign w:val="top"/>
          </w:tcPr>
          <w:p w:rsidR="007264D7" w:rsidRPr="00495317" w:rsidP="007264D7">
            <w:pPr>
              <w:bidi w:val="0"/>
              <w:jc w:val="both"/>
              <w:rPr>
                <w:rFonts w:ascii="Times New Roman" w:hAnsi="Times New Roman"/>
              </w:rPr>
            </w:pPr>
          </w:p>
        </w:tc>
      </w:tr>
      <w:tr>
        <w:tblPrEx>
          <w:tblW w:w="9015" w:type="dxa"/>
          <w:jc w:val="center"/>
          <w:tblCellMar>
            <w:left w:w="70" w:type="dxa"/>
            <w:right w:w="70" w:type="dxa"/>
          </w:tblCellMar>
        </w:tblPrEx>
        <w:trPr>
          <w:trHeight w:val="1608"/>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7264D7" w:rsidRPr="00495317" w:rsidP="007264D7">
            <w:pPr>
              <w:bidi w:val="0"/>
              <w:rPr>
                <w:rFonts w:ascii="Times New Roman" w:hAnsi="Times New Roman"/>
              </w:rPr>
            </w:pPr>
            <w:r w:rsidRPr="00495317">
              <w:rPr>
                <w:rFonts w:ascii="Times New Roman" w:hAnsi="Times New Roman"/>
                <w:b/>
              </w:rPr>
              <w:t>4.2.</w:t>
            </w:r>
            <w:r w:rsidRPr="00495317">
              <w:rPr>
                <w:rFonts w:ascii="Times New Roman" w:hAnsi="Times New Roman"/>
              </w:rPr>
              <w:t xml:space="preserve"> Zhodnoťte kvalitatívne (prípadne kvantitatívne) vplyvy na prístup k zdrojom, právam, tovarom a službám u jednotlivých ovplyvnených skupín obyvateľstva.</w:t>
            </w:r>
          </w:p>
        </w:tc>
        <w:tc>
          <w:tcPr>
            <w:tcW w:w="4790" w:type="dxa"/>
            <w:tcBorders>
              <w:top w:val="single" w:sz="4" w:space="0" w:color="auto"/>
              <w:left w:val="nil"/>
              <w:bottom w:val="single" w:sz="4" w:space="0" w:color="auto"/>
              <w:right w:val="single" w:sz="4" w:space="0" w:color="auto"/>
            </w:tcBorders>
            <w:textDirection w:val="lrTb"/>
            <w:vAlign w:val="top"/>
          </w:tcPr>
          <w:p w:rsidR="007264D7" w:rsidRPr="00495317" w:rsidP="00A054D3">
            <w:pPr>
              <w:numPr>
                <w:numId w:val="14"/>
              </w:numPr>
              <w:bidi w:val="0"/>
              <w:ind w:left="355" w:hanging="355"/>
              <w:jc w:val="both"/>
              <w:rPr>
                <w:rFonts w:ascii="Times New Roman" w:hAnsi="Times New Roman"/>
              </w:rPr>
            </w:pPr>
            <w:r w:rsidRPr="00495317">
              <w:rPr>
                <w:rFonts w:ascii="Times New Roman" w:hAnsi="Times New Roman"/>
              </w:rPr>
              <w:t xml:space="preserve">Nepredpokladá sa vplyv na prístup k zdrojom, právam, tovarom a službám. </w:t>
            </w:r>
          </w:p>
        </w:tc>
      </w:tr>
      <w:tr>
        <w:tblPrEx>
          <w:tblW w:w="9015" w:type="dxa"/>
          <w:jc w:val="center"/>
          <w:tblCellMar>
            <w:left w:w="70" w:type="dxa"/>
            <w:right w:w="70" w:type="dxa"/>
          </w:tblCellMar>
        </w:tblPrEx>
        <w:trPr>
          <w:trHeight w:val="660"/>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7264D7" w:rsidRPr="00495317" w:rsidP="007264D7">
            <w:pPr>
              <w:bidi w:val="0"/>
              <w:rPr>
                <w:rFonts w:ascii="Times New Roman" w:hAnsi="Times New Roman"/>
              </w:rPr>
            </w:pPr>
            <w:r w:rsidRPr="00495317">
              <w:rPr>
                <w:rFonts w:ascii="Times New Roman" w:hAnsi="Times New Roman"/>
                <w:b/>
              </w:rPr>
              <w:t>4.3.</w:t>
            </w:r>
            <w:r w:rsidRPr="00495317">
              <w:rPr>
                <w:rFonts w:ascii="Times New Roman" w:hAnsi="Times New Roman"/>
                <w:sz w:val="22"/>
                <w:szCs w:val="22"/>
              </w:rPr>
              <w:t xml:space="preserve">  </w:t>
            </w:r>
            <w:r w:rsidRPr="00495317">
              <w:rPr>
                <w:rFonts w:ascii="Times New Roman" w:hAnsi="Times New Roman"/>
              </w:rPr>
              <w:t>Zhodnoťte vplyv na rovnosť príležitostí:</w:t>
            </w:r>
          </w:p>
          <w:p w:rsidR="007264D7" w:rsidRPr="00495317" w:rsidP="007264D7">
            <w:pPr>
              <w:bidi w:val="0"/>
              <w:rPr>
                <w:rFonts w:ascii="Times New Roman" w:hAnsi="Times New Roman"/>
              </w:rPr>
            </w:pPr>
          </w:p>
          <w:p w:rsidR="007264D7" w:rsidRPr="00495317" w:rsidP="007264D7">
            <w:pPr>
              <w:bidi w:val="0"/>
              <w:rPr>
                <w:rFonts w:ascii="Times New Roman" w:hAnsi="Times New Roman"/>
              </w:rPr>
            </w:pPr>
            <w:r w:rsidRPr="00495317">
              <w:rPr>
                <w:rFonts w:ascii="Times New Roman" w:hAnsi="Times New Roman"/>
              </w:rPr>
              <w:t>Zhodnoťte vplyv na rodovú rovnosť.</w:t>
            </w:r>
          </w:p>
          <w:p w:rsidR="007264D7" w:rsidRPr="00495317" w:rsidP="007264D7">
            <w:pPr>
              <w:bidi w:val="0"/>
              <w:rPr>
                <w:rFonts w:ascii="Times New Roman" w:hAnsi="Times New Roman"/>
              </w:rPr>
            </w:pPr>
          </w:p>
        </w:tc>
        <w:tc>
          <w:tcPr>
            <w:tcW w:w="4790" w:type="dxa"/>
            <w:tcBorders>
              <w:top w:val="nil"/>
              <w:left w:val="nil"/>
              <w:bottom w:val="single" w:sz="4" w:space="0" w:color="auto"/>
              <w:right w:val="single" w:sz="4" w:space="0" w:color="auto"/>
            </w:tcBorders>
            <w:textDirection w:val="lrTb"/>
            <w:vAlign w:val="top"/>
          </w:tcPr>
          <w:p w:rsidR="007264D7" w:rsidRPr="00495317" w:rsidP="00A054D3">
            <w:pPr>
              <w:numPr>
                <w:numId w:val="14"/>
              </w:numPr>
              <w:bidi w:val="0"/>
              <w:ind w:left="355" w:hanging="355"/>
              <w:jc w:val="both"/>
              <w:rPr>
                <w:rFonts w:ascii="Times New Roman" w:hAnsi="Times New Roman"/>
              </w:rPr>
            </w:pPr>
            <w:r w:rsidRPr="00495317">
              <w:rPr>
                <w:rFonts w:ascii="Times New Roman" w:hAnsi="Times New Roman"/>
              </w:rPr>
              <w:t>Nepredpokladá sa vplyv na rodovú rovnosť.</w:t>
            </w:r>
          </w:p>
          <w:p w:rsidR="007264D7" w:rsidRPr="00495317" w:rsidP="007264D7">
            <w:pPr>
              <w:bidi w:val="0"/>
              <w:ind w:left="355"/>
              <w:jc w:val="both"/>
              <w:rPr>
                <w:rFonts w:ascii="Times New Roman" w:hAnsi="Times New Roman"/>
              </w:rPr>
            </w:pPr>
          </w:p>
        </w:tc>
      </w:tr>
      <w:tr>
        <w:tblPrEx>
          <w:tblW w:w="9015" w:type="dxa"/>
          <w:jc w:val="center"/>
          <w:tblCellMar>
            <w:left w:w="70" w:type="dxa"/>
            <w:right w:w="70" w:type="dxa"/>
          </w:tblCellMar>
        </w:tblPrEx>
        <w:trPr>
          <w:trHeight w:val="2252"/>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7264D7" w:rsidRPr="00495317" w:rsidP="007264D7">
            <w:pPr>
              <w:bidi w:val="0"/>
              <w:rPr>
                <w:rFonts w:ascii="Times New Roman" w:hAnsi="Times New Roman"/>
              </w:rPr>
            </w:pPr>
            <w:r w:rsidRPr="00495317">
              <w:rPr>
                <w:rFonts w:ascii="Times New Roman" w:hAnsi="Times New Roman"/>
                <w:b/>
              </w:rPr>
              <w:t xml:space="preserve">4.4. </w:t>
            </w:r>
            <w:r w:rsidRPr="00495317">
              <w:rPr>
                <w:rFonts w:ascii="Times New Roman" w:hAnsi="Times New Roman"/>
              </w:rPr>
              <w:t>Zhodnoťte vplyvy na zamestnanosť.</w:t>
            </w:r>
          </w:p>
          <w:p w:rsidR="007264D7" w:rsidRPr="00495317" w:rsidP="007264D7">
            <w:pPr>
              <w:bidi w:val="0"/>
              <w:rPr>
                <w:rFonts w:ascii="Times New Roman" w:hAnsi="Times New Roman"/>
                <w:b/>
              </w:rPr>
            </w:pPr>
          </w:p>
          <w:p w:rsidR="007264D7" w:rsidRPr="00495317" w:rsidP="007264D7">
            <w:pPr>
              <w:bidi w:val="0"/>
              <w:rPr>
                <w:rFonts w:ascii="Times New Roman" w:hAnsi="Times New Roman"/>
                <w:bCs/>
              </w:rPr>
            </w:pPr>
            <w:r w:rsidRPr="00495317">
              <w:rPr>
                <w:rFonts w:ascii="Times New Roman" w:hAnsi="Times New Roman"/>
                <w:bCs/>
              </w:rPr>
              <w:t>Aké sú  vplyvy na zamestnanosť ?</w:t>
            </w:r>
          </w:p>
          <w:p w:rsidR="007264D7" w:rsidRPr="00495317" w:rsidP="007264D7">
            <w:pPr>
              <w:bidi w:val="0"/>
              <w:rPr>
                <w:rFonts w:ascii="Times New Roman" w:hAnsi="Times New Roman"/>
              </w:rPr>
            </w:pPr>
            <w:r w:rsidRPr="00495317">
              <w:rPr>
                <w:rFonts w:ascii="Times New Roman" w:hAnsi="Times New Roman"/>
                <w:bCs/>
              </w:rPr>
              <w:t>Ktoré skupiny zamestnancov budú ohrozené schválením predkladaného materiálu ?</w:t>
            </w:r>
          </w:p>
          <w:p w:rsidR="007264D7" w:rsidRPr="00495317" w:rsidP="007264D7">
            <w:pPr>
              <w:bidi w:val="0"/>
              <w:rPr>
                <w:rFonts w:ascii="Times New Roman" w:hAnsi="Times New Roman"/>
                <w:bCs/>
              </w:rPr>
            </w:pPr>
            <w:r w:rsidRPr="00495317">
              <w:rPr>
                <w:rFonts w:ascii="Times New Roman" w:hAnsi="Times New Roman"/>
                <w:bCs/>
              </w:rPr>
              <w:t>Hrozí v prípade schválenia predkladaného materiálu hromadné prepúšťanie ?</w:t>
            </w:r>
          </w:p>
        </w:tc>
        <w:tc>
          <w:tcPr>
            <w:tcW w:w="4790" w:type="dxa"/>
            <w:tcBorders>
              <w:top w:val="single" w:sz="4" w:space="0" w:color="auto"/>
              <w:left w:val="single" w:sz="4" w:space="0" w:color="auto"/>
              <w:bottom w:val="single" w:sz="4" w:space="0" w:color="auto"/>
              <w:right w:val="single" w:sz="4" w:space="0" w:color="auto"/>
            </w:tcBorders>
            <w:textDirection w:val="lrTb"/>
            <w:vAlign w:val="top"/>
          </w:tcPr>
          <w:p w:rsidR="007264D7" w:rsidRPr="00495317" w:rsidP="007264D7">
            <w:pPr>
              <w:bidi w:val="0"/>
              <w:jc w:val="both"/>
              <w:rPr>
                <w:rFonts w:ascii="Times New Roman" w:hAnsi="Times New Roman"/>
              </w:rPr>
            </w:pPr>
            <w:r w:rsidRPr="00495317">
              <w:rPr>
                <w:rFonts w:ascii="Times New Roman" w:hAnsi="Times New Roman"/>
              </w:rPr>
              <w:t> Nepredpokladá sa vplyv na zamestnanosť.</w:t>
            </w:r>
          </w:p>
          <w:p w:rsidR="007264D7" w:rsidRPr="00495317" w:rsidP="007264D7">
            <w:pPr>
              <w:bidi w:val="0"/>
              <w:jc w:val="both"/>
              <w:rPr>
                <w:rFonts w:ascii="Times New Roman" w:hAnsi="Times New Roman"/>
              </w:rPr>
            </w:pPr>
          </w:p>
          <w:p w:rsidR="007264D7" w:rsidRPr="00495317" w:rsidP="007264D7">
            <w:pPr>
              <w:bidi w:val="0"/>
              <w:jc w:val="both"/>
              <w:rPr>
                <w:rFonts w:ascii="Times New Roman" w:hAnsi="Times New Roman"/>
              </w:rPr>
            </w:pPr>
          </w:p>
          <w:p w:rsidR="007264D7" w:rsidRPr="00495317" w:rsidP="007264D7">
            <w:pPr>
              <w:bidi w:val="0"/>
              <w:jc w:val="both"/>
              <w:rPr>
                <w:rFonts w:ascii="Times New Roman" w:hAnsi="Times New Roman"/>
              </w:rPr>
            </w:pPr>
          </w:p>
          <w:p w:rsidR="007264D7" w:rsidRPr="00495317" w:rsidP="007264D7">
            <w:pPr>
              <w:bidi w:val="0"/>
              <w:jc w:val="both"/>
              <w:rPr>
                <w:rFonts w:ascii="Times New Roman" w:hAnsi="Times New Roman"/>
              </w:rPr>
            </w:pPr>
          </w:p>
        </w:tc>
      </w:tr>
    </w:tbl>
    <w:p w:rsidR="007264D7" w:rsidP="007264D7">
      <w:pPr>
        <w:bidi w:val="0"/>
        <w:jc w:val="both"/>
        <w:rPr>
          <w:rFonts w:ascii="Times New Roman" w:hAnsi="Times New Roman"/>
          <w:b/>
        </w:rPr>
      </w:pPr>
    </w:p>
    <w:p w:rsidR="007264D7" w:rsidP="00A054D3">
      <w:pPr>
        <w:numPr>
          <w:numId w:val="16"/>
        </w:numPr>
        <w:bidi w:val="0"/>
        <w:ind w:left="426" w:hanging="426"/>
        <w:jc w:val="both"/>
        <w:rPr>
          <w:rFonts w:ascii="Times New Roman" w:hAnsi="Times New Roman"/>
          <w:b/>
        </w:rPr>
      </w:pPr>
      <w:r>
        <w:rPr>
          <w:rFonts w:ascii="Times New Roman" w:hAnsi="Times New Roman"/>
          <w:b/>
        </w:rPr>
        <w:t>Vplyv na hospodárenie domácností</w:t>
      </w:r>
    </w:p>
    <w:p w:rsidR="007264D7" w:rsidP="007264D7">
      <w:pPr>
        <w:autoSpaceDE w:val="0"/>
        <w:autoSpaceDN w:val="0"/>
        <w:bidi w:val="0"/>
        <w:adjustRightInd w:val="0"/>
        <w:spacing w:line="300" w:lineRule="atLeast"/>
        <w:jc w:val="both"/>
        <w:rPr>
          <w:rFonts w:ascii="Times New Roman" w:hAnsi="Times New Roman"/>
          <w:color w:val="000000"/>
        </w:rPr>
      </w:pPr>
    </w:p>
    <w:p w:rsidR="007264D7" w:rsidP="00A054D3">
      <w:pPr>
        <w:pStyle w:val="ListParagraph"/>
        <w:numPr>
          <w:numId w:val="17"/>
        </w:numPr>
        <w:bidi w:val="0"/>
        <w:spacing w:after="200" w:line="276" w:lineRule="auto"/>
        <w:ind w:left="426" w:hanging="426"/>
        <w:jc w:val="both"/>
        <w:rPr>
          <w:rFonts w:ascii="Times New Roman" w:hAnsi="Times New Roman"/>
          <w:b/>
          <w:sz w:val="24"/>
          <w:szCs w:val="24"/>
        </w:rPr>
      </w:pPr>
      <w:r w:rsidRPr="004B6378">
        <w:rPr>
          <w:rFonts w:ascii="Times New Roman" w:hAnsi="Times New Roman"/>
          <w:b/>
          <w:sz w:val="24"/>
          <w:szCs w:val="24"/>
        </w:rPr>
        <w:t xml:space="preserve">Zrušenie NČZD na DDS, životné poistenie a účelové sporenie </w:t>
      </w:r>
    </w:p>
    <w:p w:rsidR="007264D7" w:rsidRPr="004B6378" w:rsidP="007264D7">
      <w:pPr>
        <w:pStyle w:val="ListParagraph"/>
        <w:bidi w:val="0"/>
        <w:ind w:left="426"/>
        <w:jc w:val="both"/>
        <w:rPr>
          <w:rFonts w:ascii="Times New Roman" w:hAnsi="Times New Roman"/>
          <w:b/>
          <w:sz w:val="24"/>
          <w:szCs w:val="24"/>
        </w:rPr>
      </w:pPr>
    </w:p>
    <w:p w:rsidR="007264D7" w:rsidRPr="004B6378" w:rsidP="00A054D3">
      <w:pPr>
        <w:pStyle w:val="ListParagraph"/>
        <w:numPr>
          <w:numId w:val="15"/>
        </w:numPr>
        <w:bidi w:val="0"/>
        <w:jc w:val="both"/>
        <w:rPr>
          <w:rFonts w:ascii="Times New Roman" w:hAnsi="Times New Roman"/>
          <w:sz w:val="24"/>
          <w:szCs w:val="24"/>
        </w:rPr>
      </w:pPr>
      <w:r w:rsidRPr="004B6378">
        <w:rPr>
          <w:rFonts w:ascii="Times New Roman" w:hAnsi="Times New Roman"/>
          <w:sz w:val="24"/>
          <w:szCs w:val="24"/>
        </w:rPr>
        <w:t xml:space="preserve">nebude mať žiaden vplyv na daňovníkov s mesačnými príjmami do úrovne 342,2 Eur, </w:t>
      </w:r>
    </w:p>
    <w:p w:rsidR="007264D7" w:rsidRPr="004B6378" w:rsidP="00A054D3">
      <w:pPr>
        <w:pStyle w:val="ListParagraph"/>
        <w:numPr>
          <w:numId w:val="15"/>
        </w:numPr>
        <w:bidi w:val="0"/>
        <w:jc w:val="both"/>
        <w:rPr>
          <w:rFonts w:ascii="Times New Roman" w:hAnsi="Times New Roman"/>
          <w:sz w:val="24"/>
          <w:szCs w:val="24"/>
        </w:rPr>
      </w:pPr>
      <w:r w:rsidRPr="004B6378">
        <w:rPr>
          <w:rFonts w:ascii="Times New Roman" w:hAnsi="Times New Roman"/>
          <w:sz w:val="24"/>
          <w:szCs w:val="24"/>
        </w:rPr>
        <w:t xml:space="preserve">u daňovníkov s príjmami v intervale od 342,2 – 380,7 Eur mesačne dôjde k zníženiu ich ročných čistých príjmov v intervale od 0 do 75,66 Eur v závislosti od výšky ich miezd a príspevkov na DDS, životné poistenie a účelové sporenie, </w:t>
      </w:r>
    </w:p>
    <w:p w:rsidR="007264D7" w:rsidP="00A054D3">
      <w:pPr>
        <w:pStyle w:val="ListParagraph"/>
        <w:numPr>
          <w:numId w:val="15"/>
        </w:numPr>
        <w:bidi w:val="0"/>
        <w:jc w:val="both"/>
        <w:rPr>
          <w:rFonts w:ascii="Times New Roman" w:hAnsi="Times New Roman"/>
          <w:sz w:val="24"/>
          <w:szCs w:val="24"/>
        </w:rPr>
      </w:pPr>
      <w:r w:rsidRPr="004B6378">
        <w:rPr>
          <w:rFonts w:ascii="Times New Roman" w:hAnsi="Times New Roman"/>
          <w:sz w:val="24"/>
          <w:szCs w:val="24"/>
        </w:rPr>
        <w:t xml:space="preserve">u daňovníkov s príjmami nad 380,7 Eur mesačne, ktorí si prispievajú na DDS, životné poistenie a účelové sporenie v plnej výške (398,33 Eur/rok) dôjde k zníženiu ich ročných disponibilných príjmov o 75,66 Eur. </w:t>
      </w:r>
    </w:p>
    <w:p w:rsidR="007264D7" w:rsidRPr="004B6378" w:rsidP="007264D7">
      <w:pPr>
        <w:pStyle w:val="ListParagraph"/>
        <w:bidi w:val="0"/>
        <w:jc w:val="both"/>
        <w:rPr>
          <w:rFonts w:ascii="Times New Roman" w:hAnsi="Times New Roman"/>
          <w:sz w:val="24"/>
          <w:szCs w:val="24"/>
        </w:rPr>
      </w:pPr>
    </w:p>
    <w:p w:rsidR="007264D7" w:rsidRPr="004B6378" w:rsidP="007264D7">
      <w:pPr>
        <w:bidi w:val="0"/>
        <w:jc w:val="both"/>
        <w:rPr>
          <w:rFonts w:ascii="Times New Roman" w:hAnsi="Times New Roman"/>
        </w:rPr>
      </w:pPr>
      <w:r w:rsidRPr="004B6378">
        <w:rPr>
          <w:rFonts w:ascii="Times New Roman" w:hAnsi="Times New Roman"/>
        </w:rPr>
        <w:t xml:space="preserve">Uvedená zmena bude mať v roku 2012 nasledujúci vplyv na čisté príjmy jednotlivých daňovníkov (za zdaňovacie obdobie 2011 v ročnom zúčtovaní v marci 2012):  </w:t>
      </w:r>
    </w:p>
    <w:p w:rsidR="007264D7" w:rsidRPr="00134324" w:rsidP="007264D7">
      <w:pPr>
        <w:bidi w:val="0"/>
        <w:jc w:val="both"/>
        <w:rPr>
          <w:rFonts w:ascii="Arial Narrow" w:hAnsi="Arial Narrow"/>
        </w:rPr>
      </w:pPr>
    </w:p>
    <w:tbl>
      <w:tblPr>
        <w:tblStyle w:val="TableNormal"/>
        <w:tblW w:w="8579" w:type="dxa"/>
        <w:jc w:val="center"/>
        <w:tblLook w:val="00A0"/>
      </w:tblPr>
      <w:tblGrid>
        <w:gridCol w:w="3440"/>
        <w:gridCol w:w="919"/>
        <w:gridCol w:w="1180"/>
        <w:gridCol w:w="1259"/>
        <w:gridCol w:w="1100"/>
        <w:gridCol w:w="819"/>
      </w:tblGrid>
      <w:tr>
        <w:tblPrEx>
          <w:tblW w:w="8579" w:type="dxa"/>
          <w:jc w:val="center"/>
          <w:tblLook w:val="00A0"/>
        </w:tblPrEx>
        <w:trPr>
          <w:trHeight w:val="340"/>
          <w:jc w:val="center"/>
        </w:trPr>
        <w:tc>
          <w:tcPr>
            <w:tcW w:w="8579" w:type="dxa"/>
            <w:gridSpan w:val="6"/>
            <w:tcBorders>
              <w:top w:val="single" w:sz="4" w:space="0" w:color="auto"/>
              <w:left w:val="single" w:sz="4" w:space="0" w:color="auto"/>
              <w:bottom w:val="nil"/>
              <w:right w:val="single" w:sz="4" w:space="0" w:color="000000"/>
            </w:tcBorders>
            <w:shd w:val="clear" w:color="000000" w:fill="000000"/>
            <w:noWrap/>
            <w:textDirection w:val="lrTb"/>
            <w:vAlign w:val="center"/>
          </w:tcPr>
          <w:p w:rsidR="007264D7" w:rsidRPr="007B45F7" w:rsidP="007264D7">
            <w:pPr>
              <w:bidi w:val="0"/>
              <w:rPr>
                <w:rFonts w:ascii="Arial Narrow" w:hAnsi="Arial Narrow" w:cs="Arial"/>
                <w:b/>
                <w:bCs/>
                <w:color w:val="FFFFFF"/>
                <w:sz w:val="20"/>
                <w:szCs w:val="20"/>
              </w:rPr>
            </w:pPr>
            <w:r w:rsidRPr="007B45F7">
              <w:rPr>
                <w:rFonts w:ascii="Arial Narrow" w:hAnsi="Arial Narrow" w:cs="Arial"/>
                <w:b/>
                <w:bCs/>
                <w:color w:val="FFFFFF"/>
                <w:sz w:val="20"/>
                <w:szCs w:val="20"/>
              </w:rPr>
              <w:t>Vp</w:t>
            </w:r>
            <w:r>
              <w:rPr>
                <w:rFonts w:ascii="Arial Narrow" w:hAnsi="Arial Narrow" w:cs="Arial"/>
                <w:b/>
                <w:bCs/>
                <w:color w:val="FFFFFF"/>
                <w:sz w:val="20"/>
                <w:szCs w:val="20"/>
              </w:rPr>
              <w:t>lyv zrušeni</w:t>
            </w:r>
            <w:r w:rsidRPr="007B45F7">
              <w:rPr>
                <w:rFonts w:ascii="Arial Narrow" w:hAnsi="Arial Narrow" w:cs="Arial"/>
                <w:b/>
                <w:bCs/>
                <w:color w:val="FFFFFF"/>
                <w:sz w:val="20"/>
                <w:szCs w:val="20"/>
              </w:rPr>
              <w:t xml:space="preserve">a NČZD na DDS, </w:t>
            </w:r>
            <w:r>
              <w:rPr>
                <w:rFonts w:ascii="Arial Narrow" w:hAnsi="Arial Narrow" w:cs="Arial"/>
                <w:b/>
                <w:bCs/>
                <w:color w:val="FFFFFF"/>
                <w:sz w:val="20"/>
                <w:szCs w:val="20"/>
              </w:rPr>
              <w:t xml:space="preserve"> </w:t>
            </w:r>
            <w:r w:rsidRPr="007B45F7">
              <w:rPr>
                <w:rFonts w:ascii="Arial Narrow" w:hAnsi="Arial Narrow" w:cs="Arial"/>
                <w:b/>
                <w:bCs/>
                <w:color w:val="FFFFFF"/>
                <w:sz w:val="20"/>
                <w:szCs w:val="20"/>
              </w:rPr>
              <w:t>životné poistenie a účelové sporenie</w:t>
            </w:r>
            <w:r>
              <w:rPr>
                <w:rFonts w:ascii="Arial Narrow" w:hAnsi="Arial Narrow" w:cs="Arial"/>
                <w:b/>
                <w:bCs/>
                <w:color w:val="FFFFFF"/>
                <w:sz w:val="20"/>
                <w:szCs w:val="20"/>
              </w:rPr>
              <w:t xml:space="preserve"> </w:t>
            </w:r>
            <w:r w:rsidRPr="007B45F7">
              <w:rPr>
                <w:rFonts w:ascii="Arial Narrow" w:hAnsi="Arial Narrow" w:cs="Arial"/>
                <w:b/>
                <w:bCs/>
                <w:color w:val="FFFFFF"/>
                <w:sz w:val="20"/>
                <w:szCs w:val="20"/>
              </w:rPr>
              <w:t>(v Eur</w:t>
            </w:r>
            <w:r>
              <w:rPr>
                <w:rFonts w:ascii="Arial Narrow" w:hAnsi="Arial Narrow" w:cs="Arial"/>
                <w:b/>
                <w:bCs/>
                <w:color w:val="FFFFFF"/>
                <w:sz w:val="20"/>
                <w:szCs w:val="20"/>
              </w:rPr>
              <w:t>,  2011</w:t>
            </w:r>
            <w:r w:rsidRPr="007B45F7">
              <w:rPr>
                <w:rFonts w:ascii="Arial Narrow" w:hAnsi="Arial Narrow" w:cs="Arial"/>
                <w:b/>
                <w:bCs/>
                <w:color w:val="FFFFFF"/>
                <w:sz w:val="20"/>
                <w:szCs w:val="20"/>
              </w:rPr>
              <w:t>)</w:t>
            </w:r>
            <w:r>
              <w:rPr>
                <w:rFonts w:ascii="Arial Narrow" w:hAnsi="Arial Narrow" w:cs="Arial"/>
                <w:b/>
                <w:bCs/>
                <w:color w:val="FFFFFF"/>
                <w:sz w:val="20"/>
                <w:szCs w:val="20"/>
              </w:rPr>
              <w:t xml:space="preserve">, </w:t>
            </w:r>
          </w:p>
        </w:tc>
      </w:tr>
      <w:tr>
        <w:tblPrEx>
          <w:tblW w:w="8579" w:type="dxa"/>
          <w:jc w:val="center"/>
          <w:tblLook w:val="00A0"/>
        </w:tblPrEx>
        <w:trPr>
          <w:trHeight w:val="900"/>
          <w:jc w:val="center"/>
        </w:trPr>
        <w:tc>
          <w:tcPr>
            <w:tcW w:w="3440" w:type="dxa"/>
            <w:tcBorders>
              <w:top w:val="nil"/>
              <w:left w:val="nil"/>
              <w:bottom w:val="none" w:sz="0" w:space="0" w:color="auto"/>
              <w:right w:val="nil"/>
            </w:tcBorders>
            <w:shd w:val="clear" w:color="000000" w:fill="BFBFBF"/>
            <w:noWrap/>
            <w:textDirection w:val="lrTb"/>
            <w:vAlign w:val="center"/>
          </w:tcPr>
          <w:p w:rsidR="007264D7" w:rsidRPr="007B45F7" w:rsidP="007264D7">
            <w:pPr>
              <w:bidi w:val="0"/>
              <w:rPr>
                <w:rFonts w:ascii="Arial Narrow" w:hAnsi="Arial Narrow" w:cs="Arial"/>
                <w:b/>
                <w:bCs/>
                <w:color w:val="FFFFFF"/>
                <w:sz w:val="20"/>
                <w:szCs w:val="20"/>
              </w:rPr>
            </w:pPr>
            <w:r w:rsidRPr="007B45F7">
              <w:rPr>
                <w:rFonts w:ascii="Arial Narrow" w:hAnsi="Arial Narrow" w:cs="Arial"/>
                <w:b/>
                <w:bCs/>
                <w:color w:val="FFFFFF"/>
                <w:sz w:val="20"/>
                <w:szCs w:val="20"/>
              </w:rPr>
              <w:t> </w:t>
            </w:r>
          </w:p>
        </w:tc>
        <w:tc>
          <w:tcPr>
            <w:tcW w:w="781" w:type="dxa"/>
            <w:tcBorders>
              <w:top w:val="nil"/>
              <w:left w:val="nil"/>
              <w:bottom w:val="none" w:sz="0" w:space="0" w:color="auto"/>
              <w:right w:val="nil"/>
            </w:tcBorders>
            <w:shd w:val="clear" w:color="000000" w:fill="BFBFBF"/>
            <w:textDirection w:val="lrTb"/>
            <w:vAlign w:val="center"/>
          </w:tcPr>
          <w:p w:rsidR="007264D7" w:rsidRPr="007B45F7" w:rsidP="007264D7">
            <w:pPr>
              <w:bidi w:val="0"/>
              <w:jc w:val="center"/>
              <w:rPr>
                <w:rFonts w:ascii="Arial Narrow" w:hAnsi="Arial Narrow" w:cs="Arial"/>
                <w:b/>
                <w:bCs/>
                <w:color w:val="000000"/>
                <w:sz w:val="20"/>
                <w:szCs w:val="20"/>
              </w:rPr>
            </w:pPr>
            <w:r>
              <w:rPr>
                <w:rFonts w:ascii="Arial Narrow" w:hAnsi="Arial Narrow" w:cs="Arial"/>
                <w:b/>
                <w:bCs/>
                <w:color w:val="000000"/>
                <w:sz w:val="20"/>
                <w:szCs w:val="20"/>
              </w:rPr>
              <w:t>Hrubý mesa</w:t>
            </w:r>
            <w:r w:rsidRPr="007B45F7">
              <w:rPr>
                <w:rFonts w:ascii="Arial Narrow" w:hAnsi="Arial Narrow" w:cs="Arial"/>
                <w:b/>
                <w:bCs/>
                <w:color w:val="000000"/>
                <w:sz w:val="20"/>
                <w:szCs w:val="20"/>
              </w:rPr>
              <w:t>čný príjem</w:t>
            </w:r>
          </w:p>
        </w:tc>
        <w:tc>
          <w:tcPr>
            <w:tcW w:w="1180" w:type="dxa"/>
            <w:tcBorders>
              <w:top w:val="nil"/>
              <w:left w:val="nil"/>
              <w:bottom w:val="none" w:sz="0" w:space="0" w:color="auto"/>
              <w:right w:val="nil"/>
            </w:tcBorders>
            <w:shd w:val="clear" w:color="000000" w:fill="BFBFBF"/>
            <w:textDirection w:val="lrTb"/>
            <w:vAlign w:val="center"/>
          </w:tcPr>
          <w:p w:rsidR="007264D7" w:rsidRPr="007B45F7" w:rsidP="007264D7">
            <w:pPr>
              <w:bidi w:val="0"/>
              <w:jc w:val="center"/>
              <w:rPr>
                <w:rFonts w:ascii="Arial Narrow" w:hAnsi="Arial Narrow" w:cs="Arial"/>
                <w:b/>
                <w:bCs/>
                <w:color w:val="000000"/>
                <w:sz w:val="20"/>
                <w:szCs w:val="20"/>
              </w:rPr>
            </w:pPr>
            <w:r w:rsidRPr="007B45F7">
              <w:rPr>
                <w:rFonts w:ascii="Arial Narrow" w:hAnsi="Arial Narrow" w:cs="Arial"/>
                <w:b/>
                <w:bCs/>
                <w:color w:val="000000"/>
                <w:sz w:val="20"/>
                <w:szCs w:val="20"/>
              </w:rPr>
              <w:t>Čistý ročný príjem       (bez zmeny)</w:t>
            </w:r>
          </w:p>
        </w:tc>
        <w:tc>
          <w:tcPr>
            <w:tcW w:w="1259" w:type="dxa"/>
            <w:tcBorders>
              <w:top w:val="nil"/>
              <w:left w:val="nil"/>
              <w:bottom w:val="none" w:sz="0" w:space="0" w:color="auto"/>
              <w:right w:val="nil"/>
            </w:tcBorders>
            <w:shd w:val="clear" w:color="000000" w:fill="BFBFBF"/>
            <w:textDirection w:val="lrTb"/>
            <w:vAlign w:val="center"/>
          </w:tcPr>
          <w:p w:rsidR="007264D7" w:rsidRPr="007B45F7" w:rsidP="007264D7">
            <w:pPr>
              <w:bidi w:val="0"/>
              <w:jc w:val="center"/>
              <w:rPr>
                <w:rFonts w:ascii="Arial Narrow" w:hAnsi="Arial Narrow" w:cs="Arial"/>
                <w:b/>
                <w:bCs/>
                <w:color w:val="000000"/>
                <w:sz w:val="20"/>
                <w:szCs w:val="20"/>
              </w:rPr>
            </w:pPr>
            <w:r w:rsidRPr="007B45F7">
              <w:rPr>
                <w:rFonts w:ascii="Arial Narrow" w:hAnsi="Arial Narrow" w:cs="Arial"/>
                <w:b/>
                <w:bCs/>
                <w:color w:val="000000"/>
                <w:sz w:val="20"/>
                <w:szCs w:val="20"/>
              </w:rPr>
              <w:t>Čistý ročný príjem         (so zmenou)</w:t>
            </w:r>
          </w:p>
        </w:tc>
        <w:tc>
          <w:tcPr>
            <w:tcW w:w="1100" w:type="dxa"/>
            <w:tcBorders>
              <w:top w:val="nil"/>
              <w:left w:val="nil"/>
              <w:bottom w:val="none" w:sz="0" w:space="0" w:color="auto"/>
              <w:right w:val="nil"/>
            </w:tcBorders>
            <w:shd w:val="clear" w:color="000000" w:fill="BFBFBF"/>
            <w:textDirection w:val="lrTb"/>
            <w:vAlign w:val="center"/>
          </w:tcPr>
          <w:p w:rsidR="007264D7" w:rsidRPr="007B45F7" w:rsidP="007264D7">
            <w:pPr>
              <w:bidi w:val="0"/>
              <w:jc w:val="center"/>
              <w:rPr>
                <w:rFonts w:ascii="Arial Narrow" w:hAnsi="Arial Narrow" w:cs="Arial"/>
                <w:b/>
                <w:bCs/>
                <w:color w:val="000000"/>
                <w:sz w:val="20"/>
                <w:szCs w:val="20"/>
              </w:rPr>
            </w:pPr>
            <w:r w:rsidRPr="007B45F7">
              <w:rPr>
                <w:rFonts w:ascii="Arial Narrow" w:hAnsi="Arial Narrow" w:cs="Arial"/>
                <w:b/>
                <w:bCs/>
                <w:color w:val="000000"/>
                <w:sz w:val="20"/>
                <w:szCs w:val="20"/>
              </w:rPr>
              <w:t>Zmena (absolútne)</w:t>
            </w:r>
          </w:p>
        </w:tc>
        <w:tc>
          <w:tcPr>
            <w:tcW w:w="819" w:type="dxa"/>
            <w:tcBorders>
              <w:top w:val="nil"/>
              <w:left w:val="nil"/>
              <w:bottom w:val="none" w:sz="0" w:space="0" w:color="auto"/>
              <w:right w:val="nil"/>
            </w:tcBorders>
            <w:shd w:val="clear" w:color="000000" w:fill="BFBFBF"/>
            <w:textDirection w:val="lrTb"/>
            <w:vAlign w:val="center"/>
          </w:tcPr>
          <w:p w:rsidR="007264D7" w:rsidRPr="007B45F7" w:rsidP="007264D7">
            <w:pPr>
              <w:bidi w:val="0"/>
              <w:jc w:val="center"/>
              <w:rPr>
                <w:rFonts w:ascii="Arial Narrow" w:hAnsi="Arial Narrow" w:cs="Arial"/>
                <w:b/>
                <w:bCs/>
                <w:color w:val="000000"/>
                <w:sz w:val="20"/>
                <w:szCs w:val="20"/>
              </w:rPr>
            </w:pPr>
            <w:r w:rsidRPr="007B45F7">
              <w:rPr>
                <w:rFonts w:ascii="Arial Narrow" w:hAnsi="Arial Narrow" w:cs="Arial"/>
                <w:b/>
                <w:bCs/>
                <w:color w:val="000000"/>
                <w:sz w:val="20"/>
                <w:szCs w:val="20"/>
              </w:rPr>
              <w:t>Zmena       (v %)</w:t>
            </w:r>
          </w:p>
        </w:tc>
      </w:tr>
      <w:tr>
        <w:tblPrEx>
          <w:tblW w:w="8579" w:type="dxa"/>
          <w:jc w:val="center"/>
          <w:tblLook w:val="00A0"/>
        </w:tblPrEx>
        <w:trPr>
          <w:trHeight w:val="300"/>
          <w:jc w:val="center"/>
        </w:trPr>
        <w:tc>
          <w:tcPr>
            <w:tcW w:w="3440" w:type="dxa"/>
            <w:tcBorders>
              <w:top w:val="nil"/>
              <w:left w:val="nil"/>
              <w:bottom w:val="nil"/>
              <w:right w:val="nil"/>
            </w:tcBorders>
            <w:textDirection w:val="lrTb"/>
            <w:vAlign w:val="center"/>
          </w:tcPr>
          <w:p w:rsidR="007264D7" w:rsidRPr="007B45F7" w:rsidP="007264D7">
            <w:pPr>
              <w:bidi w:val="0"/>
              <w:rPr>
                <w:rFonts w:ascii="Arial Narrow" w:hAnsi="Arial Narrow" w:cs="Arial"/>
                <w:color w:val="000000"/>
                <w:sz w:val="20"/>
                <w:szCs w:val="20"/>
              </w:rPr>
            </w:pPr>
            <w:r w:rsidRPr="007B45F7">
              <w:rPr>
                <w:rFonts w:ascii="Arial Narrow" w:hAnsi="Arial Narrow" w:cs="Arial"/>
                <w:color w:val="000000"/>
                <w:sz w:val="20"/>
                <w:szCs w:val="20"/>
              </w:rPr>
              <w:t>Daňovník s príjmom na úrovni MM</w:t>
            </w:r>
          </w:p>
        </w:tc>
        <w:tc>
          <w:tcPr>
            <w:tcW w:w="781"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317</w:t>
            </w:r>
          </w:p>
        </w:tc>
        <w:tc>
          <w:tcPr>
            <w:tcW w:w="1180"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3 345</w:t>
            </w:r>
          </w:p>
        </w:tc>
        <w:tc>
          <w:tcPr>
            <w:tcW w:w="1259"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3 345</w:t>
            </w:r>
          </w:p>
        </w:tc>
        <w:tc>
          <w:tcPr>
            <w:tcW w:w="1100"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0</w:t>
            </w:r>
          </w:p>
        </w:tc>
        <w:tc>
          <w:tcPr>
            <w:tcW w:w="819"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0,</w:t>
            </w:r>
            <w:r w:rsidRPr="007B45F7">
              <w:rPr>
                <w:rFonts w:ascii="Arial Narrow" w:hAnsi="Arial Narrow" w:cs="Arial"/>
                <w:color w:val="000000"/>
                <w:sz w:val="20"/>
                <w:szCs w:val="20"/>
              </w:rPr>
              <w:t>0%</w:t>
            </w:r>
          </w:p>
        </w:tc>
      </w:tr>
      <w:tr>
        <w:tblPrEx>
          <w:tblW w:w="8579" w:type="dxa"/>
          <w:jc w:val="center"/>
          <w:tblLook w:val="00A0"/>
        </w:tblPrEx>
        <w:trPr>
          <w:trHeight w:val="300"/>
          <w:jc w:val="center"/>
        </w:trPr>
        <w:tc>
          <w:tcPr>
            <w:tcW w:w="3440" w:type="dxa"/>
            <w:tcBorders>
              <w:top w:val="nil"/>
              <w:left w:val="nil"/>
              <w:bottom w:val="nil"/>
              <w:right w:val="nil"/>
            </w:tcBorders>
            <w:textDirection w:val="lrTb"/>
            <w:vAlign w:val="center"/>
          </w:tcPr>
          <w:p w:rsidR="007264D7" w:rsidRPr="007B45F7" w:rsidP="007264D7">
            <w:pPr>
              <w:bidi w:val="0"/>
              <w:rPr>
                <w:rFonts w:ascii="Arial Narrow" w:hAnsi="Arial Narrow" w:cs="Arial"/>
                <w:color w:val="000000"/>
                <w:sz w:val="20"/>
                <w:szCs w:val="20"/>
              </w:rPr>
            </w:pPr>
            <w:r w:rsidRPr="007B45F7">
              <w:rPr>
                <w:rFonts w:ascii="Arial Narrow" w:hAnsi="Arial Narrow" w:cs="Arial"/>
                <w:color w:val="000000"/>
                <w:sz w:val="20"/>
                <w:szCs w:val="20"/>
              </w:rPr>
              <w:t>Daňovník s príjmom na úrovni polovice PM</w:t>
            </w:r>
          </w:p>
        </w:tc>
        <w:tc>
          <w:tcPr>
            <w:tcW w:w="781"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396</w:t>
            </w:r>
          </w:p>
        </w:tc>
        <w:tc>
          <w:tcPr>
            <w:tcW w:w="1180"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 xml:space="preserve">4 </w:t>
            </w:r>
            <w:r>
              <w:rPr>
                <w:rFonts w:ascii="Arial Narrow" w:hAnsi="Arial Narrow" w:cs="Arial"/>
                <w:color w:val="000000"/>
                <w:sz w:val="20"/>
                <w:szCs w:val="20"/>
              </w:rPr>
              <w:t>091</w:t>
            </w:r>
          </w:p>
        </w:tc>
        <w:tc>
          <w:tcPr>
            <w:tcW w:w="1259"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4 016</w:t>
            </w:r>
          </w:p>
        </w:tc>
        <w:tc>
          <w:tcPr>
            <w:tcW w:w="1100"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w:t>
            </w:r>
            <w:r>
              <w:rPr>
                <w:rFonts w:ascii="Arial Narrow" w:hAnsi="Arial Narrow" w:cs="Arial"/>
                <w:color w:val="000000"/>
                <w:sz w:val="20"/>
                <w:szCs w:val="20"/>
              </w:rPr>
              <w:t>75,7</w:t>
            </w:r>
          </w:p>
        </w:tc>
        <w:tc>
          <w:tcPr>
            <w:tcW w:w="819"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-1,8</w:t>
            </w:r>
            <w:r w:rsidRPr="007B45F7">
              <w:rPr>
                <w:rFonts w:ascii="Arial Narrow" w:hAnsi="Arial Narrow" w:cs="Arial"/>
                <w:color w:val="000000"/>
                <w:sz w:val="20"/>
                <w:szCs w:val="20"/>
              </w:rPr>
              <w:t>%</w:t>
            </w:r>
          </w:p>
        </w:tc>
      </w:tr>
      <w:tr>
        <w:tblPrEx>
          <w:tblW w:w="8579" w:type="dxa"/>
          <w:jc w:val="center"/>
          <w:tblLook w:val="00A0"/>
        </w:tblPrEx>
        <w:trPr>
          <w:trHeight w:val="300"/>
          <w:jc w:val="center"/>
        </w:trPr>
        <w:tc>
          <w:tcPr>
            <w:tcW w:w="3440" w:type="dxa"/>
            <w:tcBorders>
              <w:top w:val="nil"/>
              <w:left w:val="nil"/>
              <w:bottom w:val="nil"/>
              <w:right w:val="nil"/>
            </w:tcBorders>
            <w:textDirection w:val="lrTb"/>
            <w:vAlign w:val="center"/>
          </w:tcPr>
          <w:p w:rsidR="007264D7" w:rsidRPr="007B45F7" w:rsidP="007264D7">
            <w:pPr>
              <w:bidi w:val="0"/>
              <w:rPr>
                <w:rFonts w:ascii="Arial Narrow" w:hAnsi="Arial Narrow" w:cs="Arial"/>
                <w:color w:val="000000"/>
                <w:sz w:val="20"/>
                <w:szCs w:val="20"/>
              </w:rPr>
            </w:pPr>
            <w:r w:rsidRPr="007B45F7">
              <w:rPr>
                <w:rFonts w:ascii="Arial Narrow" w:hAnsi="Arial Narrow" w:cs="Arial"/>
                <w:color w:val="000000"/>
                <w:sz w:val="20"/>
                <w:szCs w:val="20"/>
              </w:rPr>
              <w:t>Daňovník s príjmom na úrovni PM</w:t>
            </w:r>
          </w:p>
        </w:tc>
        <w:tc>
          <w:tcPr>
            <w:tcW w:w="781"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793</w:t>
            </w:r>
          </w:p>
        </w:tc>
        <w:tc>
          <w:tcPr>
            <w:tcW w:w="1180"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7 427</w:t>
            </w:r>
          </w:p>
        </w:tc>
        <w:tc>
          <w:tcPr>
            <w:tcW w:w="1259"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7 352</w:t>
            </w:r>
          </w:p>
        </w:tc>
        <w:tc>
          <w:tcPr>
            <w:tcW w:w="1100"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-75,7</w:t>
            </w:r>
          </w:p>
        </w:tc>
        <w:tc>
          <w:tcPr>
            <w:tcW w:w="819"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-1,0</w:t>
            </w:r>
            <w:r w:rsidRPr="007B45F7">
              <w:rPr>
                <w:rFonts w:ascii="Arial Narrow" w:hAnsi="Arial Narrow" w:cs="Arial"/>
                <w:color w:val="000000"/>
                <w:sz w:val="20"/>
                <w:szCs w:val="20"/>
              </w:rPr>
              <w:t>%</w:t>
            </w:r>
          </w:p>
        </w:tc>
      </w:tr>
      <w:tr>
        <w:tblPrEx>
          <w:tblW w:w="8579" w:type="dxa"/>
          <w:jc w:val="center"/>
          <w:tblLook w:val="00A0"/>
        </w:tblPrEx>
        <w:trPr>
          <w:trHeight w:val="300"/>
          <w:jc w:val="center"/>
        </w:trPr>
        <w:tc>
          <w:tcPr>
            <w:tcW w:w="3440" w:type="dxa"/>
            <w:tcBorders>
              <w:top w:val="nil"/>
              <w:left w:val="nil"/>
              <w:bottom w:val="nil"/>
              <w:right w:val="nil"/>
            </w:tcBorders>
            <w:textDirection w:val="lrTb"/>
            <w:vAlign w:val="center"/>
          </w:tcPr>
          <w:p w:rsidR="007264D7" w:rsidRPr="007B45F7" w:rsidP="007264D7">
            <w:pPr>
              <w:bidi w:val="0"/>
              <w:rPr>
                <w:rFonts w:ascii="Arial Narrow" w:hAnsi="Arial Narrow" w:cs="Arial"/>
                <w:color w:val="000000"/>
                <w:sz w:val="20"/>
                <w:szCs w:val="20"/>
              </w:rPr>
            </w:pPr>
            <w:r w:rsidRPr="007B45F7">
              <w:rPr>
                <w:rFonts w:ascii="Arial Narrow" w:hAnsi="Arial Narrow" w:cs="Arial"/>
                <w:color w:val="000000"/>
                <w:sz w:val="20"/>
                <w:szCs w:val="20"/>
              </w:rPr>
              <w:t xml:space="preserve">Daňovník s príjmom na úrovni </w:t>
            </w:r>
            <w:r>
              <w:rPr>
                <w:rFonts w:ascii="Arial Narrow" w:hAnsi="Arial Narrow" w:cs="Arial"/>
                <w:color w:val="000000"/>
                <w:sz w:val="20"/>
                <w:szCs w:val="20"/>
              </w:rPr>
              <w:t>2*</w:t>
            </w:r>
            <w:r w:rsidRPr="007B45F7">
              <w:rPr>
                <w:rFonts w:ascii="Arial Narrow" w:hAnsi="Arial Narrow" w:cs="Arial"/>
                <w:color w:val="000000"/>
                <w:sz w:val="20"/>
                <w:szCs w:val="20"/>
              </w:rPr>
              <w:t>PM</w:t>
            </w:r>
          </w:p>
        </w:tc>
        <w:tc>
          <w:tcPr>
            <w:tcW w:w="781"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1 586</w:t>
            </w:r>
          </w:p>
        </w:tc>
        <w:tc>
          <w:tcPr>
            <w:tcW w:w="1180"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14 163</w:t>
            </w:r>
          </w:p>
        </w:tc>
        <w:tc>
          <w:tcPr>
            <w:tcW w:w="1259"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14</w:t>
            </w:r>
            <w:r w:rsidRPr="007B45F7">
              <w:rPr>
                <w:rFonts w:ascii="Arial Narrow" w:hAnsi="Arial Narrow" w:cs="Arial"/>
                <w:color w:val="000000"/>
                <w:sz w:val="20"/>
                <w:szCs w:val="20"/>
              </w:rPr>
              <w:t xml:space="preserve"> </w:t>
            </w:r>
            <w:r>
              <w:rPr>
                <w:rFonts w:ascii="Arial Narrow" w:hAnsi="Arial Narrow" w:cs="Arial"/>
                <w:color w:val="000000"/>
                <w:sz w:val="20"/>
                <w:szCs w:val="20"/>
              </w:rPr>
              <w:t>087</w:t>
            </w:r>
          </w:p>
        </w:tc>
        <w:tc>
          <w:tcPr>
            <w:tcW w:w="1100"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-75,7</w:t>
            </w:r>
          </w:p>
        </w:tc>
        <w:tc>
          <w:tcPr>
            <w:tcW w:w="819" w:type="dxa"/>
            <w:tcBorders>
              <w:top w:val="nil"/>
              <w:left w:val="nil"/>
              <w:bottom w:val="nil"/>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-0,5</w:t>
            </w:r>
            <w:r w:rsidRPr="007B45F7">
              <w:rPr>
                <w:rFonts w:ascii="Arial Narrow" w:hAnsi="Arial Narrow" w:cs="Arial"/>
                <w:color w:val="000000"/>
                <w:sz w:val="20"/>
                <w:szCs w:val="20"/>
              </w:rPr>
              <w:t>%</w:t>
            </w:r>
          </w:p>
        </w:tc>
      </w:tr>
      <w:tr>
        <w:tblPrEx>
          <w:tblW w:w="8579" w:type="dxa"/>
          <w:jc w:val="center"/>
          <w:tblLook w:val="00A0"/>
        </w:tblPrEx>
        <w:trPr>
          <w:trHeight w:val="300"/>
          <w:jc w:val="center"/>
        </w:trPr>
        <w:tc>
          <w:tcPr>
            <w:tcW w:w="3440" w:type="dxa"/>
            <w:tcBorders>
              <w:top w:val="nil"/>
              <w:left w:val="nil"/>
              <w:bottom w:val="single" w:sz="4" w:space="0" w:color="auto"/>
              <w:right w:val="nil"/>
            </w:tcBorders>
            <w:textDirection w:val="lrTb"/>
            <w:vAlign w:val="center"/>
          </w:tcPr>
          <w:p w:rsidR="007264D7" w:rsidRPr="007B45F7" w:rsidP="007264D7">
            <w:pPr>
              <w:bidi w:val="0"/>
              <w:rPr>
                <w:rFonts w:ascii="Arial Narrow" w:hAnsi="Arial Narrow" w:cs="Arial"/>
                <w:color w:val="000000"/>
                <w:sz w:val="20"/>
                <w:szCs w:val="20"/>
              </w:rPr>
            </w:pPr>
            <w:r w:rsidRPr="007B45F7">
              <w:rPr>
                <w:rFonts w:ascii="Arial Narrow" w:hAnsi="Arial Narrow" w:cs="Arial"/>
                <w:color w:val="000000"/>
                <w:sz w:val="20"/>
                <w:szCs w:val="20"/>
              </w:rPr>
              <w:t>Daňovník s príjmom na úrovni 3*PM</w:t>
            </w:r>
          </w:p>
        </w:tc>
        <w:tc>
          <w:tcPr>
            <w:tcW w:w="781" w:type="dxa"/>
            <w:tcBorders>
              <w:top w:val="nil"/>
              <w:left w:val="nil"/>
              <w:bottom w:val="single" w:sz="4" w:space="0" w:color="auto"/>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2</w:t>
            </w:r>
            <w:r>
              <w:rPr>
                <w:rFonts w:ascii="Arial Narrow" w:hAnsi="Arial Narrow" w:cs="Arial"/>
                <w:color w:val="000000"/>
                <w:sz w:val="20"/>
                <w:szCs w:val="20"/>
              </w:rPr>
              <w:t xml:space="preserve"> 378</w:t>
            </w:r>
          </w:p>
        </w:tc>
        <w:tc>
          <w:tcPr>
            <w:tcW w:w="1180" w:type="dxa"/>
            <w:tcBorders>
              <w:top w:val="nil"/>
              <w:left w:val="nil"/>
              <w:bottom w:val="single" w:sz="4" w:space="0" w:color="auto"/>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2</w:t>
            </w:r>
            <w:r>
              <w:rPr>
                <w:rFonts w:ascii="Arial Narrow" w:hAnsi="Arial Narrow" w:cs="Arial"/>
                <w:color w:val="000000"/>
                <w:sz w:val="20"/>
                <w:szCs w:val="20"/>
              </w:rPr>
              <w:t>0</w:t>
            </w:r>
            <w:r w:rsidRPr="007B45F7">
              <w:rPr>
                <w:rFonts w:ascii="Arial Narrow" w:hAnsi="Arial Narrow" w:cs="Arial"/>
                <w:color w:val="000000"/>
                <w:sz w:val="20"/>
                <w:szCs w:val="20"/>
              </w:rPr>
              <w:t xml:space="preserve"> </w:t>
            </w:r>
            <w:r>
              <w:rPr>
                <w:rFonts w:ascii="Arial Narrow" w:hAnsi="Arial Narrow" w:cs="Arial"/>
                <w:color w:val="000000"/>
                <w:sz w:val="20"/>
                <w:szCs w:val="20"/>
              </w:rPr>
              <w:t>694</w:t>
            </w:r>
          </w:p>
        </w:tc>
        <w:tc>
          <w:tcPr>
            <w:tcW w:w="1259" w:type="dxa"/>
            <w:tcBorders>
              <w:top w:val="nil"/>
              <w:left w:val="nil"/>
              <w:bottom w:val="single" w:sz="4" w:space="0" w:color="auto"/>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 xml:space="preserve">20 </w:t>
            </w:r>
            <w:r>
              <w:rPr>
                <w:rFonts w:ascii="Arial Narrow" w:hAnsi="Arial Narrow" w:cs="Arial"/>
                <w:color w:val="000000"/>
                <w:sz w:val="20"/>
                <w:szCs w:val="20"/>
              </w:rPr>
              <w:t>618</w:t>
            </w:r>
          </w:p>
        </w:tc>
        <w:tc>
          <w:tcPr>
            <w:tcW w:w="1100" w:type="dxa"/>
            <w:tcBorders>
              <w:top w:val="nil"/>
              <w:left w:val="nil"/>
              <w:bottom w:val="single" w:sz="4" w:space="0" w:color="auto"/>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sidRPr="007B45F7">
              <w:rPr>
                <w:rFonts w:ascii="Arial Narrow" w:hAnsi="Arial Narrow" w:cs="Arial"/>
                <w:color w:val="000000"/>
                <w:sz w:val="20"/>
                <w:szCs w:val="20"/>
              </w:rPr>
              <w:t>-</w:t>
            </w:r>
            <w:r>
              <w:rPr>
                <w:rFonts w:ascii="Arial Narrow" w:hAnsi="Arial Narrow" w:cs="Arial"/>
                <w:color w:val="000000"/>
                <w:sz w:val="20"/>
                <w:szCs w:val="20"/>
              </w:rPr>
              <w:t>75,7</w:t>
            </w:r>
          </w:p>
        </w:tc>
        <w:tc>
          <w:tcPr>
            <w:tcW w:w="819" w:type="dxa"/>
            <w:tcBorders>
              <w:top w:val="nil"/>
              <w:left w:val="nil"/>
              <w:bottom w:val="single" w:sz="4" w:space="0" w:color="auto"/>
              <w:right w:val="nil"/>
            </w:tcBorders>
            <w:noWrap/>
            <w:textDirection w:val="lrTb"/>
            <w:vAlign w:val="center"/>
          </w:tcPr>
          <w:p w:rsidR="007264D7" w:rsidRPr="007B45F7" w:rsidP="007264D7">
            <w:pPr>
              <w:bidi w:val="0"/>
              <w:jc w:val="center"/>
              <w:rPr>
                <w:rFonts w:ascii="Arial Narrow" w:hAnsi="Arial Narrow" w:cs="Arial"/>
                <w:color w:val="000000"/>
                <w:sz w:val="20"/>
                <w:szCs w:val="20"/>
              </w:rPr>
            </w:pPr>
            <w:r>
              <w:rPr>
                <w:rFonts w:ascii="Arial Narrow" w:hAnsi="Arial Narrow" w:cs="Arial"/>
                <w:color w:val="000000"/>
                <w:sz w:val="20"/>
                <w:szCs w:val="20"/>
              </w:rPr>
              <w:t>-0,4</w:t>
            </w:r>
            <w:r w:rsidRPr="007B45F7">
              <w:rPr>
                <w:rFonts w:ascii="Arial Narrow" w:hAnsi="Arial Narrow" w:cs="Arial"/>
                <w:color w:val="000000"/>
                <w:sz w:val="20"/>
                <w:szCs w:val="20"/>
              </w:rPr>
              <w:t>%</w:t>
            </w:r>
          </w:p>
        </w:tc>
      </w:tr>
      <w:tr>
        <w:tblPrEx>
          <w:tblW w:w="8579" w:type="dxa"/>
          <w:jc w:val="center"/>
          <w:tblLook w:val="00A0"/>
        </w:tblPrEx>
        <w:trPr>
          <w:trHeight w:val="300"/>
          <w:jc w:val="center"/>
        </w:trPr>
        <w:tc>
          <w:tcPr>
            <w:tcW w:w="6660" w:type="dxa"/>
            <w:gridSpan w:val="4"/>
            <w:tcBorders>
              <w:top w:val="nil"/>
              <w:left w:val="nil"/>
              <w:bottom w:val="nil"/>
              <w:right w:val="nil"/>
            </w:tcBorders>
            <w:noWrap/>
            <w:textDirection w:val="lrTb"/>
            <w:vAlign w:val="center"/>
          </w:tcPr>
          <w:p w:rsidR="007264D7" w:rsidRPr="007B45F7" w:rsidP="007264D7">
            <w:pPr>
              <w:bidi w:val="0"/>
              <w:rPr>
                <w:rFonts w:ascii="Garamond" w:hAnsi="Garamond" w:cs="Arial"/>
                <w:i/>
                <w:iCs/>
                <w:sz w:val="16"/>
                <w:szCs w:val="16"/>
              </w:rPr>
            </w:pPr>
            <w:r w:rsidRPr="007B45F7">
              <w:rPr>
                <w:rFonts w:ascii="Garamond" w:hAnsi="Garamond" w:cs="Arial"/>
                <w:i/>
                <w:iCs/>
                <w:sz w:val="16"/>
                <w:szCs w:val="16"/>
              </w:rPr>
              <w:t>Poznámka: MM - minimálna mzda, na rok 2011 sa odhaduje na úrovni 316,80 Eur, PM - priemerná mzda</w:t>
            </w:r>
          </w:p>
        </w:tc>
        <w:tc>
          <w:tcPr>
            <w:tcW w:w="1919" w:type="dxa"/>
            <w:gridSpan w:val="2"/>
            <w:tcBorders>
              <w:top w:val="nil"/>
              <w:left w:val="nil"/>
              <w:bottom w:val="nil"/>
              <w:right w:val="nil"/>
            </w:tcBorders>
            <w:noWrap/>
            <w:textDirection w:val="lrTb"/>
            <w:vAlign w:val="center"/>
          </w:tcPr>
          <w:p w:rsidR="007264D7" w:rsidRPr="007B45F7" w:rsidP="007264D7">
            <w:pPr>
              <w:bidi w:val="0"/>
              <w:jc w:val="right"/>
              <w:rPr>
                <w:rFonts w:ascii="Garamond" w:hAnsi="Garamond" w:cs="Arial"/>
                <w:i/>
                <w:iCs/>
                <w:sz w:val="16"/>
                <w:szCs w:val="16"/>
              </w:rPr>
            </w:pPr>
            <w:r w:rsidRPr="007B45F7">
              <w:rPr>
                <w:rFonts w:ascii="Garamond" w:hAnsi="Garamond" w:cs="Arial"/>
                <w:i/>
                <w:iCs/>
                <w:sz w:val="16"/>
                <w:szCs w:val="16"/>
              </w:rPr>
              <w:t>Zdroj: MF SR</w:t>
            </w:r>
          </w:p>
        </w:tc>
      </w:tr>
    </w:tbl>
    <w:p w:rsidR="007264D7" w:rsidP="007264D7">
      <w:pPr>
        <w:autoSpaceDE w:val="0"/>
        <w:autoSpaceDN w:val="0"/>
        <w:bidi w:val="0"/>
        <w:adjustRightInd w:val="0"/>
        <w:spacing w:line="300" w:lineRule="atLeast"/>
        <w:jc w:val="both"/>
        <w:rPr>
          <w:rFonts w:ascii="Times New Roman" w:hAnsi="Times New Roman"/>
          <w:color w:val="000000"/>
        </w:rPr>
      </w:pPr>
    </w:p>
    <w:p w:rsidR="007264D7" w:rsidRPr="00C31AEF" w:rsidP="00A054D3">
      <w:pPr>
        <w:pStyle w:val="ListParagraph"/>
        <w:numPr>
          <w:numId w:val="17"/>
        </w:numPr>
        <w:bidi w:val="0"/>
        <w:spacing w:after="200" w:line="276" w:lineRule="auto"/>
        <w:ind w:left="426" w:hanging="426"/>
        <w:jc w:val="both"/>
        <w:rPr>
          <w:rFonts w:ascii="Times New Roman" w:hAnsi="Times New Roman"/>
          <w:b/>
          <w:sz w:val="24"/>
          <w:szCs w:val="24"/>
        </w:rPr>
      </w:pPr>
      <w:r w:rsidRPr="00C31AEF">
        <w:rPr>
          <w:rFonts w:ascii="Times New Roman" w:hAnsi="Times New Roman"/>
          <w:b/>
          <w:sz w:val="24"/>
          <w:szCs w:val="24"/>
        </w:rPr>
        <w:t xml:space="preserve">Zjednotenie paušálnych výdavkov na </w:t>
      </w:r>
      <w:r>
        <w:rPr>
          <w:rFonts w:ascii="Times New Roman" w:hAnsi="Times New Roman"/>
          <w:b/>
          <w:sz w:val="24"/>
          <w:szCs w:val="24"/>
        </w:rPr>
        <w:t>4</w:t>
      </w:r>
      <w:r w:rsidRPr="00C31AEF">
        <w:rPr>
          <w:rFonts w:ascii="Times New Roman" w:hAnsi="Times New Roman"/>
          <w:b/>
          <w:sz w:val="24"/>
          <w:szCs w:val="24"/>
        </w:rPr>
        <w:t xml:space="preserve">0% </w:t>
      </w:r>
    </w:p>
    <w:p w:rsidR="007264D7" w:rsidRPr="00C31AEF" w:rsidP="007264D7">
      <w:pPr>
        <w:bidi w:val="0"/>
        <w:jc w:val="both"/>
        <w:rPr>
          <w:rFonts w:ascii="Times New Roman" w:hAnsi="Times New Roman"/>
        </w:rPr>
      </w:pPr>
      <w:r w:rsidRPr="00C31AEF">
        <w:rPr>
          <w:rFonts w:ascii="Times New Roman" w:hAnsi="Times New Roman"/>
        </w:rPr>
        <w:t xml:space="preserve">Opatrenie predpokladá zjednotenie paušálnych výdavkov z 25%, 40% a 60% na jednotnú úroveň </w:t>
      </w:r>
      <w:r>
        <w:rPr>
          <w:rFonts w:ascii="Times New Roman" w:hAnsi="Times New Roman"/>
        </w:rPr>
        <w:t>4</w:t>
      </w:r>
      <w:r w:rsidRPr="00C31AEF">
        <w:rPr>
          <w:rFonts w:ascii="Times New Roman" w:hAnsi="Times New Roman"/>
        </w:rPr>
        <w:t>0%.</w:t>
      </w:r>
    </w:p>
    <w:p w:rsidR="007264D7" w:rsidP="00A054D3">
      <w:pPr>
        <w:widowControl w:val="0"/>
        <w:numPr>
          <w:numId w:val="19"/>
        </w:numPr>
        <w:bidi w:val="0"/>
        <w:adjustRightInd w:val="0"/>
        <w:ind w:left="426"/>
        <w:jc w:val="both"/>
        <w:rPr>
          <w:rFonts w:ascii="Times New Roman" w:hAnsi="Times New Roman"/>
        </w:rPr>
      </w:pPr>
      <w:r w:rsidRPr="00C31AEF">
        <w:rPr>
          <w:rFonts w:ascii="Times New Roman" w:hAnsi="Times New Roman"/>
        </w:rPr>
        <w:t xml:space="preserve">Daňovník dnes využívajúci paušálne výdavky na úrovni </w:t>
      </w:r>
      <w:r w:rsidRPr="00C31AEF">
        <w:rPr>
          <w:rFonts w:ascii="Times New Roman" w:hAnsi="Times New Roman"/>
          <w:b/>
        </w:rPr>
        <w:t>25%</w:t>
      </w:r>
      <w:r w:rsidRPr="00C31AEF">
        <w:rPr>
          <w:rFonts w:ascii="Times New Roman" w:hAnsi="Times New Roman"/>
        </w:rPr>
        <w:t xml:space="preserve"> - </w:t>
      </w:r>
      <w:r>
        <w:rPr>
          <w:rFonts w:ascii="Times New Roman" w:hAnsi="Times New Roman"/>
        </w:rPr>
        <w:t>bez zmeny.</w:t>
      </w:r>
    </w:p>
    <w:p w:rsidR="007264D7" w:rsidRPr="00C31AEF" w:rsidP="00A054D3">
      <w:pPr>
        <w:widowControl w:val="0"/>
        <w:numPr>
          <w:numId w:val="19"/>
        </w:numPr>
        <w:bidi w:val="0"/>
        <w:adjustRightInd w:val="0"/>
        <w:ind w:left="426"/>
        <w:jc w:val="both"/>
        <w:rPr>
          <w:rFonts w:ascii="Times New Roman" w:hAnsi="Times New Roman"/>
        </w:rPr>
      </w:pPr>
      <w:r w:rsidRPr="00C31AEF">
        <w:rPr>
          <w:rFonts w:ascii="Times New Roman" w:hAnsi="Times New Roman"/>
        </w:rPr>
        <w:t xml:space="preserve">Daňovník dnes využívajúci paušálne výdavky na úrovni </w:t>
      </w:r>
      <w:r w:rsidRPr="00C31AEF">
        <w:rPr>
          <w:rFonts w:ascii="Times New Roman" w:hAnsi="Times New Roman"/>
          <w:b/>
        </w:rPr>
        <w:t>40%</w:t>
      </w:r>
      <w:r w:rsidRPr="00C31AEF">
        <w:rPr>
          <w:rFonts w:ascii="Times New Roman" w:hAnsi="Times New Roman"/>
        </w:rPr>
        <w:t xml:space="preserve"> - </w:t>
      </w:r>
      <w:r>
        <w:rPr>
          <w:rFonts w:ascii="Times New Roman" w:hAnsi="Times New Roman"/>
        </w:rPr>
        <w:t>bez zmeny.</w:t>
      </w:r>
    </w:p>
    <w:p w:rsidR="007264D7" w:rsidP="00A054D3">
      <w:pPr>
        <w:widowControl w:val="0"/>
        <w:numPr>
          <w:numId w:val="19"/>
        </w:numPr>
        <w:bidi w:val="0"/>
        <w:adjustRightInd w:val="0"/>
        <w:ind w:left="426"/>
        <w:jc w:val="both"/>
        <w:rPr>
          <w:rFonts w:ascii="Times New Roman" w:hAnsi="Times New Roman"/>
        </w:rPr>
      </w:pPr>
      <w:r w:rsidRPr="00C31AEF">
        <w:rPr>
          <w:rFonts w:ascii="Times New Roman" w:hAnsi="Times New Roman"/>
        </w:rPr>
        <w:t xml:space="preserve">Daňovník dnes využívajúci paušálne výdavky na úrovni </w:t>
      </w:r>
      <w:r w:rsidRPr="00C31AEF">
        <w:rPr>
          <w:rFonts w:ascii="Times New Roman" w:hAnsi="Times New Roman"/>
          <w:b/>
        </w:rPr>
        <w:t>60%</w:t>
      </w:r>
      <w:r w:rsidRPr="00C31AEF">
        <w:rPr>
          <w:rFonts w:ascii="Times New Roman" w:hAnsi="Times New Roman"/>
        </w:rPr>
        <w:t xml:space="preserve"> - </w:t>
      </w:r>
      <w:r>
        <w:rPr>
          <w:rFonts w:ascii="Times New Roman" w:hAnsi="Times New Roman"/>
        </w:rPr>
        <w:t>na úrovni priemerných príjmov je vplyv nulový.</w:t>
      </w:r>
    </w:p>
    <w:p w:rsidR="007264D7" w:rsidRPr="00C31AEF" w:rsidP="007264D7">
      <w:pPr>
        <w:widowControl w:val="0"/>
        <w:bidi w:val="0"/>
        <w:adjustRightInd w:val="0"/>
        <w:ind w:left="426"/>
        <w:jc w:val="both"/>
        <w:rPr>
          <w:rFonts w:ascii="Times New Roman" w:hAnsi="Times New Roman"/>
        </w:rPr>
      </w:pPr>
    </w:p>
    <w:p w:rsidR="007264D7" w:rsidRPr="00C31AEF" w:rsidP="007264D7">
      <w:pPr>
        <w:pStyle w:val="ListParagraph"/>
        <w:bidi w:val="0"/>
        <w:ind w:left="0"/>
        <w:jc w:val="both"/>
        <w:rPr>
          <w:rFonts w:ascii="Times New Roman" w:hAnsi="Times New Roman"/>
          <w:sz w:val="24"/>
          <w:szCs w:val="24"/>
          <w:u w:val="single"/>
        </w:rPr>
      </w:pPr>
      <w:r w:rsidRPr="00C31AEF">
        <w:rPr>
          <w:rFonts w:ascii="Times New Roman" w:hAnsi="Times New Roman"/>
          <w:sz w:val="24"/>
          <w:szCs w:val="24"/>
          <w:u w:val="single"/>
        </w:rPr>
        <w:t>Prepočet vychádza z týchto predpokladov:</w:t>
      </w:r>
    </w:p>
    <w:p w:rsidR="007264D7" w:rsidRPr="00C31AEF" w:rsidP="00A054D3">
      <w:pPr>
        <w:pStyle w:val="ListParagraph"/>
        <w:numPr>
          <w:numId w:val="18"/>
        </w:numPr>
        <w:bidi w:val="0"/>
        <w:jc w:val="both"/>
        <w:rPr>
          <w:rFonts w:ascii="Times New Roman" w:hAnsi="Times New Roman"/>
          <w:sz w:val="24"/>
          <w:szCs w:val="24"/>
        </w:rPr>
      </w:pPr>
      <w:r w:rsidRPr="00C31AEF">
        <w:rPr>
          <w:rFonts w:ascii="Times New Roman" w:hAnsi="Times New Roman"/>
          <w:sz w:val="24"/>
          <w:szCs w:val="24"/>
        </w:rPr>
        <w:t>príjem daňovníka je vypočítaný ako vážený priemer príjmov (obratu) daňovníkov využívajúcich paušálne výdavky</w:t>
      </w:r>
    </w:p>
    <w:p w:rsidR="007264D7" w:rsidP="00A054D3">
      <w:pPr>
        <w:pStyle w:val="ListParagraph"/>
        <w:numPr>
          <w:numId w:val="18"/>
        </w:numPr>
        <w:bidi w:val="0"/>
        <w:jc w:val="both"/>
        <w:rPr>
          <w:rFonts w:ascii="Times New Roman" w:hAnsi="Times New Roman"/>
          <w:sz w:val="24"/>
          <w:szCs w:val="24"/>
        </w:rPr>
      </w:pPr>
      <w:r w:rsidRPr="00C31AEF">
        <w:rPr>
          <w:rFonts w:ascii="Times New Roman" w:hAnsi="Times New Roman"/>
          <w:sz w:val="24"/>
          <w:szCs w:val="24"/>
        </w:rPr>
        <w:t>na tejto úrovni príjmu títo daňovníci platia sociálne a zdravotné odvody z minimálneho vymeriavacieho základu</w:t>
      </w:r>
    </w:p>
    <w:tbl>
      <w:tblPr>
        <w:tblStyle w:val="TableNormal"/>
        <w:tblW w:w="5000" w:type="pct"/>
        <w:tblCellMar>
          <w:left w:w="70" w:type="dxa"/>
          <w:right w:w="70" w:type="dxa"/>
        </w:tblCellMar>
        <w:tblLook w:val="04A0"/>
      </w:tblPr>
      <w:tblGrid>
        <w:gridCol w:w="6475"/>
        <w:gridCol w:w="1328"/>
        <w:gridCol w:w="1409"/>
      </w:tblGrid>
      <w:tr>
        <w:tblPrEx>
          <w:tblW w:w="5000" w:type="pct"/>
          <w:tblCellMar>
            <w:left w:w="70" w:type="dxa"/>
            <w:right w:w="70" w:type="dxa"/>
          </w:tblCellMar>
          <w:tblLook w:val="04A0"/>
        </w:tblPrEx>
        <w:trPr>
          <w:trHeight w:val="255"/>
        </w:trPr>
        <w:tc>
          <w:tcPr>
            <w:tcW w:w="5000" w:type="pct"/>
            <w:gridSpan w:val="3"/>
            <w:tcBorders>
              <w:top w:val="nil"/>
              <w:left w:val="nil"/>
              <w:bottom w:val="nil"/>
              <w:right w:val="nil"/>
            </w:tcBorders>
            <w:shd w:val="clear" w:color="000000" w:fill="000000"/>
            <w:textDirection w:val="lrTb"/>
            <w:vAlign w:val="bottom"/>
            <w:hideMark/>
          </w:tcPr>
          <w:p w:rsidR="007264D7" w:rsidRPr="00FE2CC5" w:rsidP="007264D7">
            <w:pPr>
              <w:bidi w:val="0"/>
              <w:rPr>
                <w:rFonts w:ascii="Arial Narrow" w:hAnsi="Arial Narrow"/>
                <w:b/>
                <w:bCs/>
                <w:color w:val="FFFFFF"/>
                <w:sz w:val="20"/>
                <w:szCs w:val="20"/>
              </w:rPr>
            </w:pPr>
            <w:r w:rsidRPr="00FE2CC5">
              <w:rPr>
                <w:rFonts w:ascii="Arial Narrow" w:hAnsi="Arial Narrow"/>
                <w:b/>
                <w:bCs/>
                <w:color w:val="FFFFFF"/>
                <w:sz w:val="20"/>
                <w:szCs w:val="20"/>
              </w:rPr>
              <w:t>Vplyv zjednotenia paušálnych výdavkov na 40% na dnešné skupiny daňovníkov využívajúce paušálne výdavky (Eur, ročne)</w:t>
            </w:r>
          </w:p>
        </w:tc>
      </w:tr>
      <w:tr>
        <w:tblPrEx>
          <w:tblW w:w="5000" w:type="pct"/>
          <w:tblCellMar>
            <w:left w:w="70" w:type="dxa"/>
            <w:right w:w="70" w:type="dxa"/>
          </w:tblCellMar>
          <w:tblLook w:val="04A0"/>
        </w:tblPrEx>
        <w:trPr>
          <w:trHeight w:val="255"/>
        </w:trPr>
        <w:tc>
          <w:tcPr>
            <w:tcW w:w="3514" w:type="pct"/>
            <w:tcBorders>
              <w:top w:val="nil"/>
              <w:left w:val="nil"/>
              <w:bottom w:val="nil"/>
              <w:right w:val="nil"/>
            </w:tcBorders>
            <w:shd w:val="clear" w:color="000000" w:fill="969696"/>
            <w:noWrap/>
            <w:textDirection w:val="lrTb"/>
            <w:vAlign w:val="bottom"/>
            <w:hideMark/>
          </w:tcPr>
          <w:p w:rsidR="007264D7" w:rsidRPr="00FE2CC5" w:rsidP="007264D7">
            <w:pPr>
              <w:bidi w:val="0"/>
              <w:rPr>
                <w:rFonts w:ascii="Arial Narrow" w:hAnsi="Arial Narrow"/>
                <w:sz w:val="20"/>
                <w:szCs w:val="20"/>
              </w:rPr>
            </w:pPr>
            <w:r w:rsidRPr="00FE2CC5">
              <w:rPr>
                <w:rFonts w:ascii="Arial Narrow" w:hAnsi="Arial Narrow"/>
                <w:sz w:val="20"/>
                <w:szCs w:val="20"/>
              </w:rPr>
              <w:t> </w:t>
            </w:r>
          </w:p>
        </w:tc>
        <w:tc>
          <w:tcPr>
            <w:tcW w:w="721" w:type="pct"/>
            <w:tcBorders>
              <w:top w:val="nil"/>
              <w:left w:val="single" w:sz="4" w:space="0" w:color="auto"/>
              <w:bottom w:val="single" w:sz="4" w:space="0" w:color="auto"/>
              <w:right w:val="single" w:sz="4" w:space="0" w:color="auto"/>
            </w:tcBorders>
            <w:shd w:val="clear" w:color="000000" w:fill="969696"/>
            <w:noWrap/>
            <w:textDirection w:val="lrTb"/>
            <w:vAlign w:val="bottom"/>
            <w:hideMark/>
          </w:tcPr>
          <w:p w:rsidR="007264D7" w:rsidRPr="00FE2CC5" w:rsidP="007264D7">
            <w:pPr>
              <w:bidi w:val="0"/>
              <w:jc w:val="center"/>
              <w:rPr>
                <w:rFonts w:ascii="Arial Narrow" w:hAnsi="Arial Narrow"/>
                <w:sz w:val="20"/>
                <w:szCs w:val="20"/>
              </w:rPr>
            </w:pPr>
            <w:r w:rsidRPr="00FE2CC5">
              <w:rPr>
                <w:rFonts w:ascii="Arial Narrow" w:hAnsi="Arial Narrow"/>
                <w:sz w:val="20"/>
                <w:szCs w:val="20"/>
              </w:rPr>
              <w:t> </w:t>
            </w:r>
          </w:p>
        </w:tc>
        <w:tc>
          <w:tcPr>
            <w:tcW w:w="765" w:type="pct"/>
            <w:tcBorders>
              <w:top w:val="nil"/>
              <w:left w:val="nil"/>
              <w:bottom w:val="single" w:sz="4" w:space="0" w:color="auto"/>
              <w:right w:val="nil"/>
            </w:tcBorders>
            <w:shd w:val="clear" w:color="000000" w:fill="969696"/>
            <w:noWrap/>
            <w:textDirection w:val="lrTb"/>
            <w:vAlign w:val="bottom"/>
            <w:hideMark/>
          </w:tcPr>
          <w:p w:rsidR="007264D7" w:rsidRPr="00FE2CC5" w:rsidP="007264D7">
            <w:pPr>
              <w:bidi w:val="0"/>
              <w:jc w:val="center"/>
              <w:rPr>
                <w:rFonts w:ascii="Arial Narrow" w:hAnsi="Arial Narrow"/>
                <w:sz w:val="20"/>
                <w:szCs w:val="20"/>
              </w:rPr>
            </w:pPr>
            <w:r w:rsidRPr="00FE2CC5">
              <w:rPr>
                <w:rFonts w:ascii="Arial Narrow" w:hAnsi="Arial Narrow"/>
                <w:sz w:val="20"/>
                <w:szCs w:val="20"/>
              </w:rPr>
              <w:t>Návrh</w:t>
            </w:r>
          </w:p>
        </w:tc>
      </w:tr>
      <w:tr>
        <w:tblPrEx>
          <w:tblW w:w="5000" w:type="pct"/>
          <w:tblCellMar>
            <w:left w:w="70" w:type="dxa"/>
            <w:right w:w="70" w:type="dxa"/>
          </w:tblCellMar>
          <w:tblLook w:val="04A0"/>
        </w:tblPrEx>
        <w:trPr>
          <w:trHeight w:val="255"/>
        </w:trPr>
        <w:tc>
          <w:tcPr>
            <w:tcW w:w="3514" w:type="pct"/>
            <w:tcBorders>
              <w:top w:val="single" w:sz="4" w:space="0" w:color="auto"/>
              <w:left w:val="nil"/>
              <w:bottom w:val="single" w:sz="4" w:space="0" w:color="auto"/>
              <w:right w:val="nil"/>
            </w:tcBorders>
            <w:shd w:val="clear" w:color="000000" w:fill="C0C0C0"/>
            <w:noWrap/>
            <w:textDirection w:val="lrTb"/>
            <w:vAlign w:val="bottom"/>
            <w:hideMark/>
          </w:tcPr>
          <w:p w:rsidR="007264D7" w:rsidRPr="00FE2CC5" w:rsidP="007264D7">
            <w:pPr>
              <w:bidi w:val="0"/>
              <w:jc w:val="center"/>
              <w:rPr>
                <w:rFonts w:ascii="Arial Narrow" w:hAnsi="Arial Narrow"/>
                <w:sz w:val="20"/>
                <w:szCs w:val="20"/>
              </w:rPr>
            </w:pPr>
            <w:r w:rsidRPr="00FE2CC5">
              <w:rPr>
                <w:rFonts w:ascii="Arial Narrow" w:hAnsi="Arial Narrow"/>
                <w:sz w:val="20"/>
                <w:szCs w:val="20"/>
              </w:rPr>
              <w:t>rok 2011</w:t>
            </w:r>
          </w:p>
        </w:tc>
        <w:tc>
          <w:tcPr>
            <w:tcW w:w="721" w:type="pct"/>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7264D7" w:rsidRPr="00FE2CC5" w:rsidP="007264D7">
            <w:pPr>
              <w:bidi w:val="0"/>
              <w:jc w:val="center"/>
              <w:rPr>
                <w:rFonts w:ascii="Arial Narrow" w:hAnsi="Arial Narrow"/>
                <w:sz w:val="20"/>
                <w:szCs w:val="20"/>
              </w:rPr>
            </w:pPr>
            <w:r w:rsidRPr="00FE2CC5">
              <w:rPr>
                <w:rFonts w:ascii="Arial Narrow" w:hAnsi="Arial Narrow"/>
                <w:sz w:val="20"/>
                <w:szCs w:val="20"/>
              </w:rPr>
              <w:t>60%</w:t>
            </w:r>
          </w:p>
        </w:tc>
        <w:tc>
          <w:tcPr>
            <w:tcW w:w="765" w:type="pct"/>
            <w:tcBorders>
              <w:top w:val="nil"/>
              <w:left w:val="nil"/>
              <w:bottom w:val="single" w:sz="4" w:space="0" w:color="auto"/>
              <w:right w:val="nil"/>
            </w:tcBorders>
            <w:shd w:val="clear" w:color="000000" w:fill="C0C0C0"/>
            <w:noWrap/>
            <w:textDirection w:val="lrTb"/>
            <w:vAlign w:val="bottom"/>
            <w:hideMark/>
          </w:tcPr>
          <w:p w:rsidR="007264D7" w:rsidRPr="00FE2CC5" w:rsidP="007264D7">
            <w:pPr>
              <w:bidi w:val="0"/>
              <w:jc w:val="center"/>
              <w:rPr>
                <w:rFonts w:ascii="Arial Narrow" w:hAnsi="Arial Narrow"/>
                <w:sz w:val="20"/>
                <w:szCs w:val="20"/>
              </w:rPr>
            </w:pPr>
            <w:r w:rsidRPr="00FE2CC5">
              <w:rPr>
                <w:rFonts w:ascii="Arial Narrow" w:hAnsi="Arial Narrow"/>
                <w:sz w:val="20"/>
                <w:szCs w:val="20"/>
              </w:rPr>
              <w:t>40%</w:t>
            </w:r>
          </w:p>
        </w:tc>
      </w:tr>
      <w:tr>
        <w:tblPrEx>
          <w:tblW w:w="5000" w:type="pct"/>
          <w:tblCellMar>
            <w:left w:w="70" w:type="dxa"/>
            <w:right w:w="70" w:type="dxa"/>
          </w:tblCellMar>
          <w:tblLook w:val="04A0"/>
        </w:tblPrEx>
        <w:trPr>
          <w:trHeight w:val="270"/>
        </w:trPr>
        <w:tc>
          <w:tcPr>
            <w:tcW w:w="3514" w:type="pct"/>
            <w:tcBorders>
              <w:top w:val="nil"/>
              <w:left w:val="nil"/>
              <w:bottom w:val="nil"/>
              <w:right w:val="nil"/>
            </w:tcBorders>
            <w:noWrap/>
            <w:textDirection w:val="lrTb"/>
            <w:vAlign w:val="bottom"/>
            <w:hideMark/>
          </w:tcPr>
          <w:p w:rsidR="007264D7" w:rsidRPr="00FE2CC5" w:rsidP="007264D7">
            <w:pPr>
              <w:bidi w:val="0"/>
              <w:rPr>
                <w:rFonts w:ascii="Arial Narrow" w:hAnsi="Arial Narrow" w:cs="Arial"/>
                <w:color w:val="000000"/>
                <w:sz w:val="20"/>
                <w:szCs w:val="20"/>
              </w:rPr>
            </w:pPr>
            <w:r w:rsidRPr="00FE2CC5">
              <w:rPr>
                <w:rFonts w:ascii="Arial Narrow" w:hAnsi="Arial Narrow" w:cs="Arial"/>
                <w:color w:val="000000"/>
                <w:sz w:val="20"/>
                <w:szCs w:val="20"/>
              </w:rPr>
              <w:t xml:space="preserve">Príjmy </w:t>
            </w:r>
          </w:p>
        </w:tc>
        <w:tc>
          <w:tcPr>
            <w:tcW w:w="721" w:type="pct"/>
            <w:tcBorders>
              <w:top w:val="nil"/>
              <w:left w:val="single" w:sz="4" w:space="0" w:color="auto"/>
              <w:bottom w:val="nil"/>
              <w:right w:val="single" w:sz="4" w:space="0" w:color="auto"/>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7 967</w:t>
            </w:r>
          </w:p>
        </w:tc>
        <w:tc>
          <w:tcPr>
            <w:tcW w:w="765" w:type="pct"/>
            <w:tcBorders>
              <w:top w:val="nil"/>
              <w:left w:val="nil"/>
              <w:bottom w:val="nil"/>
              <w:right w:val="nil"/>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7 967</w:t>
            </w:r>
          </w:p>
        </w:tc>
      </w:tr>
      <w:tr>
        <w:tblPrEx>
          <w:tblW w:w="5000" w:type="pct"/>
          <w:tblCellMar>
            <w:left w:w="70" w:type="dxa"/>
            <w:right w:w="70" w:type="dxa"/>
          </w:tblCellMar>
          <w:tblLook w:val="04A0"/>
        </w:tblPrEx>
        <w:trPr>
          <w:trHeight w:val="270"/>
        </w:trPr>
        <w:tc>
          <w:tcPr>
            <w:tcW w:w="3514" w:type="pct"/>
            <w:tcBorders>
              <w:top w:val="nil"/>
              <w:left w:val="nil"/>
              <w:bottom w:val="nil"/>
              <w:right w:val="nil"/>
            </w:tcBorders>
            <w:noWrap/>
            <w:textDirection w:val="lrTb"/>
            <w:vAlign w:val="bottom"/>
            <w:hideMark/>
          </w:tcPr>
          <w:p w:rsidR="007264D7" w:rsidRPr="00FE2CC5" w:rsidP="007264D7">
            <w:pPr>
              <w:bidi w:val="0"/>
              <w:rPr>
                <w:rFonts w:ascii="Arial Narrow" w:hAnsi="Arial Narrow" w:cs="Arial"/>
                <w:color w:val="000000"/>
                <w:sz w:val="20"/>
                <w:szCs w:val="20"/>
              </w:rPr>
            </w:pPr>
            <w:r w:rsidRPr="00FE2CC5">
              <w:rPr>
                <w:rFonts w:ascii="Arial Narrow" w:hAnsi="Arial Narrow" w:cs="Arial"/>
                <w:color w:val="000000"/>
                <w:sz w:val="20"/>
                <w:szCs w:val="20"/>
              </w:rPr>
              <w:t>Výdavky (paušálne + odvody)</w:t>
            </w:r>
          </w:p>
        </w:tc>
        <w:tc>
          <w:tcPr>
            <w:tcW w:w="721" w:type="pct"/>
            <w:tcBorders>
              <w:top w:val="nil"/>
              <w:left w:val="single" w:sz="4" w:space="0" w:color="auto"/>
              <w:bottom w:val="nil"/>
              <w:right w:val="single" w:sz="4" w:space="0" w:color="auto"/>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6 642</w:t>
            </w:r>
          </w:p>
        </w:tc>
        <w:tc>
          <w:tcPr>
            <w:tcW w:w="765" w:type="pct"/>
            <w:tcBorders>
              <w:top w:val="nil"/>
              <w:left w:val="nil"/>
              <w:bottom w:val="nil"/>
              <w:right w:val="nil"/>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5 048</w:t>
            </w:r>
          </w:p>
        </w:tc>
      </w:tr>
      <w:tr>
        <w:tblPrEx>
          <w:tblW w:w="5000" w:type="pct"/>
          <w:tblCellMar>
            <w:left w:w="70" w:type="dxa"/>
            <w:right w:w="70" w:type="dxa"/>
          </w:tblCellMar>
          <w:tblLook w:val="04A0"/>
        </w:tblPrEx>
        <w:trPr>
          <w:trHeight w:val="270"/>
        </w:trPr>
        <w:tc>
          <w:tcPr>
            <w:tcW w:w="3514" w:type="pct"/>
            <w:tcBorders>
              <w:top w:val="nil"/>
              <w:left w:val="nil"/>
              <w:bottom w:val="nil"/>
              <w:right w:val="nil"/>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 xml:space="preserve">z toho : paušálne výdavky </w:t>
            </w:r>
          </w:p>
        </w:tc>
        <w:tc>
          <w:tcPr>
            <w:tcW w:w="721" w:type="pct"/>
            <w:tcBorders>
              <w:top w:val="nil"/>
              <w:left w:val="single" w:sz="4" w:space="0" w:color="auto"/>
              <w:bottom w:val="nil"/>
              <w:right w:val="single" w:sz="4" w:space="0" w:color="auto"/>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4 780</w:t>
            </w:r>
          </w:p>
        </w:tc>
        <w:tc>
          <w:tcPr>
            <w:tcW w:w="765" w:type="pct"/>
            <w:tcBorders>
              <w:top w:val="nil"/>
              <w:left w:val="nil"/>
              <w:bottom w:val="nil"/>
              <w:right w:val="nil"/>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3 187</w:t>
            </w:r>
          </w:p>
        </w:tc>
      </w:tr>
      <w:tr>
        <w:tblPrEx>
          <w:tblW w:w="5000" w:type="pct"/>
          <w:tblCellMar>
            <w:left w:w="70" w:type="dxa"/>
            <w:right w:w="70" w:type="dxa"/>
          </w:tblCellMar>
          <w:tblLook w:val="04A0"/>
        </w:tblPrEx>
        <w:trPr>
          <w:trHeight w:val="270"/>
        </w:trPr>
        <w:tc>
          <w:tcPr>
            <w:tcW w:w="3514" w:type="pct"/>
            <w:tcBorders>
              <w:top w:val="nil"/>
              <w:left w:val="nil"/>
              <w:bottom w:val="nil"/>
              <w:right w:val="nil"/>
            </w:tcBorders>
            <w:noWrap/>
            <w:textDirection w:val="lrTb"/>
            <w:vAlign w:val="bottom"/>
            <w:hideMark/>
          </w:tcPr>
          <w:p w:rsidR="007264D7" w:rsidRPr="00FE2CC5" w:rsidP="007264D7">
            <w:pPr>
              <w:bidi w:val="0"/>
              <w:rPr>
                <w:rFonts w:ascii="Arial Narrow" w:hAnsi="Arial Narrow" w:cs="Arial"/>
                <w:color w:val="000000"/>
                <w:sz w:val="20"/>
                <w:szCs w:val="20"/>
              </w:rPr>
            </w:pPr>
            <w:r w:rsidRPr="00FE2CC5">
              <w:rPr>
                <w:rFonts w:ascii="Arial Narrow" w:hAnsi="Arial Narrow" w:cs="Arial"/>
                <w:color w:val="000000"/>
                <w:sz w:val="20"/>
                <w:szCs w:val="20"/>
              </w:rPr>
              <w:t xml:space="preserve">                                     </w:t>
            </w:r>
            <w:r>
              <w:rPr>
                <w:rFonts w:ascii="Arial Narrow" w:hAnsi="Arial Narrow" w:cs="Arial"/>
                <w:color w:val="000000"/>
                <w:sz w:val="20"/>
                <w:szCs w:val="20"/>
              </w:rPr>
              <w:t xml:space="preserve">                         </w:t>
            </w:r>
            <w:r w:rsidRPr="00FE2CC5">
              <w:rPr>
                <w:rFonts w:ascii="Arial Narrow" w:hAnsi="Arial Narrow" w:cs="Arial"/>
                <w:color w:val="000000"/>
                <w:sz w:val="20"/>
                <w:szCs w:val="20"/>
              </w:rPr>
              <w:t>odvody</w:t>
            </w:r>
          </w:p>
        </w:tc>
        <w:tc>
          <w:tcPr>
            <w:tcW w:w="721" w:type="pct"/>
            <w:tcBorders>
              <w:top w:val="nil"/>
              <w:left w:val="single" w:sz="4" w:space="0" w:color="auto"/>
              <w:bottom w:val="nil"/>
              <w:right w:val="single" w:sz="4" w:space="0" w:color="auto"/>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1 862</w:t>
            </w:r>
          </w:p>
        </w:tc>
        <w:tc>
          <w:tcPr>
            <w:tcW w:w="765" w:type="pct"/>
            <w:tcBorders>
              <w:top w:val="nil"/>
              <w:left w:val="nil"/>
              <w:bottom w:val="nil"/>
              <w:right w:val="nil"/>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1 862</w:t>
            </w:r>
          </w:p>
        </w:tc>
      </w:tr>
      <w:tr>
        <w:tblPrEx>
          <w:tblW w:w="5000" w:type="pct"/>
          <w:tblCellMar>
            <w:left w:w="70" w:type="dxa"/>
            <w:right w:w="70" w:type="dxa"/>
          </w:tblCellMar>
          <w:tblLook w:val="04A0"/>
        </w:tblPrEx>
        <w:trPr>
          <w:trHeight w:val="270"/>
        </w:trPr>
        <w:tc>
          <w:tcPr>
            <w:tcW w:w="3514" w:type="pct"/>
            <w:tcBorders>
              <w:top w:val="nil"/>
              <w:left w:val="nil"/>
              <w:bottom w:val="nil"/>
              <w:right w:val="nil"/>
            </w:tcBorders>
            <w:noWrap/>
            <w:textDirection w:val="lrTb"/>
            <w:vAlign w:val="bottom"/>
            <w:hideMark/>
          </w:tcPr>
          <w:p w:rsidR="007264D7" w:rsidRPr="00FE2CC5" w:rsidP="007264D7">
            <w:pPr>
              <w:bidi w:val="0"/>
              <w:rPr>
                <w:rFonts w:ascii="Arial Narrow" w:hAnsi="Arial Narrow" w:cs="Arial"/>
                <w:color w:val="000000"/>
                <w:sz w:val="20"/>
                <w:szCs w:val="20"/>
              </w:rPr>
            </w:pPr>
            <w:r w:rsidRPr="00FE2CC5">
              <w:rPr>
                <w:rFonts w:ascii="Arial Narrow" w:hAnsi="Arial Narrow" w:cs="Arial"/>
                <w:color w:val="000000"/>
                <w:sz w:val="20"/>
                <w:szCs w:val="20"/>
              </w:rPr>
              <w:t>Základ dane</w:t>
            </w:r>
          </w:p>
        </w:tc>
        <w:tc>
          <w:tcPr>
            <w:tcW w:w="721" w:type="pct"/>
            <w:tcBorders>
              <w:top w:val="nil"/>
              <w:left w:val="single" w:sz="4" w:space="0" w:color="auto"/>
              <w:bottom w:val="nil"/>
              <w:right w:val="single" w:sz="4" w:space="0" w:color="auto"/>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1 325</w:t>
            </w:r>
          </w:p>
        </w:tc>
        <w:tc>
          <w:tcPr>
            <w:tcW w:w="765" w:type="pct"/>
            <w:tcBorders>
              <w:top w:val="nil"/>
              <w:left w:val="nil"/>
              <w:bottom w:val="nil"/>
              <w:right w:val="nil"/>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2 918</w:t>
            </w:r>
          </w:p>
        </w:tc>
      </w:tr>
      <w:tr>
        <w:tblPrEx>
          <w:tblW w:w="5000" w:type="pct"/>
          <w:tblCellMar>
            <w:left w:w="70" w:type="dxa"/>
            <w:right w:w="70" w:type="dxa"/>
          </w:tblCellMar>
          <w:tblLook w:val="04A0"/>
        </w:tblPrEx>
        <w:trPr>
          <w:trHeight w:val="270"/>
        </w:trPr>
        <w:tc>
          <w:tcPr>
            <w:tcW w:w="3514" w:type="pct"/>
            <w:tcBorders>
              <w:top w:val="nil"/>
              <w:left w:val="nil"/>
              <w:bottom w:val="nil"/>
              <w:right w:val="nil"/>
            </w:tcBorders>
            <w:noWrap/>
            <w:textDirection w:val="lrTb"/>
            <w:vAlign w:val="bottom"/>
            <w:hideMark/>
          </w:tcPr>
          <w:p w:rsidR="007264D7" w:rsidRPr="00FE2CC5" w:rsidP="007264D7">
            <w:pPr>
              <w:bidi w:val="0"/>
              <w:rPr>
                <w:rFonts w:ascii="Arial Narrow" w:hAnsi="Arial Narrow" w:cs="Arial"/>
                <w:color w:val="000000"/>
                <w:sz w:val="20"/>
                <w:szCs w:val="20"/>
              </w:rPr>
            </w:pPr>
            <w:r w:rsidRPr="00FE2CC5">
              <w:rPr>
                <w:rFonts w:ascii="Arial Narrow" w:hAnsi="Arial Narrow" w:cs="Arial"/>
                <w:color w:val="000000"/>
                <w:sz w:val="20"/>
                <w:szCs w:val="20"/>
              </w:rPr>
              <w:t>Nezdaniteľná časť základu dane</w:t>
            </w:r>
          </w:p>
        </w:tc>
        <w:tc>
          <w:tcPr>
            <w:tcW w:w="721" w:type="pct"/>
            <w:tcBorders>
              <w:top w:val="nil"/>
              <w:left w:val="single" w:sz="4" w:space="0" w:color="auto"/>
              <w:bottom w:val="nil"/>
              <w:right w:val="single" w:sz="4" w:space="0" w:color="auto"/>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3 559</w:t>
            </w:r>
          </w:p>
        </w:tc>
        <w:tc>
          <w:tcPr>
            <w:tcW w:w="765" w:type="pct"/>
            <w:tcBorders>
              <w:top w:val="nil"/>
              <w:left w:val="nil"/>
              <w:bottom w:val="single" w:sz="4" w:space="0" w:color="auto"/>
              <w:right w:val="nil"/>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3 559</w:t>
            </w:r>
          </w:p>
        </w:tc>
      </w:tr>
      <w:tr>
        <w:tblPrEx>
          <w:tblW w:w="5000" w:type="pct"/>
          <w:tblCellMar>
            <w:left w:w="70" w:type="dxa"/>
            <w:right w:w="70" w:type="dxa"/>
          </w:tblCellMar>
          <w:tblLook w:val="04A0"/>
        </w:tblPrEx>
        <w:trPr>
          <w:trHeight w:val="270"/>
        </w:trPr>
        <w:tc>
          <w:tcPr>
            <w:tcW w:w="3514" w:type="pct"/>
            <w:tcBorders>
              <w:top w:val="single" w:sz="4" w:space="0" w:color="auto"/>
              <w:left w:val="nil"/>
              <w:bottom w:val="single" w:sz="4" w:space="0" w:color="auto"/>
              <w:right w:val="nil"/>
            </w:tcBorders>
            <w:noWrap/>
            <w:textDirection w:val="lrTb"/>
            <w:vAlign w:val="bottom"/>
            <w:hideMark/>
          </w:tcPr>
          <w:p w:rsidR="007264D7" w:rsidRPr="00FE2CC5" w:rsidP="007264D7">
            <w:pPr>
              <w:bidi w:val="0"/>
              <w:rPr>
                <w:rFonts w:ascii="Arial Narrow" w:hAnsi="Arial Narrow"/>
                <w:b/>
                <w:bCs/>
                <w:sz w:val="18"/>
                <w:szCs w:val="18"/>
              </w:rPr>
            </w:pPr>
            <w:r w:rsidRPr="00FE2CC5">
              <w:rPr>
                <w:rFonts w:ascii="Arial Narrow" w:hAnsi="Arial Narrow"/>
                <w:b/>
                <w:bCs/>
                <w:sz w:val="18"/>
                <w:szCs w:val="18"/>
              </w:rPr>
              <w:t>Daň</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7264D7" w:rsidRPr="00FE2CC5" w:rsidP="007264D7">
            <w:pPr>
              <w:bidi w:val="0"/>
              <w:jc w:val="center"/>
              <w:rPr>
                <w:rFonts w:ascii="Arial Narrow" w:hAnsi="Arial Narrow" w:cs="Arial"/>
                <w:b/>
                <w:color w:val="000000"/>
                <w:sz w:val="20"/>
                <w:szCs w:val="20"/>
              </w:rPr>
            </w:pPr>
            <w:r w:rsidRPr="00FE2CC5">
              <w:rPr>
                <w:rFonts w:ascii="Arial Narrow" w:hAnsi="Arial Narrow" w:cs="Arial"/>
                <w:b/>
                <w:color w:val="000000"/>
                <w:sz w:val="20"/>
                <w:szCs w:val="20"/>
              </w:rPr>
              <w:t>0</w:t>
            </w:r>
          </w:p>
        </w:tc>
        <w:tc>
          <w:tcPr>
            <w:tcW w:w="765" w:type="pct"/>
            <w:tcBorders>
              <w:top w:val="nil"/>
              <w:left w:val="nil"/>
              <w:bottom w:val="single" w:sz="4" w:space="0" w:color="auto"/>
              <w:right w:val="nil"/>
            </w:tcBorders>
            <w:noWrap/>
            <w:textDirection w:val="lrTb"/>
            <w:vAlign w:val="bottom"/>
            <w:hideMark/>
          </w:tcPr>
          <w:p w:rsidR="007264D7" w:rsidRPr="00FE2CC5" w:rsidP="007264D7">
            <w:pPr>
              <w:bidi w:val="0"/>
              <w:jc w:val="center"/>
              <w:rPr>
                <w:rFonts w:ascii="Arial Narrow" w:hAnsi="Arial Narrow" w:cs="Arial"/>
                <w:b/>
                <w:color w:val="000000"/>
                <w:sz w:val="20"/>
                <w:szCs w:val="20"/>
              </w:rPr>
            </w:pPr>
            <w:r w:rsidRPr="00FE2CC5">
              <w:rPr>
                <w:rFonts w:ascii="Arial Narrow" w:hAnsi="Arial Narrow" w:cs="Arial"/>
                <w:b/>
                <w:color w:val="000000"/>
                <w:sz w:val="20"/>
                <w:szCs w:val="20"/>
              </w:rPr>
              <w:t>0</w:t>
            </w:r>
          </w:p>
        </w:tc>
      </w:tr>
      <w:tr>
        <w:tblPrEx>
          <w:tblW w:w="5000" w:type="pct"/>
          <w:tblCellMar>
            <w:left w:w="70" w:type="dxa"/>
            <w:right w:w="70" w:type="dxa"/>
          </w:tblCellMar>
          <w:tblLook w:val="04A0"/>
        </w:tblPrEx>
        <w:trPr>
          <w:trHeight w:val="270"/>
        </w:trPr>
        <w:tc>
          <w:tcPr>
            <w:tcW w:w="3514" w:type="pct"/>
            <w:tcBorders>
              <w:top w:val="nil"/>
              <w:left w:val="nil"/>
              <w:bottom w:val="single" w:sz="4" w:space="0" w:color="auto"/>
              <w:right w:val="nil"/>
            </w:tcBorders>
            <w:noWrap/>
            <w:textDirection w:val="lrTb"/>
            <w:vAlign w:val="bottom"/>
            <w:hideMark/>
          </w:tcPr>
          <w:p w:rsidR="007264D7" w:rsidRPr="00FE2CC5" w:rsidP="007264D7">
            <w:pPr>
              <w:bidi w:val="0"/>
              <w:rPr>
                <w:rFonts w:ascii="Arial Narrow" w:hAnsi="Arial Narrow"/>
                <w:sz w:val="18"/>
                <w:szCs w:val="18"/>
              </w:rPr>
            </w:pPr>
            <w:r w:rsidRPr="00FE2CC5">
              <w:rPr>
                <w:rFonts w:ascii="Arial Narrow" w:hAnsi="Arial Narrow" w:cs="Arial"/>
                <w:color w:val="000000"/>
                <w:sz w:val="20"/>
                <w:szCs w:val="20"/>
              </w:rPr>
              <w:t>zmena oproti 40% v eur</w:t>
            </w:r>
          </w:p>
        </w:tc>
        <w:tc>
          <w:tcPr>
            <w:tcW w:w="721" w:type="pct"/>
            <w:tcBorders>
              <w:top w:val="nil"/>
              <w:left w:val="single" w:sz="4" w:space="0" w:color="auto"/>
              <w:bottom w:val="single" w:sz="4" w:space="0" w:color="auto"/>
              <w:right w:val="single" w:sz="4" w:space="0" w:color="auto"/>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0,00 €</w:t>
            </w:r>
          </w:p>
        </w:tc>
        <w:tc>
          <w:tcPr>
            <w:tcW w:w="765" w:type="pct"/>
            <w:tcBorders>
              <w:top w:val="nil"/>
              <w:left w:val="nil"/>
              <w:bottom w:val="single" w:sz="4" w:space="0" w:color="auto"/>
              <w:right w:val="nil"/>
            </w:tcBorders>
            <w:noWrap/>
            <w:textDirection w:val="lrTb"/>
            <w:vAlign w:val="bottom"/>
            <w:hideMark/>
          </w:tcPr>
          <w:p w:rsidR="007264D7" w:rsidRPr="00FE2CC5" w:rsidP="007264D7">
            <w:pPr>
              <w:bidi w:val="0"/>
              <w:jc w:val="center"/>
              <w:rPr>
                <w:rFonts w:ascii="Arial Narrow" w:hAnsi="Arial Narrow" w:cs="Arial"/>
                <w:color w:val="000000"/>
                <w:sz w:val="20"/>
                <w:szCs w:val="20"/>
              </w:rPr>
            </w:pPr>
            <w:r w:rsidRPr="00FE2CC5">
              <w:rPr>
                <w:rFonts w:ascii="Arial Narrow" w:hAnsi="Arial Narrow" w:cs="Arial"/>
                <w:color w:val="000000"/>
                <w:sz w:val="20"/>
                <w:szCs w:val="20"/>
              </w:rPr>
              <w:t>-</w:t>
            </w:r>
          </w:p>
        </w:tc>
      </w:tr>
    </w:tbl>
    <w:p w:rsidR="007264D7" w:rsidRPr="00C31AEF" w:rsidP="007264D7">
      <w:pPr>
        <w:pStyle w:val="ListParagraph"/>
        <w:bidi w:val="0"/>
        <w:ind w:left="45"/>
        <w:jc w:val="both"/>
        <w:rPr>
          <w:rFonts w:ascii="Times New Roman" w:hAnsi="Times New Roman"/>
          <w:sz w:val="24"/>
          <w:szCs w:val="24"/>
        </w:rPr>
      </w:pPr>
    </w:p>
    <w:p w:rsidR="007264D7">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pPr>
        <w:bidi w:val="0"/>
        <w:rPr>
          <w:rFonts w:ascii="Times New Roman" w:hAnsi="Times New Roman"/>
        </w:rPr>
      </w:pPr>
    </w:p>
    <w:p w:rsidR="00F444B8" w:rsidRPr="00251B6B" w:rsidP="00F444B8">
      <w:pPr>
        <w:bidi w:val="0"/>
        <w:jc w:val="center"/>
        <w:rPr>
          <w:rFonts w:ascii="Times New Roman" w:hAnsi="Times New Roman"/>
          <w:b/>
          <w:bCs/>
        </w:rPr>
      </w:pPr>
      <w:r w:rsidRPr="00251B6B">
        <w:rPr>
          <w:rFonts w:ascii="Times New Roman" w:hAnsi="Times New Roman"/>
          <w:b/>
          <w:bCs/>
        </w:rPr>
        <w:t>DOLOŽKA ZLUČITEĽNOSTI</w:t>
      </w:r>
    </w:p>
    <w:p w:rsidR="00F444B8" w:rsidRPr="00C21563" w:rsidP="00F444B8">
      <w:pPr>
        <w:bidi w:val="0"/>
        <w:jc w:val="center"/>
        <w:rPr>
          <w:rFonts w:ascii="Times New Roman" w:hAnsi="Times New Roman"/>
          <w:b/>
        </w:rPr>
      </w:pPr>
      <w:r w:rsidRPr="00251B6B">
        <w:rPr>
          <w:rFonts w:ascii="Times New Roman" w:hAnsi="Times New Roman"/>
          <w:b/>
          <w:bCs/>
        </w:rPr>
        <w:t xml:space="preserve">návrhu zákona, </w:t>
      </w:r>
      <w:r w:rsidRPr="00251B6B">
        <w:rPr>
          <w:rFonts w:ascii="Times New Roman" w:hAnsi="Times New Roman"/>
          <w:b/>
        </w:rPr>
        <w:t xml:space="preserve">ktorým sa mení a dopĺňa zákon č. 595/2003 Z. z. o dani z príjmov v znení neskorších predpisov a </w:t>
      </w:r>
      <w:r>
        <w:rPr>
          <w:rFonts w:ascii="Times New Roman" w:hAnsi="Times New Roman"/>
          <w:b/>
        </w:rPr>
        <w:t>ktorým sa mení zákon č. 283/2002 Z. z o cestovných náhradách v znení neskorších predpisov</w:t>
      </w:r>
      <w:r w:rsidRPr="00347508">
        <w:rPr>
          <w:rFonts w:ascii="Times New Roman" w:hAnsi="Times New Roman"/>
          <w:b/>
        </w:rPr>
        <w:t xml:space="preserve"> </w:t>
      </w:r>
    </w:p>
    <w:p w:rsidR="00F444B8" w:rsidRPr="00251B6B" w:rsidP="00F444B8">
      <w:pPr>
        <w:pBdr>
          <w:bottom w:val="single" w:sz="6" w:space="1" w:color="auto"/>
        </w:pBdr>
        <w:bidi w:val="0"/>
        <w:jc w:val="center"/>
        <w:rPr>
          <w:rFonts w:ascii="Times New Roman" w:hAnsi="Times New Roman"/>
          <w:b/>
          <w:bCs/>
        </w:rPr>
      </w:pPr>
      <w:r w:rsidRPr="00251B6B">
        <w:rPr>
          <w:rFonts w:ascii="Times New Roman" w:hAnsi="Times New Roman"/>
          <w:b/>
          <w:bCs/>
        </w:rPr>
        <w:t>s právom Európskej únie</w:t>
      </w:r>
    </w:p>
    <w:p w:rsidR="00F444B8" w:rsidRPr="00251B6B" w:rsidP="00F444B8">
      <w:pPr>
        <w:bidi w:val="0"/>
        <w:rPr>
          <w:rFonts w:ascii="Times New Roman" w:hAnsi="Times New Roman"/>
          <w:b/>
          <w:bCs/>
        </w:rPr>
      </w:pPr>
    </w:p>
    <w:p w:rsidR="00F444B8" w:rsidRPr="00251B6B" w:rsidP="00A054D3">
      <w:pPr>
        <w:numPr>
          <w:numId w:val="20"/>
        </w:numPr>
        <w:bidi w:val="0"/>
        <w:spacing w:after="120"/>
        <w:jc w:val="both"/>
        <w:rPr>
          <w:rFonts w:ascii="Times New Roman" w:hAnsi="Times New Roman"/>
        </w:rPr>
      </w:pPr>
      <w:r w:rsidRPr="00251B6B">
        <w:rPr>
          <w:rFonts w:ascii="Times New Roman" w:hAnsi="Times New Roman"/>
          <w:b/>
          <w:bCs/>
        </w:rPr>
        <w:t>Predkladateľ zákona:</w:t>
      </w:r>
    </w:p>
    <w:p w:rsidR="00F444B8" w:rsidRPr="00251B6B" w:rsidP="00F444B8">
      <w:pPr>
        <w:bidi w:val="0"/>
        <w:ind w:firstLine="425"/>
        <w:jc w:val="both"/>
        <w:rPr>
          <w:rFonts w:ascii="Times New Roman" w:hAnsi="Times New Roman"/>
        </w:rPr>
      </w:pPr>
      <w:r w:rsidRPr="00251B6B">
        <w:rPr>
          <w:rFonts w:ascii="Times New Roman" w:hAnsi="Times New Roman"/>
        </w:rPr>
        <w:t xml:space="preserve">Vláda Slovenskej republiky. </w:t>
      </w:r>
    </w:p>
    <w:p w:rsidR="00F444B8" w:rsidRPr="00251B6B" w:rsidP="00F444B8">
      <w:pPr>
        <w:bidi w:val="0"/>
        <w:jc w:val="both"/>
        <w:rPr>
          <w:rFonts w:ascii="Times New Roman" w:hAnsi="Times New Roman"/>
          <w:b/>
          <w:bCs/>
        </w:rPr>
      </w:pPr>
    </w:p>
    <w:p w:rsidR="00F444B8" w:rsidRPr="00251B6B" w:rsidP="00A054D3">
      <w:pPr>
        <w:numPr>
          <w:numId w:val="20"/>
        </w:numPr>
        <w:bidi w:val="0"/>
        <w:spacing w:after="120"/>
        <w:jc w:val="both"/>
        <w:rPr>
          <w:rFonts w:ascii="Times New Roman" w:hAnsi="Times New Roman"/>
          <w:b/>
          <w:bCs/>
        </w:rPr>
      </w:pPr>
      <w:r w:rsidRPr="00251B6B">
        <w:rPr>
          <w:rFonts w:ascii="Times New Roman" w:hAnsi="Times New Roman"/>
          <w:b/>
          <w:bCs/>
        </w:rPr>
        <w:t>Názov návrhu zákona:</w:t>
      </w:r>
    </w:p>
    <w:p w:rsidR="00F444B8" w:rsidRPr="00C21563" w:rsidP="00F444B8">
      <w:pPr>
        <w:bidi w:val="0"/>
        <w:jc w:val="both"/>
        <w:rPr>
          <w:rFonts w:ascii="Times New Roman" w:hAnsi="Times New Roman"/>
        </w:rPr>
      </w:pPr>
      <w:r w:rsidRPr="00251B6B">
        <w:rPr>
          <w:rFonts w:ascii="Times New Roman" w:hAnsi="Times New Roman"/>
        </w:rPr>
        <w:t xml:space="preserve">Návrh zákona, ktorým sa mení a dopĺňa zákon č. 595/2003 Z. z. o dani z príjmov v znení neskorších predpisov a </w:t>
      </w:r>
      <w:r w:rsidRPr="0081696A">
        <w:rPr>
          <w:rFonts w:ascii="Times New Roman" w:hAnsi="Times New Roman"/>
        </w:rPr>
        <w:t>ktorým sa mení zákon č. 283/2002 Z. z o cestovných náhradách v znení neskorších predpisov</w:t>
      </w:r>
      <w:r w:rsidRPr="00251B6B">
        <w:rPr>
          <w:rFonts w:ascii="Times New Roman" w:hAnsi="Times New Roman"/>
        </w:rPr>
        <w:t>.</w:t>
      </w:r>
    </w:p>
    <w:p w:rsidR="00F444B8" w:rsidRPr="00251B6B" w:rsidP="00F444B8">
      <w:pPr>
        <w:bidi w:val="0"/>
        <w:jc w:val="both"/>
        <w:rPr>
          <w:rFonts w:ascii="Times New Roman" w:hAnsi="Times New Roman"/>
          <w:b/>
          <w:bCs/>
        </w:rPr>
      </w:pPr>
    </w:p>
    <w:p w:rsidR="00F444B8" w:rsidRPr="00251B6B" w:rsidP="00A054D3">
      <w:pPr>
        <w:numPr>
          <w:numId w:val="20"/>
        </w:numPr>
        <w:bidi w:val="0"/>
        <w:spacing w:after="120"/>
        <w:jc w:val="both"/>
        <w:rPr>
          <w:rFonts w:ascii="Times New Roman" w:hAnsi="Times New Roman"/>
          <w:b/>
          <w:bCs/>
        </w:rPr>
      </w:pPr>
      <w:r w:rsidRPr="00251B6B">
        <w:rPr>
          <w:rFonts w:ascii="Times New Roman" w:hAnsi="Times New Roman"/>
          <w:b/>
          <w:bCs/>
        </w:rPr>
        <w:t xml:space="preserve">Problematika návrhu zákona: </w:t>
      </w:r>
    </w:p>
    <w:p w:rsidR="00F444B8" w:rsidRPr="00251B6B" w:rsidP="00A054D3">
      <w:pPr>
        <w:numPr>
          <w:ilvl w:val="1"/>
          <w:numId w:val="20"/>
        </w:numPr>
        <w:bidi w:val="0"/>
        <w:spacing w:after="120"/>
        <w:rPr>
          <w:rFonts w:ascii="Times New Roman" w:hAnsi="Times New Roman"/>
          <w:lang w:eastAsia="cs-CZ"/>
        </w:rPr>
      </w:pPr>
      <w:r w:rsidRPr="00251B6B">
        <w:rPr>
          <w:rFonts w:ascii="Times New Roman" w:hAnsi="Times New Roman"/>
          <w:lang w:eastAsia="cs-CZ"/>
        </w:rPr>
        <w:t>je upravená v práve Európskej únie:</w:t>
      </w:r>
    </w:p>
    <w:p w:rsidR="00F444B8" w:rsidRPr="00251B6B" w:rsidP="00F444B8">
      <w:pPr>
        <w:bidi w:val="0"/>
        <w:spacing w:after="120"/>
        <w:ind w:left="900" w:hanging="425"/>
        <w:rPr>
          <w:rFonts w:ascii="Times New Roman" w:hAnsi="Times New Roman"/>
          <w:b/>
          <w:bCs/>
          <w:iCs/>
          <w:lang w:eastAsia="cs-CZ"/>
        </w:rPr>
      </w:pPr>
      <w:r w:rsidRPr="00251B6B">
        <w:rPr>
          <w:rFonts w:ascii="Times New Roman" w:hAnsi="Times New Roman"/>
          <w:b/>
          <w:bCs/>
          <w:iCs/>
          <w:lang w:eastAsia="cs-CZ"/>
        </w:rPr>
        <w:t xml:space="preserve">Primárne právo: </w:t>
      </w:r>
    </w:p>
    <w:p w:rsidR="00F444B8" w:rsidRPr="00251B6B" w:rsidP="00A054D3">
      <w:pPr>
        <w:numPr>
          <w:numId w:val="21"/>
        </w:numPr>
        <w:bidi w:val="0"/>
        <w:spacing w:after="120"/>
        <w:rPr>
          <w:rFonts w:ascii="Times New Roman" w:hAnsi="Times New Roman"/>
          <w:lang w:eastAsia="cs-CZ"/>
        </w:rPr>
      </w:pPr>
      <w:r w:rsidRPr="00251B6B">
        <w:rPr>
          <w:rFonts w:ascii="Times New Roman" w:hAnsi="Times New Roman"/>
          <w:lang w:eastAsia="cs-CZ"/>
        </w:rPr>
        <w:t xml:space="preserve">čl. 110 až 112 Zmluvy o fungovaní Európskej únie, </w:t>
      </w:r>
    </w:p>
    <w:p w:rsidR="00F444B8" w:rsidRPr="00251B6B" w:rsidP="00F444B8">
      <w:pPr>
        <w:autoSpaceDE w:val="0"/>
        <w:autoSpaceDN w:val="0"/>
        <w:bidi w:val="0"/>
        <w:adjustRightInd w:val="0"/>
        <w:ind w:left="454"/>
        <w:jc w:val="both"/>
        <w:rPr>
          <w:rFonts w:ascii="Times New Roman" w:hAnsi="Times New Roman"/>
        </w:rPr>
      </w:pPr>
      <w:r w:rsidRPr="00251B6B">
        <w:rPr>
          <w:rFonts w:ascii="Times New Roman" w:hAnsi="Times New Roman"/>
          <w:b/>
          <w:bCs/>
          <w:iCs/>
        </w:rPr>
        <w:t xml:space="preserve">Sekundárne právo </w:t>
      </w:r>
      <w:r w:rsidRPr="00251B6B">
        <w:rPr>
          <w:rFonts w:ascii="Times New Roman" w:hAnsi="Times New Roman"/>
        </w:rPr>
        <w:t>(prijaté pred nadobudnutím platnosti Lisabonskej zmluvy, ktorou sa mení a dopĺňa Zmluva o Európskom spoločenstve a Zmluva o Európskej únii - do 30. novembra 2009):</w:t>
      </w:r>
    </w:p>
    <w:p w:rsidR="00F444B8" w:rsidRPr="00251B6B" w:rsidP="00F444B8">
      <w:pPr>
        <w:autoSpaceDE w:val="0"/>
        <w:autoSpaceDN w:val="0"/>
        <w:bidi w:val="0"/>
        <w:adjustRightInd w:val="0"/>
        <w:ind w:left="454"/>
        <w:rPr>
          <w:rFonts w:ascii="Times New Roman" w:hAnsi="Times New Roman"/>
          <w:b/>
          <w:bCs/>
          <w:iCs/>
        </w:rPr>
      </w:pPr>
    </w:p>
    <w:p w:rsidR="00F444B8" w:rsidRPr="00251B6B" w:rsidP="00A054D3">
      <w:pPr>
        <w:numPr>
          <w:numId w:val="22"/>
        </w:numPr>
        <w:bidi w:val="0"/>
        <w:adjustRightInd w:val="0"/>
        <w:spacing w:after="120"/>
        <w:jc w:val="both"/>
        <w:rPr>
          <w:rFonts w:ascii="Times New Roman" w:hAnsi="Times New Roman"/>
        </w:rPr>
      </w:pPr>
      <w:r w:rsidRPr="00251B6B">
        <w:rPr>
          <w:rFonts w:ascii="Times New Roman" w:hAnsi="Times New Roman"/>
        </w:rPr>
        <w:t xml:space="preserve">smernica Rady 90/435/EHS z 23. júla 1990 o spoločnom systéme zdaňovania uplatňovanom v prípade materských spoločností a dcérskych spoločností v rozličných členských štátoch v platnom znení </w:t>
      </w:r>
      <w:r w:rsidRPr="00251B6B">
        <w:rPr>
          <w:rFonts w:ascii="Times New Roman" w:hAnsi="Times New Roman"/>
          <w:color w:val="000000"/>
        </w:rPr>
        <w:t>(</w:t>
      </w:r>
      <w:r w:rsidRPr="00251B6B">
        <w:rPr>
          <w:rFonts w:ascii="Times New Roman" w:hAnsi="Times New Roman"/>
        </w:rPr>
        <w:t xml:space="preserve">Mimoriadne vydanie </w:t>
      </w:r>
      <w:r w:rsidRPr="00251B6B">
        <w:rPr>
          <w:rFonts w:ascii="Times New Roman" w:hAnsi="Times New Roman"/>
          <w:color w:val="000000"/>
        </w:rPr>
        <w:t>Ú.</w:t>
      </w:r>
      <w:r>
        <w:rPr>
          <w:rFonts w:ascii="Times New Roman" w:hAnsi="Times New Roman"/>
          <w:color w:val="000000"/>
        </w:rPr>
        <w:t xml:space="preserve"> </w:t>
      </w:r>
      <w:r w:rsidRPr="00251B6B">
        <w:rPr>
          <w:rFonts w:ascii="Times New Roman" w:hAnsi="Times New Roman"/>
          <w:color w:val="000000"/>
        </w:rPr>
        <w:t>v.</w:t>
      </w:r>
      <w:r w:rsidRPr="00251B6B">
        <w:rPr>
          <w:rFonts w:ascii="Times New Roman" w:hAnsi="Times New Roman"/>
          <w:i/>
          <w:iCs/>
          <w:color w:val="000000"/>
        </w:rPr>
        <w:t xml:space="preserve"> </w:t>
      </w:r>
      <w:r w:rsidRPr="00251B6B">
        <w:rPr>
          <w:rFonts w:ascii="Times New Roman" w:hAnsi="Times New Roman"/>
        </w:rPr>
        <w:t>EÚ, kap.  9/ zv. 1),</w:t>
      </w:r>
    </w:p>
    <w:p w:rsidR="00F444B8" w:rsidRPr="00251B6B" w:rsidP="00A054D3">
      <w:pPr>
        <w:numPr>
          <w:numId w:val="23"/>
        </w:numPr>
        <w:bidi w:val="0"/>
        <w:adjustRightInd w:val="0"/>
        <w:spacing w:after="120"/>
        <w:jc w:val="both"/>
        <w:rPr>
          <w:rFonts w:ascii="Times New Roman" w:hAnsi="Times New Roman"/>
        </w:rPr>
      </w:pPr>
      <w:r w:rsidRPr="00251B6B">
        <w:rPr>
          <w:rFonts w:ascii="Times New Roman" w:hAnsi="Times New Roman"/>
          <w:bCs/>
        </w:rPr>
        <w:t xml:space="preserve">smernica Rady 2003/48/ES z 3. júna 2003 </w:t>
      </w:r>
      <w:r w:rsidRPr="00251B6B">
        <w:rPr>
          <w:rFonts w:ascii="Times New Roman" w:hAnsi="Times New Roman"/>
        </w:rPr>
        <w:t xml:space="preserve">o zdaňovaní príjmu z úspor v podobe výplaty úrokov v platnom znení </w:t>
      </w:r>
      <w:r w:rsidRPr="00251B6B">
        <w:rPr>
          <w:rFonts w:ascii="Times New Roman" w:hAnsi="Times New Roman"/>
          <w:color w:val="000000"/>
        </w:rPr>
        <w:t>(</w:t>
      </w:r>
      <w:r w:rsidRPr="00251B6B">
        <w:rPr>
          <w:rFonts w:ascii="Times New Roman" w:hAnsi="Times New Roman"/>
        </w:rPr>
        <w:t xml:space="preserve">Mimoriadne vydanie </w:t>
      </w:r>
      <w:r w:rsidRPr="00251B6B">
        <w:rPr>
          <w:rFonts w:ascii="Times New Roman" w:hAnsi="Times New Roman"/>
          <w:color w:val="000000"/>
        </w:rPr>
        <w:t>Ú.</w:t>
      </w:r>
      <w:r>
        <w:rPr>
          <w:rFonts w:ascii="Times New Roman" w:hAnsi="Times New Roman"/>
          <w:color w:val="000000"/>
        </w:rPr>
        <w:t xml:space="preserve"> </w:t>
      </w:r>
      <w:r w:rsidRPr="00251B6B">
        <w:rPr>
          <w:rFonts w:ascii="Times New Roman" w:hAnsi="Times New Roman"/>
          <w:color w:val="000000"/>
        </w:rPr>
        <w:t>v.</w:t>
      </w:r>
      <w:r w:rsidRPr="00251B6B">
        <w:rPr>
          <w:rFonts w:ascii="Times New Roman" w:hAnsi="Times New Roman"/>
          <w:i/>
          <w:iCs/>
          <w:color w:val="000000"/>
        </w:rPr>
        <w:t xml:space="preserve"> </w:t>
      </w:r>
      <w:r w:rsidRPr="00251B6B">
        <w:rPr>
          <w:rFonts w:ascii="Times New Roman" w:hAnsi="Times New Roman"/>
        </w:rPr>
        <w:t>EÚ, kap.  9/ zv. 1),</w:t>
      </w:r>
    </w:p>
    <w:p w:rsidR="00F444B8" w:rsidRPr="00251B6B" w:rsidP="00A054D3">
      <w:pPr>
        <w:numPr>
          <w:numId w:val="24"/>
        </w:numPr>
        <w:bidi w:val="0"/>
        <w:adjustRightInd w:val="0"/>
        <w:spacing w:after="120"/>
        <w:jc w:val="both"/>
        <w:rPr>
          <w:rFonts w:ascii="Times New Roman" w:hAnsi="Times New Roman"/>
        </w:rPr>
      </w:pPr>
      <w:r w:rsidRPr="00251B6B">
        <w:rPr>
          <w:rFonts w:ascii="Times New Roman" w:hAnsi="Times New Roman"/>
          <w:bCs/>
        </w:rPr>
        <w:t xml:space="preserve">smernica Rady 2003/49/ES z 3. júna 2003 o spoločnom systéme zdaňovania uplatňovanom na výplaty úrokov a licenčných poplatkov medzi združenými spoločnosťami rôznych členských štátov v platnom znení </w:t>
      </w:r>
      <w:r w:rsidRPr="00251B6B">
        <w:rPr>
          <w:rFonts w:ascii="Times New Roman" w:hAnsi="Times New Roman"/>
          <w:color w:val="000000"/>
        </w:rPr>
        <w:t>(</w:t>
      </w:r>
      <w:r w:rsidRPr="00251B6B">
        <w:rPr>
          <w:rFonts w:ascii="Times New Roman" w:hAnsi="Times New Roman"/>
        </w:rPr>
        <w:t xml:space="preserve">Mimoriadne vydanie </w:t>
      </w:r>
      <w:r w:rsidRPr="00251B6B">
        <w:rPr>
          <w:rFonts w:ascii="Times New Roman" w:hAnsi="Times New Roman"/>
          <w:color w:val="000000"/>
        </w:rPr>
        <w:t>Ú.</w:t>
      </w:r>
      <w:r>
        <w:rPr>
          <w:rFonts w:ascii="Times New Roman" w:hAnsi="Times New Roman"/>
          <w:color w:val="000000"/>
        </w:rPr>
        <w:t xml:space="preserve"> </w:t>
      </w:r>
      <w:r w:rsidRPr="00251B6B">
        <w:rPr>
          <w:rFonts w:ascii="Times New Roman" w:hAnsi="Times New Roman"/>
          <w:color w:val="000000"/>
        </w:rPr>
        <w:t>v.</w:t>
      </w:r>
      <w:r w:rsidRPr="00251B6B">
        <w:rPr>
          <w:rFonts w:ascii="Times New Roman" w:hAnsi="Times New Roman"/>
          <w:i/>
          <w:iCs/>
          <w:color w:val="000000"/>
        </w:rPr>
        <w:t xml:space="preserve"> </w:t>
      </w:r>
      <w:r w:rsidRPr="00251B6B">
        <w:rPr>
          <w:rFonts w:ascii="Times New Roman" w:hAnsi="Times New Roman"/>
        </w:rPr>
        <w:t>EÚ, kap. 9/ zv. 1),</w:t>
      </w:r>
    </w:p>
    <w:p w:rsidR="00F444B8" w:rsidRPr="00251B6B" w:rsidP="00A054D3">
      <w:pPr>
        <w:numPr>
          <w:numId w:val="24"/>
        </w:numPr>
        <w:bidi w:val="0"/>
        <w:adjustRightInd w:val="0"/>
        <w:spacing w:after="120"/>
        <w:jc w:val="both"/>
        <w:rPr>
          <w:rFonts w:ascii="Times New Roman" w:hAnsi="Times New Roman"/>
        </w:rPr>
      </w:pPr>
      <w:r w:rsidRPr="00251B6B">
        <w:rPr>
          <w:rFonts w:ascii="Times New Roman" w:hAnsi="Times New Roman"/>
        </w:rPr>
        <w:t>smernica Rady 2008/7/ES z 12. februára 2008 o nepriamych daniach z navyšovania kapitálu ( Ú. v. EÚ L 46, 21.2. 2008),</w:t>
      </w:r>
    </w:p>
    <w:p w:rsidR="00F444B8" w:rsidRPr="00251B6B" w:rsidP="00A054D3">
      <w:pPr>
        <w:numPr>
          <w:numId w:val="27"/>
        </w:numPr>
        <w:tabs>
          <w:tab w:val="clear" w:pos="360"/>
          <w:tab w:val="num" w:pos="851"/>
        </w:tabs>
        <w:bidi w:val="0"/>
        <w:spacing w:before="150" w:after="150"/>
        <w:ind w:left="851" w:hanging="284"/>
        <w:jc w:val="both"/>
        <w:rPr>
          <w:rFonts w:ascii="Times New Roman" w:hAnsi="Times New Roman"/>
        </w:rPr>
      </w:pPr>
      <w:r w:rsidRPr="00251B6B">
        <w:rPr>
          <w:rFonts w:ascii="Times New Roman" w:hAnsi="Times New Roman"/>
        </w:rPr>
        <w:t xml:space="preserve">smernica Rady 2009/133/ES z  19. októbra 2009 o spoločnom systéme zdaňovania, uplatniteľnom pri zlučovaní, rozdeľovaní, čiastočnom rozdeľovaní, prevode aktív a výmene akcií spoločností rôznych členských štátov a pri premiestnení sídla SE alebo SCE medzi členskými štátmi </w:t>
      </w:r>
      <w:r>
        <w:rPr>
          <w:rFonts w:ascii="Times New Roman" w:hAnsi="Times New Roman"/>
        </w:rPr>
        <w:t xml:space="preserve">(kodifikované znenie) </w:t>
      </w:r>
      <w:r w:rsidRPr="00251B6B">
        <w:rPr>
          <w:rFonts w:ascii="Times New Roman" w:hAnsi="Times New Roman"/>
        </w:rPr>
        <w:t xml:space="preserve">(Ú. v. EÚ L 310, 25.11. 2009). </w:t>
      </w:r>
    </w:p>
    <w:p w:rsidR="00F444B8" w:rsidRPr="00251B6B" w:rsidP="00A054D3">
      <w:pPr>
        <w:numPr>
          <w:ilvl w:val="1"/>
          <w:numId w:val="20"/>
        </w:numPr>
        <w:bidi w:val="0"/>
        <w:spacing w:after="120"/>
        <w:rPr>
          <w:rFonts w:ascii="Times New Roman" w:hAnsi="Times New Roman"/>
          <w:lang w:eastAsia="cs-CZ"/>
        </w:rPr>
      </w:pPr>
      <w:r w:rsidRPr="00251B6B">
        <w:rPr>
          <w:rFonts w:ascii="Times New Roman" w:hAnsi="Times New Roman"/>
          <w:lang w:eastAsia="cs-CZ"/>
        </w:rPr>
        <w:t>je obsiahnutá v judikatúre Súdneho dvora Európskej únie:</w:t>
      </w:r>
    </w:p>
    <w:p w:rsidR="00F444B8" w:rsidRPr="00112BAF" w:rsidP="00A054D3">
      <w:pPr>
        <w:numPr>
          <w:numId w:val="25"/>
        </w:numPr>
        <w:bidi w:val="0"/>
        <w:spacing w:after="120"/>
        <w:jc w:val="both"/>
        <w:rPr>
          <w:rFonts w:ascii="Times New Roman" w:hAnsi="Times New Roman"/>
          <w:color w:val="000000"/>
        </w:rPr>
      </w:pPr>
      <w:r w:rsidRPr="00251B6B">
        <w:rPr>
          <w:rFonts w:ascii="Times New Roman" w:hAnsi="Times New Roman"/>
          <w:color w:val="000000"/>
        </w:rPr>
        <w:t>rozhodnutie Súdneho dvora vo veci C - 522/04, Európska komisia v. Belgické kráľovstvo, rok  2007</w:t>
      </w:r>
      <w:r w:rsidRPr="00A67124">
        <w:rPr>
          <w:rFonts w:ascii="Times New Roman" w:hAnsi="Times New Roman"/>
          <w:color w:val="000000"/>
          <w:lang w:val="cs-CZ"/>
        </w:rPr>
        <w:t>.</w:t>
      </w:r>
    </w:p>
    <w:p w:rsidR="00112BAF" w:rsidRPr="00A67124" w:rsidP="00A054D3">
      <w:pPr>
        <w:numPr>
          <w:numId w:val="25"/>
        </w:numPr>
        <w:bidi w:val="0"/>
        <w:spacing w:after="120"/>
        <w:jc w:val="both"/>
        <w:rPr>
          <w:rFonts w:ascii="Times New Roman" w:hAnsi="Times New Roman"/>
          <w:color w:val="000000"/>
        </w:rPr>
      </w:pPr>
    </w:p>
    <w:p w:rsidR="00F444B8" w:rsidRPr="00251B6B" w:rsidP="00F444B8">
      <w:pPr>
        <w:bidi w:val="0"/>
        <w:ind w:left="425"/>
        <w:rPr>
          <w:rFonts w:ascii="Times New Roman" w:hAnsi="Times New Roman"/>
          <w:lang w:eastAsia="cs-CZ"/>
        </w:rPr>
      </w:pPr>
    </w:p>
    <w:p w:rsidR="00F444B8" w:rsidRPr="00251B6B" w:rsidP="00A054D3">
      <w:pPr>
        <w:numPr>
          <w:numId w:val="20"/>
        </w:numPr>
        <w:bidi w:val="0"/>
        <w:spacing w:after="120"/>
        <w:jc w:val="both"/>
        <w:rPr>
          <w:rFonts w:ascii="Times New Roman" w:hAnsi="Times New Roman"/>
          <w:b/>
          <w:bCs/>
        </w:rPr>
      </w:pPr>
      <w:r w:rsidRPr="00251B6B">
        <w:rPr>
          <w:rFonts w:ascii="Times New Roman" w:hAnsi="Times New Roman"/>
          <w:b/>
          <w:bCs/>
        </w:rPr>
        <w:t>Záväzky Slovenskej republiky vo vzťahu k Európskej únii:</w:t>
      </w:r>
    </w:p>
    <w:p w:rsidR="00F444B8" w:rsidRPr="00251B6B" w:rsidP="00A054D3">
      <w:pPr>
        <w:numPr>
          <w:numId w:val="26"/>
        </w:numPr>
        <w:tabs>
          <w:tab w:val="left" w:pos="425"/>
          <w:tab w:val="clear" w:pos="720"/>
        </w:tabs>
        <w:bidi w:val="0"/>
        <w:spacing w:after="120"/>
        <w:ind w:left="425" w:hanging="425"/>
        <w:jc w:val="both"/>
        <w:rPr>
          <w:rFonts w:ascii="Times New Roman" w:hAnsi="Times New Roman"/>
          <w:lang w:eastAsia="cs-CZ"/>
        </w:rPr>
      </w:pPr>
      <w:r w:rsidRPr="00251B6B">
        <w:rPr>
          <w:rFonts w:ascii="Times New Roman" w:hAnsi="Times New Roman"/>
          <w:lang w:eastAsia="cs-CZ"/>
        </w:rPr>
        <w:t>Lehota na prebratie smernice: bezpredmetné.</w:t>
      </w:r>
    </w:p>
    <w:p w:rsidR="00F444B8" w:rsidRPr="00251B6B" w:rsidP="00A054D3">
      <w:pPr>
        <w:numPr>
          <w:numId w:val="26"/>
        </w:numPr>
        <w:tabs>
          <w:tab w:val="left" w:pos="425"/>
          <w:tab w:val="clear" w:pos="720"/>
        </w:tabs>
        <w:bidi w:val="0"/>
        <w:spacing w:after="120"/>
        <w:ind w:left="425" w:hanging="425"/>
        <w:jc w:val="both"/>
        <w:rPr>
          <w:rFonts w:ascii="Times New Roman" w:hAnsi="Times New Roman"/>
          <w:lang w:eastAsia="cs-CZ"/>
        </w:rPr>
      </w:pPr>
      <w:r w:rsidRPr="00251B6B">
        <w:rPr>
          <w:rFonts w:ascii="Times New Roman" w:hAnsi="Times New Roman"/>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F444B8" w:rsidRPr="00251B6B" w:rsidP="00A054D3">
      <w:pPr>
        <w:numPr>
          <w:numId w:val="26"/>
        </w:numPr>
        <w:tabs>
          <w:tab w:val="left" w:pos="425"/>
          <w:tab w:val="clear" w:pos="720"/>
        </w:tabs>
        <w:bidi w:val="0"/>
        <w:spacing w:after="120"/>
        <w:ind w:left="425" w:hanging="425"/>
        <w:jc w:val="both"/>
        <w:rPr>
          <w:rFonts w:ascii="Times New Roman" w:hAnsi="Times New Roman"/>
          <w:lang w:eastAsia="cs-CZ"/>
        </w:rPr>
      </w:pPr>
      <w:r w:rsidRPr="00251B6B">
        <w:rPr>
          <w:rFonts w:ascii="Times New Roman" w:hAnsi="Times New Roman"/>
          <w:lang w:eastAsia="cs-CZ"/>
        </w:rPr>
        <w:t>Proti SR bolo začaté konanie o porušení Zmluvy o fungovaní Európskej únie podľa čl. 258 až 260 Zmluvy o fungovaní Európskej únie</w:t>
      </w:r>
      <w:r>
        <w:rPr>
          <w:rFonts w:ascii="Times New Roman" w:hAnsi="Times New Roman"/>
          <w:lang w:eastAsia="cs-CZ"/>
        </w:rPr>
        <w:t>,</w:t>
      </w:r>
      <w:r w:rsidRPr="00251B6B">
        <w:rPr>
          <w:rFonts w:ascii="Times New Roman" w:hAnsi="Times New Roman"/>
          <w:lang w:eastAsia="cs-CZ"/>
        </w:rPr>
        <w:t xml:space="preserve"> a to konanie č. 2009/2215</w:t>
      </w:r>
      <w:r>
        <w:rPr>
          <w:rFonts w:ascii="Times New Roman" w:hAnsi="Times New Roman"/>
          <w:lang w:eastAsia="cs-CZ"/>
        </w:rPr>
        <w:t xml:space="preserve"> a č. 2009/2267</w:t>
      </w:r>
      <w:r w:rsidRPr="00251B6B">
        <w:rPr>
          <w:rFonts w:ascii="Times New Roman" w:hAnsi="Times New Roman"/>
          <w:lang w:eastAsia="cs-CZ"/>
        </w:rPr>
        <w:t>.</w:t>
      </w:r>
    </w:p>
    <w:p w:rsidR="00F444B8" w:rsidRPr="00251B6B" w:rsidP="00A054D3">
      <w:pPr>
        <w:numPr>
          <w:numId w:val="26"/>
        </w:numPr>
        <w:tabs>
          <w:tab w:val="left" w:pos="425"/>
          <w:tab w:val="clear" w:pos="720"/>
        </w:tabs>
        <w:bidi w:val="0"/>
        <w:ind w:left="425" w:hanging="425"/>
        <w:jc w:val="both"/>
        <w:rPr>
          <w:rFonts w:ascii="Times New Roman" w:hAnsi="Times New Roman"/>
          <w:lang w:eastAsia="cs-CZ"/>
        </w:rPr>
      </w:pPr>
      <w:r>
        <w:rPr>
          <w:rFonts w:ascii="Times New Roman" w:hAnsi="Times New Roman"/>
          <w:lang w:eastAsia="cs-CZ"/>
        </w:rPr>
        <w:t>Návrhom právneho predpisu sa nepreberá žiadna smernica</w:t>
      </w:r>
      <w:r w:rsidRPr="00251B6B">
        <w:rPr>
          <w:rFonts w:ascii="Times New Roman" w:hAnsi="Times New Roman"/>
          <w:lang w:eastAsia="cs-CZ"/>
        </w:rPr>
        <w:t>.</w:t>
      </w:r>
    </w:p>
    <w:p w:rsidR="00F444B8" w:rsidRPr="00251B6B" w:rsidP="00F444B8">
      <w:pPr>
        <w:bidi w:val="0"/>
        <w:adjustRightInd w:val="0"/>
        <w:spacing w:after="120"/>
        <w:jc w:val="both"/>
        <w:rPr>
          <w:rFonts w:ascii="Times New Roman" w:hAnsi="Times New Roman"/>
        </w:rPr>
      </w:pPr>
    </w:p>
    <w:p w:rsidR="00F444B8" w:rsidRPr="00251B6B" w:rsidP="00A054D3">
      <w:pPr>
        <w:numPr>
          <w:numId w:val="20"/>
        </w:numPr>
        <w:bidi w:val="0"/>
        <w:spacing w:after="120"/>
        <w:jc w:val="both"/>
        <w:rPr>
          <w:rFonts w:ascii="Times New Roman" w:hAnsi="Times New Roman"/>
          <w:b/>
          <w:bCs/>
        </w:rPr>
      </w:pPr>
      <w:r w:rsidRPr="00251B6B">
        <w:rPr>
          <w:rFonts w:ascii="Times New Roman" w:hAnsi="Times New Roman"/>
          <w:b/>
          <w:bCs/>
        </w:rPr>
        <w:t>Stupeň zlučiteľnosti návrhu zákona s právom Európskej únie:</w:t>
      </w:r>
    </w:p>
    <w:p w:rsidR="00F444B8" w:rsidRPr="00251B6B" w:rsidP="00F444B8">
      <w:pPr>
        <w:bidi w:val="0"/>
        <w:spacing w:after="120"/>
        <w:ind w:left="425" w:hanging="425"/>
        <w:jc w:val="both"/>
        <w:rPr>
          <w:rFonts w:ascii="Times New Roman" w:hAnsi="Times New Roman"/>
        </w:rPr>
      </w:pPr>
      <w:r w:rsidRPr="00251B6B">
        <w:rPr>
          <w:rFonts w:ascii="Times New Roman" w:hAnsi="Times New Roman"/>
        </w:rPr>
        <w:tab/>
        <w:t>Úplný.</w:t>
      </w:r>
    </w:p>
    <w:p w:rsidR="00F444B8" w:rsidRPr="00251B6B" w:rsidP="00A054D3">
      <w:pPr>
        <w:numPr>
          <w:numId w:val="20"/>
        </w:numPr>
        <w:bidi w:val="0"/>
        <w:spacing w:after="120"/>
        <w:jc w:val="both"/>
        <w:rPr>
          <w:rFonts w:ascii="Times New Roman" w:hAnsi="Times New Roman"/>
          <w:b/>
          <w:bCs/>
        </w:rPr>
      </w:pPr>
      <w:r w:rsidRPr="00251B6B">
        <w:rPr>
          <w:rFonts w:ascii="Times New Roman" w:hAnsi="Times New Roman"/>
          <w:b/>
          <w:bCs/>
        </w:rPr>
        <w:t xml:space="preserve">Gestor a spolupracujúce rezorty: </w:t>
      </w:r>
    </w:p>
    <w:p w:rsidR="00F444B8" w:rsidRPr="00251B6B" w:rsidP="00F444B8">
      <w:pPr>
        <w:bidi w:val="0"/>
        <w:spacing w:after="120"/>
        <w:ind w:left="360"/>
        <w:jc w:val="both"/>
        <w:rPr>
          <w:rFonts w:ascii="Times New Roman" w:hAnsi="Times New Roman"/>
          <w:b/>
          <w:bCs/>
        </w:rPr>
      </w:pPr>
      <w:r w:rsidRPr="00251B6B">
        <w:rPr>
          <w:rFonts w:ascii="Times New Roman" w:hAnsi="Times New Roman"/>
        </w:rPr>
        <w:t xml:space="preserve"> Ministerstvo financií Slovenskej republiky.</w:t>
      </w:r>
    </w:p>
    <w:p w:rsidR="00F444B8" w:rsidRPr="00251B6B" w:rsidP="00F444B8">
      <w:pPr>
        <w:bidi w:val="0"/>
        <w:jc w:val="both"/>
        <w:rPr>
          <w:rFonts w:ascii="Times New Roman" w:hAnsi="Times New Roman"/>
        </w:rPr>
      </w:pPr>
    </w:p>
    <w:p w:rsidR="00F444B8">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811E35">
      <w:pPr>
        <w:bidi w:val="0"/>
        <w:rPr>
          <w:rFonts w:ascii="Times New Roman" w:hAnsi="Times New Roman"/>
        </w:rPr>
      </w:pPr>
    </w:p>
    <w:p w:rsidR="00354B6C" w:rsidRPr="00354B6C" w:rsidP="00354B6C">
      <w:pPr>
        <w:bidi w:val="0"/>
        <w:rPr>
          <w:rFonts w:ascii="Times New Roman" w:hAnsi="Times New Roman"/>
          <w:b/>
          <w:u w:val="single"/>
        </w:rPr>
      </w:pPr>
      <w:r w:rsidRPr="00354B6C">
        <w:rPr>
          <w:rFonts w:ascii="Times New Roman" w:hAnsi="Times New Roman"/>
          <w:b/>
          <w:u w:val="single"/>
        </w:rPr>
        <w:t xml:space="preserve">Osobitná časť </w:t>
      </w:r>
    </w:p>
    <w:p w:rsidR="00354B6C" w:rsidRPr="000862AD" w:rsidP="00354B6C">
      <w:pPr>
        <w:bidi w:val="0"/>
        <w:rPr>
          <w:rFonts w:ascii="Times New Roman" w:hAnsi="Times New Roman"/>
        </w:rPr>
      </w:pPr>
    </w:p>
    <w:p w:rsidR="00354B6C" w:rsidRPr="000862AD" w:rsidP="00354B6C">
      <w:pPr>
        <w:bidi w:val="0"/>
        <w:rPr>
          <w:rFonts w:ascii="Times New Roman" w:hAnsi="Times New Roman"/>
          <w:b/>
        </w:rPr>
      </w:pPr>
      <w:r w:rsidRPr="000862AD">
        <w:rPr>
          <w:rFonts w:ascii="Times New Roman" w:hAnsi="Times New Roman"/>
          <w:b/>
        </w:rPr>
        <w:t>K Čl. I</w:t>
      </w:r>
    </w:p>
    <w:p w:rsidR="00354B6C" w:rsidRPr="000862AD" w:rsidP="00354B6C">
      <w:pPr>
        <w:bidi w:val="0"/>
        <w:rPr>
          <w:rFonts w:ascii="Times New Roman" w:hAnsi="Times New Roman"/>
          <w:b/>
        </w:rPr>
      </w:pPr>
    </w:p>
    <w:p w:rsidR="00354B6C" w:rsidRPr="000862AD" w:rsidP="00354B6C">
      <w:pPr>
        <w:bidi w:val="0"/>
        <w:rPr>
          <w:rFonts w:ascii="Times New Roman" w:hAnsi="Times New Roman"/>
          <w:b/>
        </w:rPr>
      </w:pPr>
      <w:r w:rsidRPr="000862AD">
        <w:rPr>
          <w:rFonts w:ascii="Times New Roman" w:hAnsi="Times New Roman"/>
          <w:b/>
        </w:rPr>
        <w:t>K bodu 1 - § 2 písm. s)</w:t>
      </w:r>
    </w:p>
    <w:p w:rsidR="00354B6C" w:rsidRPr="000862AD" w:rsidP="00354B6C">
      <w:pPr>
        <w:bidi w:val="0"/>
        <w:jc w:val="both"/>
        <w:rPr>
          <w:rFonts w:ascii="Times New Roman" w:hAnsi="Times New Roman"/>
        </w:rPr>
      </w:pPr>
      <w:r w:rsidRPr="000862AD">
        <w:rPr>
          <w:rFonts w:ascii="Times New Roman" w:hAnsi="Times New Roman"/>
        </w:rPr>
        <w:t xml:space="preserve">Úprava sa navrhuje v nadväznosti na zjednotenie podmienok odpisovania hmotného majetku obstaraného formou finančného prenájmu s ostatnými formami obstarania hmotného majetku. Pri postúpení predmetu finančného prenájmu sa bude u nového nájomcu postupovať ako v prípade kúpy majetku, t.j. nový nájomca zaradí predmet finančného prenájmu ako novoobstaraný majetok a odpisuje ho počas doby odpisovania stanovenej v § 26. </w:t>
      </w:r>
    </w:p>
    <w:p w:rsidR="00354B6C" w:rsidRPr="000862AD" w:rsidP="00354B6C">
      <w:pPr>
        <w:bidi w:val="0"/>
        <w:rPr>
          <w:rFonts w:ascii="Times New Roman" w:hAnsi="Times New Roman"/>
          <w:b/>
        </w:rPr>
      </w:pPr>
    </w:p>
    <w:p w:rsidR="00354B6C" w:rsidRPr="000862AD" w:rsidP="00354B6C">
      <w:pPr>
        <w:bidi w:val="0"/>
        <w:rPr>
          <w:rFonts w:ascii="Times New Roman" w:hAnsi="Times New Roman"/>
          <w:b/>
        </w:rPr>
      </w:pPr>
      <w:r w:rsidRPr="000862AD">
        <w:rPr>
          <w:rFonts w:ascii="Times New Roman" w:hAnsi="Times New Roman"/>
          <w:b/>
        </w:rPr>
        <w:t>K bodu 2 - § 2 písm. u) a v)</w:t>
      </w:r>
    </w:p>
    <w:p w:rsidR="00354B6C" w:rsidP="00354B6C">
      <w:pPr>
        <w:bidi w:val="0"/>
        <w:jc w:val="both"/>
        <w:rPr>
          <w:rFonts w:ascii="Times New Roman" w:hAnsi="Times New Roman"/>
        </w:rPr>
      </w:pPr>
      <w:r w:rsidRPr="000862AD">
        <w:rPr>
          <w:rFonts w:ascii="Times New Roman" w:hAnsi="Times New Roman"/>
        </w:rPr>
        <w:t xml:space="preserve">V súvislosti so zrušením nezdaniteľných častí základu dane na účelové sporenie a životné poistenie sa zo základných pojmov v § 2 vypúšťajú definície týchto pojmov. Táto úprava sa navrhuje aj v nadväznosti na upozornenie Európskej komisie na možnú nezlučiteľnosť ustanovení zákona o dani z príjmov s právom Európskej únie. </w:t>
      </w:r>
    </w:p>
    <w:p w:rsidR="00354B6C" w:rsidP="00354B6C">
      <w:pPr>
        <w:bidi w:val="0"/>
        <w:jc w:val="both"/>
        <w:rPr>
          <w:rFonts w:ascii="Times New Roman" w:hAnsi="Times New Roman"/>
        </w:rPr>
      </w:pPr>
    </w:p>
    <w:p w:rsidR="00354B6C" w:rsidRPr="00354B6C" w:rsidP="00354B6C">
      <w:pPr>
        <w:bidi w:val="0"/>
        <w:jc w:val="both"/>
        <w:rPr>
          <w:rFonts w:ascii="Times New Roman" w:hAnsi="Times New Roman"/>
          <w:b/>
        </w:rPr>
      </w:pPr>
      <w:r w:rsidRPr="00354B6C">
        <w:rPr>
          <w:rFonts w:ascii="Times New Roman" w:hAnsi="Times New Roman"/>
          <w:b/>
        </w:rPr>
        <w:t>K bodu 3 - § 4 ods. 5</w:t>
      </w:r>
    </w:p>
    <w:p w:rsidR="00354B6C" w:rsidRPr="0068290D" w:rsidP="00354B6C">
      <w:pPr>
        <w:bidi w:val="0"/>
        <w:jc w:val="both"/>
        <w:rPr>
          <w:rFonts w:ascii="Times New Roman" w:hAnsi="Times New Roman"/>
          <w:b/>
        </w:rPr>
      </w:pPr>
      <w:r w:rsidRPr="0068290D">
        <w:rPr>
          <w:rFonts w:ascii="Times New Roman" w:hAnsi="Times New Roman"/>
        </w:rPr>
        <w:t>Úprava je vykonaná v súvislosti so zrušením oslobodenia príjmov od dane z predaja nehnuteľnost</w:t>
      </w:r>
      <w:r>
        <w:rPr>
          <w:rFonts w:ascii="Times New Roman" w:hAnsi="Times New Roman"/>
        </w:rPr>
        <w:t>í</w:t>
      </w:r>
      <w:r w:rsidRPr="0068290D">
        <w:rPr>
          <w:rFonts w:ascii="Times New Roman" w:hAnsi="Times New Roman"/>
        </w:rPr>
        <w:t>, v ktorých mal daňovník trvalý pobyt najmenej po dobu dvoch rokov bezprostredne pred predajom.</w:t>
      </w:r>
    </w:p>
    <w:p w:rsidR="00354B6C" w:rsidRPr="00D540B1" w:rsidP="00354B6C">
      <w:pPr>
        <w:bidi w:val="0"/>
        <w:jc w:val="both"/>
        <w:rPr>
          <w:rFonts w:ascii="Times New Roman" w:hAnsi="Times New Roman"/>
          <w:b/>
          <w:color w:val="FF0000"/>
        </w:rPr>
      </w:pPr>
    </w:p>
    <w:p w:rsidR="00354B6C" w:rsidRPr="0068290D" w:rsidP="00354B6C">
      <w:pPr>
        <w:bidi w:val="0"/>
        <w:jc w:val="both"/>
        <w:rPr>
          <w:rFonts w:ascii="Times New Roman" w:hAnsi="Times New Roman"/>
          <w:b/>
        </w:rPr>
      </w:pPr>
      <w:r w:rsidRPr="0068290D">
        <w:rPr>
          <w:rFonts w:ascii="Times New Roman" w:hAnsi="Times New Roman"/>
          <w:b/>
        </w:rPr>
        <w:t>K bodu 4 - § 4 ods. 6</w:t>
      </w:r>
    </w:p>
    <w:p w:rsidR="00354B6C" w:rsidRPr="0068290D" w:rsidP="00354B6C">
      <w:pPr>
        <w:bidi w:val="0"/>
        <w:jc w:val="both"/>
        <w:rPr>
          <w:rFonts w:ascii="Times New Roman" w:hAnsi="Times New Roman"/>
          <w:iCs/>
        </w:rPr>
      </w:pPr>
      <w:r w:rsidRPr="0068290D">
        <w:rPr>
          <w:rFonts w:ascii="Times New Roman" w:hAnsi="Times New Roman"/>
          <w:iCs/>
        </w:rPr>
        <w:t>Upravené ustanovenie § 43 ods. 6 v písm. a) až d) vymedzuje skupinu daňovníkov a príjmy, u ktorých je možné daň vyberanú zrážkou považovať za preddavok na daň. Daňovník (aj ten ktorý účtuje, aj ten ktorý neúčtuje o týchto príjmoch) má možnosť vybraním dane zrážkou z týchto vymedzených príjmov považovať daňovú povinnosť za splnenú</w:t>
      </w:r>
      <w:r>
        <w:rPr>
          <w:rFonts w:ascii="Times New Roman" w:hAnsi="Times New Roman"/>
          <w:iCs/>
        </w:rPr>
        <w:t xml:space="preserve"> a </w:t>
      </w:r>
      <w:r w:rsidRPr="0068290D">
        <w:rPr>
          <w:rFonts w:ascii="Times New Roman" w:hAnsi="Times New Roman"/>
          <w:iCs/>
        </w:rPr>
        <w:t>tieto príjmy neuvádza v daňovom priznaní. Ak sa však daňovník rozhodne považovať takto vybranú daň za preddavok na daň, príjmy zdaňované daňou vyberanou zrážkou sú súčasťou základu dane a daň vyberaná zrážkou sa uplatní ako preddavok na daň.</w:t>
      </w:r>
    </w:p>
    <w:p w:rsidR="00354B6C" w:rsidRPr="009242EC" w:rsidP="00354B6C">
      <w:pPr>
        <w:bidi w:val="0"/>
        <w:jc w:val="both"/>
        <w:rPr>
          <w:rFonts w:ascii="Times New Roman" w:hAnsi="Times New Roman"/>
          <w:b/>
          <w:color w:val="FF0000"/>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5</w:t>
      </w:r>
      <w:r w:rsidRPr="000862AD">
        <w:rPr>
          <w:rFonts w:ascii="Times New Roman" w:hAnsi="Times New Roman"/>
          <w:b/>
        </w:rPr>
        <w:t xml:space="preserve"> - § 5 ods. 3 písm. a)</w:t>
      </w:r>
    </w:p>
    <w:p w:rsidR="00354B6C" w:rsidRPr="007A03C8" w:rsidP="00354B6C">
      <w:pPr>
        <w:bidi w:val="0"/>
        <w:jc w:val="both"/>
        <w:rPr>
          <w:rFonts w:ascii="Times New Roman" w:hAnsi="Times New Roman"/>
        </w:rPr>
      </w:pPr>
      <w:r w:rsidRPr="007A03C8">
        <w:rPr>
          <w:rFonts w:ascii="Times New Roman" w:hAnsi="Times New Roman"/>
        </w:rPr>
        <w:t xml:space="preserve">Spresnenie výpočtu výšky nepeňažného príjmu plynúceho zamestnancovi z používania motorového vozidla zamestnávateľa aj na súkromné účely z dôvodu zmeny odpisovania majetku obstarávaného formou finančného prenájmu. </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6</w:t>
      </w:r>
      <w:r w:rsidRPr="000862AD">
        <w:rPr>
          <w:rFonts w:ascii="Times New Roman" w:hAnsi="Times New Roman"/>
          <w:b/>
        </w:rPr>
        <w:t xml:space="preserve"> - § 5 ods. 5 písm. a)</w:t>
      </w:r>
    </w:p>
    <w:p w:rsidR="00354B6C" w:rsidRPr="000862AD" w:rsidP="00354B6C">
      <w:pPr>
        <w:bidi w:val="0"/>
        <w:jc w:val="both"/>
        <w:rPr>
          <w:rFonts w:ascii="Times New Roman" w:hAnsi="Times New Roman"/>
        </w:rPr>
      </w:pPr>
      <w:r w:rsidRPr="000862AD">
        <w:rPr>
          <w:rFonts w:ascii="Times New Roman" w:hAnsi="Times New Roman"/>
        </w:rPr>
        <w:t>Úpravou ustanovenia sa bude vreckové poskytované pri zahraničných služobných cestách podľa zákona č. 283/2002 Z. z. o cestovných náhradách v znení neskorších predpisov považovať za zdaniteľný príjem bez ohľadu na jeho výšku.</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7</w:t>
      </w:r>
      <w:r w:rsidRPr="000862AD">
        <w:rPr>
          <w:rFonts w:ascii="Times New Roman" w:hAnsi="Times New Roman"/>
          <w:b/>
        </w:rPr>
        <w:t xml:space="preserve"> - poznámka pod čiarou k odkazu č. 16</w:t>
      </w:r>
    </w:p>
    <w:p w:rsidR="00354B6C" w:rsidP="00354B6C">
      <w:pPr>
        <w:bidi w:val="0"/>
        <w:jc w:val="both"/>
        <w:rPr>
          <w:rFonts w:ascii="Times New Roman" w:hAnsi="Times New Roman"/>
        </w:rPr>
      </w:pPr>
      <w:r w:rsidRPr="000862AD">
        <w:rPr>
          <w:rFonts w:ascii="Times New Roman" w:hAnsi="Times New Roman"/>
        </w:rPr>
        <w:t xml:space="preserve">Od dane budú oslobodené len plnenia, ktoré sú poskytované pri výkone práce v zahraničí zamestnancovi, na ktorého sa vzťahuje osobitný predpis. </w:t>
      </w:r>
    </w:p>
    <w:p w:rsidR="00354B6C" w:rsidP="00354B6C">
      <w:pPr>
        <w:bidi w:val="0"/>
        <w:jc w:val="both"/>
        <w:rPr>
          <w:rFonts w:ascii="Times New Roman" w:hAnsi="Times New Roman"/>
        </w:rPr>
      </w:pPr>
    </w:p>
    <w:p w:rsidR="006651EE" w:rsidP="00354B6C">
      <w:pPr>
        <w:bidi w:val="0"/>
        <w:jc w:val="both"/>
        <w:rPr>
          <w:rFonts w:ascii="Times New Roman" w:hAnsi="Times New Roman"/>
        </w:rPr>
      </w:pPr>
    </w:p>
    <w:p w:rsidR="006651EE" w:rsidP="00354B6C">
      <w:pPr>
        <w:bidi w:val="0"/>
        <w:jc w:val="both"/>
        <w:rPr>
          <w:rFonts w:ascii="Times New Roman" w:hAnsi="Times New Roman"/>
        </w:rPr>
      </w:pPr>
    </w:p>
    <w:p w:rsidR="006651EE" w:rsidP="00354B6C">
      <w:pPr>
        <w:bidi w:val="0"/>
        <w:jc w:val="both"/>
        <w:rPr>
          <w:rFonts w:ascii="Times New Roman" w:hAnsi="Times New Roman"/>
        </w:rPr>
      </w:pPr>
    </w:p>
    <w:p w:rsidR="006651EE" w:rsidP="00354B6C">
      <w:pPr>
        <w:bidi w:val="0"/>
        <w:jc w:val="both"/>
        <w:rPr>
          <w:rFonts w:ascii="Times New Roman" w:hAnsi="Times New Roman"/>
        </w:rPr>
      </w:pPr>
    </w:p>
    <w:p w:rsidR="006651EE" w:rsidP="00354B6C">
      <w:pPr>
        <w:bidi w:val="0"/>
        <w:jc w:val="both"/>
        <w:rPr>
          <w:rFonts w:ascii="Times New Roman" w:hAnsi="Times New Roman"/>
        </w:rPr>
      </w:pPr>
    </w:p>
    <w:p w:rsidR="006651EE"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bodom </w:t>
      </w:r>
      <w:r>
        <w:rPr>
          <w:rFonts w:ascii="Times New Roman" w:hAnsi="Times New Roman"/>
          <w:b/>
        </w:rPr>
        <w:t>8</w:t>
      </w:r>
      <w:r w:rsidRPr="000862AD">
        <w:rPr>
          <w:rFonts w:ascii="Times New Roman" w:hAnsi="Times New Roman"/>
          <w:b/>
        </w:rPr>
        <w:t xml:space="preserve"> a </w:t>
      </w:r>
      <w:r>
        <w:rPr>
          <w:rFonts w:ascii="Times New Roman" w:hAnsi="Times New Roman"/>
          <w:b/>
        </w:rPr>
        <w:t>9</w:t>
      </w:r>
      <w:r w:rsidRPr="000862AD">
        <w:rPr>
          <w:rFonts w:ascii="Times New Roman" w:hAnsi="Times New Roman"/>
          <w:b/>
        </w:rPr>
        <w:t xml:space="preserve"> - § 5 ods. 8 a 9</w:t>
      </w:r>
    </w:p>
    <w:p w:rsidR="00354B6C" w:rsidRPr="00354B6C" w:rsidP="00354B6C">
      <w:pPr>
        <w:pStyle w:val="Heading2"/>
        <w:bidi w:val="0"/>
        <w:spacing w:before="0"/>
        <w:jc w:val="both"/>
        <w:rPr>
          <w:rStyle w:val="PlaceholderText"/>
          <w:b w:val="0"/>
          <w:color w:val="auto"/>
          <w:sz w:val="24"/>
          <w:szCs w:val="24"/>
        </w:rPr>
      </w:pPr>
      <w:r w:rsidRPr="00354B6C">
        <w:rPr>
          <w:rFonts w:ascii="Times New Roman" w:hAnsi="Times New Roman"/>
          <w:b w:val="0"/>
          <w:color w:val="auto"/>
          <w:sz w:val="24"/>
          <w:szCs w:val="24"/>
        </w:rPr>
        <w:t>Pri výpočte základu dane zdravotníckych pracovníkov sa vypúšťa možnosť znížiť príjmy zo závislej činnosti o úhrady zdravotníckeho pracovníka za jeho ďalšie vzdelávanie</w:t>
      </w:r>
      <w:r w:rsidRPr="00354B6C">
        <w:rPr>
          <w:rFonts w:ascii="Times New Roman" w:hAnsi="Times New Roman"/>
          <w:color w:val="auto"/>
          <w:sz w:val="24"/>
          <w:szCs w:val="24"/>
        </w:rPr>
        <w:t>.</w:t>
      </w:r>
      <w:r w:rsidRPr="00354B6C">
        <w:rPr>
          <w:rStyle w:val="Nadpis5Char"/>
          <w:rFonts w:ascii="Times New Roman" w:hAnsi="Times New Roman"/>
          <w:b w:val="0"/>
          <w:lang w:val="sk-SK"/>
        </w:rPr>
        <w:t xml:space="preserve"> </w:t>
      </w:r>
      <w:r w:rsidRPr="00354B6C">
        <w:rPr>
          <w:rStyle w:val="PlaceholderText"/>
          <w:b w:val="0"/>
          <w:color w:val="auto"/>
          <w:sz w:val="24"/>
          <w:szCs w:val="24"/>
        </w:rPr>
        <w:t xml:space="preserve">Možnosť zníženia základu dane o takéto úhrady si uplatňoval iba daňovník vykonávajúci zdravotnícke povolanie lekára, zubného lekára, sestry a pôrodnej asistentky, pričom ostatné skupiny zamestnancov si takéto výdavky pri výpočte základu dane nemohli odpočítať. Úpravou ustanovenia sa zjednocuje spôsob vyčíslenia čiastkového základu dane z príjmov zo závislej činnosti fyzických osôb.  </w:t>
      </w:r>
    </w:p>
    <w:p w:rsidR="00354B6C" w:rsidRPr="00354B6C" w:rsidP="00354B6C">
      <w:pPr>
        <w:bidi w:val="0"/>
        <w:rPr>
          <w:rFonts w:ascii="Times New Roman" w:hAnsi="Times New Roman"/>
        </w:rPr>
      </w:pPr>
    </w:p>
    <w:p w:rsidR="00354B6C" w:rsidRPr="0068290D" w:rsidP="00354B6C">
      <w:pPr>
        <w:bidi w:val="0"/>
        <w:jc w:val="both"/>
        <w:rPr>
          <w:rFonts w:ascii="Times New Roman" w:hAnsi="Times New Roman"/>
          <w:b/>
        </w:rPr>
      </w:pPr>
      <w:r w:rsidRPr="0068290D">
        <w:rPr>
          <w:rFonts w:ascii="Times New Roman" w:hAnsi="Times New Roman"/>
          <w:b/>
        </w:rPr>
        <w:t>K</w:t>
      </w:r>
      <w:r>
        <w:rPr>
          <w:rFonts w:ascii="Times New Roman" w:hAnsi="Times New Roman"/>
          <w:b/>
        </w:rPr>
        <w:t> </w:t>
      </w:r>
      <w:r w:rsidRPr="0068290D">
        <w:rPr>
          <w:rFonts w:ascii="Times New Roman" w:hAnsi="Times New Roman"/>
          <w:b/>
        </w:rPr>
        <w:t>bodu</w:t>
      </w:r>
      <w:r>
        <w:rPr>
          <w:rFonts w:ascii="Times New Roman" w:hAnsi="Times New Roman"/>
          <w:b/>
        </w:rPr>
        <w:t xml:space="preserve"> 10</w:t>
      </w:r>
      <w:r w:rsidRPr="0068290D">
        <w:rPr>
          <w:rFonts w:ascii="Times New Roman" w:hAnsi="Times New Roman"/>
          <w:b/>
        </w:rPr>
        <w:t xml:space="preserve"> – poznámka </w:t>
      </w:r>
      <w:r>
        <w:rPr>
          <w:rFonts w:ascii="Times New Roman" w:hAnsi="Times New Roman"/>
          <w:b/>
        </w:rPr>
        <w:t xml:space="preserve">pod čiarou k odkazu č. </w:t>
      </w:r>
      <w:r w:rsidRPr="0068290D">
        <w:rPr>
          <w:rFonts w:ascii="Times New Roman" w:hAnsi="Times New Roman"/>
          <w:b/>
        </w:rPr>
        <w:t>28</w:t>
      </w:r>
    </w:p>
    <w:p w:rsidR="00354B6C" w:rsidRPr="0068290D" w:rsidP="00354B6C">
      <w:pPr>
        <w:bidi w:val="0"/>
        <w:jc w:val="both"/>
        <w:rPr>
          <w:rFonts w:ascii="Times New Roman" w:hAnsi="Times New Roman"/>
        </w:rPr>
      </w:pPr>
      <w:r w:rsidRPr="0068290D">
        <w:rPr>
          <w:rFonts w:ascii="Times New Roman" w:hAnsi="Times New Roman"/>
        </w:rPr>
        <w:t>Ide o legislatívno-technické spresnenie.</w:t>
      </w:r>
    </w:p>
    <w:p w:rsidR="00354B6C" w:rsidRPr="0089637D" w:rsidP="00354B6C">
      <w:pPr>
        <w:bidi w:val="0"/>
        <w:jc w:val="both"/>
        <w:rPr>
          <w:rFonts w:ascii="Times New Roman" w:hAnsi="Times New Roman"/>
          <w:color w:val="FF0000"/>
        </w:rPr>
      </w:pPr>
    </w:p>
    <w:p w:rsidR="00354B6C" w:rsidRPr="000862AD" w:rsidP="00354B6C">
      <w:pPr>
        <w:pStyle w:val="ListParagraph"/>
        <w:bidi w:val="0"/>
        <w:ind w:left="0"/>
        <w:jc w:val="both"/>
        <w:rPr>
          <w:rFonts w:ascii="Times New Roman" w:hAnsi="Times New Roman"/>
          <w:b/>
          <w:sz w:val="24"/>
          <w:szCs w:val="24"/>
        </w:rPr>
      </w:pPr>
      <w:r w:rsidRPr="000862AD">
        <w:rPr>
          <w:rFonts w:ascii="Times New Roman" w:hAnsi="Times New Roman"/>
          <w:b/>
          <w:sz w:val="24"/>
          <w:szCs w:val="24"/>
        </w:rPr>
        <w:t>K bodu 1</w:t>
      </w:r>
      <w:r>
        <w:rPr>
          <w:rFonts w:ascii="Times New Roman" w:hAnsi="Times New Roman"/>
          <w:b/>
          <w:sz w:val="24"/>
          <w:szCs w:val="24"/>
        </w:rPr>
        <w:t>1</w:t>
      </w:r>
      <w:r w:rsidRPr="000862AD">
        <w:rPr>
          <w:rFonts w:ascii="Times New Roman" w:hAnsi="Times New Roman"/>
          <w:b/>
          <w:sz w:val="24"/>
          <w:szCs w:val="24"/>
        </w:rPr>
        <w:t xml:space="preserve"> - § 6 ods. 10</w:t>
      </w:r>
    </w:p>
    <w:p w:rsidR="00354B6C" w:rsidRPr="00C44462" w:rsidP="00354B6C">
      <w:pPr>
        <w:pStyle w:val="CommentText"/>
        <w:bidi w:val="0"/>
        <w:jc w:val="both"/>
        <w:rPr>
          <w:rFonts w:ascii="Times New Roman" w:hAnsi="Times New Roman"/>
          <w:sz w:val="24"/>
          <w:szCs w:val="24"/>
        </w:rPr>
      </w:pPr>
      <w:r w:rsidRPr="00C44462">
        <w:rPr>
          <w:rFonts w:ascii="Times New Roman" w:hAnsi="Times New Roman"/>
          <w:sz w:val="24"/>
          <w:szCs w:val="24"/>
        </w:rPr>
        <w:t>V navrhovanej úprave sa zjednocuje výška výdavkov uplatňovaných percentom z úhrnu príjmov z podnikania, z inej samostatnej zárobkovej činnosti a z prenájmu na výšku 40%</w:t>
      </w:r>
      <w:r>
        <w:rPr>
          <w:rFonts w:ascii="Times New Roman" w:hAnsi="Times New Roman"/>
          <w:sz w:val="24"/>
          <w:szCs w:val="24"/>
        </w:rPr>
        <w:t>.</w:t>
      </w:r>
      <w:r w:rsidRPr="00C44462">
        <w:rPr>
          <w:rFonts w:ascii="Times New Roman" w:hAnsi="Times New Roman"/>
          <w:sz w:val="24"/>
          <w:szCs w:val="24"/>
        </w:rPr>
        <w:t xml:space="preserve"> </w:t>
      </w:r>
      <w:r w:rsidRPr="00C44462">
        <w:rPr>
          <w:rStyle w:val="Nadpis5Char"/>
          <w:lang w:val="sk-SK"/>
        </w:rPr>
        <w:t xml:space="preserve"> </w:t>
      </w:r>
      <w:r w:rsidRPr="00C44462">
        <w:rPr>
          <w:rFonts w:ascii="Times New Roman" w:hAnsi="Times New Roman"/>
          <w:sz w:val="24"/>
          <w:szCs w:val="24"/>
        </w:rPr>
        <w:t xml:space="preserve">Navrhovanou úpravou sa dosiahne rovnaký prístup pri uplatňovaní paušálnych výdavkov pre uvedené príjmy. </w:t>
      </w:r>
    </w:p>
    <w:p w:rsidR="00354B6C" w:rsidRPr="000862AD" w:rsidP="00354B6C">
      <w:pPr>
        <w:pStyle w:val="CommentText"/>
        <w:bidi w:val="0"/>
        <w:jc w:val="both"/>
        <w:rPr>
          <w:rFonts w:ascii="Times New Roman" w:hAnsi="Times New Roman"/>
          <w:sz w:val="24"/>
          <w:szCs w:val="24"/>
        </w:rPr>
      </w:pPr>
    </w:p>
    <w:p w:rsidR="00354B6C" w:rsidRPr="000862AD" w:rsidP="00354B6C">
      <w:pPr>
        <w:pStyle w:val="CommentText"/>
        <w:bidi w:val="0"/>
        <w:jc w:val="both"/>
        <w:rPr>
          <w:rFonts w:ascii="Times New Roman" w:hAnsi="Times New Roman"/>
          <w:sz w:val="24"/>
          <w:szCs w:val="24"/>
        </w:rPr>
      </w:pPr>
      <w:r w:rsidRPr="000862AD">
        <w:rPr>
          <w:rFonts w:ascii="Times New Roman" w:hAnsi="Times New Roman"/>
          <w:sz w:val="24"/>
          <w:szCs w:val="24"/>
        </w:rPr>
        <w:t xml:space="preserve"> </w:t>
      </w:r>
      <w:r w:rsidRPr="000862AD">
        <w:rPr>
          <w:rFonts w:ascii="Times New Roman" w:hAnsi="Times New Roman"/>
          <w:b/>
          <w:sz w:val="24"/>
          <w:szCs w:val="24"/>
        </w:rPr>
        <w:t>K bodu 1</w:t>
      </w:r>
      <w:r>
        <w:rPr>
          <w:rFonts w:ascii="Times New Roman" w:hAnsi="Times New Roman"/>
          <w:b/>
          <w:sz w:val="24"/>
          <w:szCs w:val="24"/>
        </w:rPr>
        <w:t>2</w:t>
      </w:r>
      <w:r w:rsidRPr="000862AD">
        <w:rPr>
          <w:rFonts w:ascii="Times New Roman" w:hAnsi="Times New Roman"/>
          <w:b/>
          <w:sz w:val="24"/>
          <w:szCs w:val="24"/>
        </w:rPr>
        <w:t xml:space="preserve"> - § 6 nový odsek 16</w:t>
      </w:r>
    </w:p>
    <w:p w:rsidR="00354B6C" w:rsidRPr="007A03C8" w:rsidP="00354B6C">
      <w:pPr>
        <w:bidi w:val="0"/>
        <w:jc w:val="both"/>
        <w:rPr>
          <w:rFonts w:ascii="Times New Roman" w:hAnsi="Times New Roman"/>
        </w:rPr>
      </w:pPr>
      <w:r w:rsidRPr="00C44462">
        <w:rPr>
          <w:rFonts w:ascii="Times New Roman" w:hAnsi="Times New Roman"/>
        </w:rPr>
        <w:t>Z dôvodu právnej istoty sa spresňuje ustanovenie tak, aby bolo zrejmé, že zákon o dani z príjmov neumožňuje daňov</w:t>
      </w:r>
      <w:r>
        <w:rPr>
          <w:rFonts w:ascii="Times New Roman" w:hAnsi="Times New Roman"/>
        </w:rPr>
        <w:t>níkom zmeniť spôsob uplatňovaných</w:t>
      </w:r>
      <w:r w:rsidRPr="00C44462">
        <w:rPr>
          <w:rFonts w:ascii="Times New Roman" w:hAnsi="Times New Roman"/>
        </w:rPr>
        <w:t xml:space="preserve"> výdavkov po uplynutí lehoty na podanie daňového priznania</w:t>
      </w:r>
      <w:r>
        <w:rPr>
          <w:rFonts w:ascii="Times New Roman" w:hAnsi="Times New Roman"/>
        </w:rPr>
        <w:t xml:space="preserve"> </w:t>
      </w:r>
      <w:r w:rsidRPr="007A03C8">
        <w:rPr>
          <w:rFonts w:ascii="Times New Roman" w:hAnsi="Times New Roman"/>
        </w:rPr>
        <w:t xml:space="preserve">za zdaňovacie obdobie, za ktoré už daňovník daňové priznanie podal. </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K bodu 1</w:t>
      </w:r>
      <w:r>
        <w:rPr>
          <w:rFonts w:ascii="Times New Roman" w:hAnsi="Times New Roman"/>
          <w:b/>
        </w:rPr>
        <w:t>3</w:t>
      </w:r>
      <w:r w:rsidRPr="000862AD">
        <w:rPr>
          <w:rFonts w:ascii="Times New Roman" w:hAnsi="Times New Roman"/>
          <w:b/>
        </w:rPr>
        <w:t xml:space="preserve"> - § 7 ods. 5</w:t>
      </w:r>
    </w:p>
    <w:p w:rsidR="00354B6C" w:rsidRPr="000862AD" w:rsidP="00354B6C">
      <w:pPr>
        <w:bidi w:val="0"/>
        <w:jc w:val="both"/>
        <w:rPr>
          <w:rFonts w:ascii="Times New Roman" w:hAnsi="Times New Roman"/>
          <w:b/>
        </w:rPr>
      </w:pPr>
      <w:r w:rsidRPr="000862AD">
        <w:rPr>
          <w:rFonts w:ascii="Times New Roman" w:hAnsi="Times New Roman"/>
        </w:rPr>
        <w:t xml:space="preserve">Ustanovenie § 7 ods. 5 upravovalo vyčíslenie čiastkového základu dane z príjmov podľa § 7 ods. 1 písm. d) a e), u ktorých daňovník daň vybranú zrážkou </w:t>
      </w:r>
      <w:r>
        <w:rPr>
          <w:rFonts w:ascii="Times New Roman" w:hAnsi="Times New Roman"/>
        </w:rPr>
        <w:t>mohol</w:t>
      </w:r>
      <w:r w:rsidRPr="000862AD">
        <w:rPr>
          <w:rFonts w:ascii="Times New Roman" w:hAnsi="Times New Roman"/>
        </w:rPr>
        <w:t xml:space="preserve"> považovať za preddavok na daň. V súvislosti so zmenou v § 43 (daň vyberaná zrážkou) sa príjem z doplnkového dôchodkového sporenia, plnenie z poistenia pre prípad dožitia určitého veku a príjem z jednorazového vyrovnania alebo odbytného vyplácané pri predčasnom ukončení poistenia zdaní daňou vyberanou zrážkou, ktorej zrazením bude splnená daňová povinnosť daňovníka.</w:t>
      </w:r>
    </w:p>
    <w:p w:rsidR="00354B6C" w:rsidRPr="000862AD" w:rsidP="00354B6C">
      <w:pPr>
        <w:pStyle w:val="ListParagraph"/>
        <w:bidi w:val="0"/>
        <w:ind w:left="0"/>
        <w:jc w:val="both"/>
        <w:rPr>
          <w:rFonts w:ascii="Times New Roman" w:hAnsi="Times New Roman"/>
          <w:b/>
          <w:sz w:val="24"/>
          <w:szCs w:val="24"/>
        </w:rPr>
      </w:pPr>
    </w:p>
    <w:p w:rsidR="00354B6C" w:rsidRPr="000862AD" w:rsidP="00354B6C">
      <w:pPr>
        <w:pStyle w:val="ListParagraph"/>
        <w:bidi w:val="0"/>
        <w:ind w:left="0"/>
        <w:jc w:val="both"/>
        <w:rPr>
          <w:rFonts w:ascii="Times New Roman" w:hAnsi="Times New Roman"/>
          <w:b/>
          <w:sz w:val="24"/>
          <w:szCs w:val="24"/>
        </w:rPr>
      </w:pPr>
      <w:r w:rsidRPr="000862AD">
        <w:rPr>
          <w:rFonts w:ascii="Times New Roman" w:hAnsi="Times New Roman"/>
          <w:b/>
          <w:sz w:val="24"/>
          <w:szCs w:val="24"/>
        </w:rPr>
        <w:t>K bodu 1</w:t>
      </w:r>
      <w:r>
        <w:rPr>
          <w:rFonts w:ascii="Times New Roman" w:hAnsi="Times New Roman"/>
          <w:b/>
          <w:sz w:val="24"/>
          <w:szCs w:val="24"/>
        </w:rPr>
        <w:t>4</w:t>
      </w:r>
      <w:r w:rsidRPr="000862AD">
        <w:rPr>
          <w:rFonts w:ascii="Times New Roman" w:hAnsi="Times New Roman"/>
          <w:b/>
          <w:sz w:val="24"/>
          <w:szCs w:val="24"/>
        </w:rPr>
        <w:t xml:space="preserve"> - § 7 ods. 6</w:t>
      </w:r>
    </w:p>
    <w:p w:rsidR="00354B6C" w:rsidRPr="000862AD" w:rsidP="00354B6C">
      <w:pPr>
        <w:bidi w:val="0"/>
        <w:jc w:val="both"/>
        <w:rPr>
          <w:rFonts w:ascii="Times New Roman" w:hAnsi="Times New Roman"/>
        </w:rPr>
      </w:pPr>
      <w:r w:rsidRPr="000862AD">
        <w:rPr>
          <w:rFonts w:ascii="Times New Roman" w:hAnsi="Times New Roman"/>
        </w:rPr>
        <w:t xml:space="preserve">Ide o technickú úpravu, ktorá nadväzuje na vypustenie § 7 ods. 5. </w:t>
      </w:r>
    </w:p>
    <w:p w:rsidR="00354B6C" w:rsidRPr="000862AD" w:rsidP="00354B6C">
      <w:pPr>
        <w:pStyle w:val="ListParagraph"/>
        <w:bidi w:val="0"/>
        <w:ind w:left="0"/>
        <w:jc w:val="both"/>
        <w:rPr>
          <w:rFonts w:ascii="Times New Roman" w:hAnsi="Times New Roman"/>
          <w:b/>
          <w:sz w:val="24"/>
          <w:szCs w:val="24"/>
        </w:rPr>
      </w:pPr>
    </w:p>
    <w:p w:rsidR="00354B6C" w:rsidRPr="000862AD" w:rsidP="00354B6C">
      <w:pPr>
        <w:pStyle w:val="ListParagraph"/>
        <w:bidi w:val="0"/>
        <w:ind w:left="0"/>
        <w:jc w:val="both"/>
        <w:rPr>
          <w:rFonts w:ascii="Times New Roman" w:hAnsi="Times New Roman"/>
          <w:b/>
          <w:sz w:val="24"/>
          <w:szCs w:val="24"/>
        </w:rPr>
      </w:pPr>
      <w:r w:rsidRPr="000862AD">
        <w:rPr>
          <w:rFonts w:ascii="Times New Roman" w:hAnsi="Times New Roman"/>
          <w:b/>
          <w:sz w:val="24"/>
          <w:szCs w:val="24"/>
        </w:rPr>
        <w:t>K bodu 1</w:t>
      </w:r>
      <w:r>
        <w:rPr>
          <w:rFonts w:ascii="Times New Roman" w:hAnsi="Times New Roman"/>
          <w:b/>
          <w:sz w:val="24"/>
          <w:szCs w:val="24"/>
        </w:rPr>
        <w:t>5</w:t>
      </w:r>
      <w:r w:rsidRPr="000862AD">
        <w:rPr>
          <w:rFonts w:ascii="Times New Roman" w:hAnsi="Times New Roman"/>
          <w:b/>
          <w:sz w:val="24"/>
          <w:szCs w:val="24"/>
        </w:rPr>
        <w:t xml:space="preserve"> - § 8 ods. 2 písm. a)</w:t>
      </w:r>
    </w:p>
    <w:p w:rsidR="00354B6C" w:rsidRPr="00C44462" w:rsidP="00354B6C">
      <w:pPr>
        <w:bidi w:val="0"/>
        <w:jc w:val="both"/>
        <w:rPr>
          <w:rFonts w:ascii="Times New Roman" w:hAnsi="Times New Roman"/>
        </w:rPr>
      </w:pPr>
      <w:r w:rsidRPr="00C44462">
        <w:rPr>
          <w:rFonts w:ascii="Times New Roman" w:hAnsi="Times New Roman"/>
        </w:rPr>
        <w:t>Uvedená úprava je vykonaná v súvislosti so zrušením oslobodenia príjmu od dane z predaja nehnuteľnost</w:t>
      </w:r>
      <w:r>
        <w:rPr>
          <w:rFonts w:ascii="Times New Roman" w:hAnsi="Times New Roman"/>
        </w:rPr>
        <w:t>í</w:t>
      </w:r>
      <w:r w:rsidRPr="00C44462">
        <w:rPr>
          <w:rFonts w:ascii="Times New Roman" w:hAnsi="Times New Roman"/>
        </w:rPr>
        <w:t>, v ktorých mal daňovník trvalý pobyt najmenej po dobu dvoch rokov bezprostredne pred predajom.</w:t>
      </w:r>
    </w:p>
    <w:p w:rsidR="00354B6C" w:rsidRPr="000862AD" w:rsidP="00354B6C">
      <w:pPr>
        <w:pStyle w:val="ListParagraph"/>
        <w:bidi w:val="0"/>
        <w:ind w:left="0"/>
        <w:jc w:val="both"/>
        <w:rPr>
          <w:rFonts w:ascii="Times New Roman" w:hAnsi="Times New Roman"/>
          <w:b/>
          <w:sz w:val="24"/>
          <w:szCs w:val="24"/>
        </w:rPr>
      </w:pPr>
    </w:p>
    <w:p w:rsidR="00354B6C" w:rsidRPr="000862AD" w:rsidP="00354B6C">
      <w:pPr>
        <w:pStyle w:val="ListParagraph"/>
        <w:bidi w:val="0"/>
        <w:ind w:left="0"/>
        <w:jc w:val="both"/>
        <w:rPr>
          <w:rFonts w:ascii="Times New Roman" w:hAnsi="Times New Roman"/>
          <w:b/>
          <w:sz w:val="24"/>
          <w:szCs w:val="24"/>
        </w:rPr>
      </w:pPr>
      <w:r w:rsidRPr="000862AD">
        <w:rPr>
          <w:rFonts w:ascii="Times New Roman" w:hAnsi="Times New Roman"/>
          <w:b/>
          <w:sz w:val="24"/>
          <w:szCs w:val="24"/>
        </w:rPr>
        <w:t xml:space="preserve">K bodu </w:t>
      </w:r>
      <w:r>
        <w:rPr>
          <w:rFonts w:ascii="Times New Roman" w:hAnsi="Times New Roman"/>
          <w:b/>
          <w:sz w:val="24"/>
          <w:szCs w:val="24"/>
        </w:rPr>
        <w:t>16</w:t>
      </w:r>
      <w:r w:rsidRPr="000862AD">
        <w:rPr>
          <w:rFonts w:ascii="Times New Roman" w:hAnsi="Times New Roman"/>
          <w:b/>
          <w:sz w:val="24"/>
          <w:szCs w:val="24"/>
        </w:rPr>
        <w:t xml:space="preserve"> - § 9 ods. 1</w:t>
      </w:r>
      <w:r>
        <w:rPr>
          <w:rFonts w:ascii="Times New Roman" w:hAnsi="Times New Roman"/>
          <w:b/>
          <w:sz w:val="24"/>
          <w:szCs w:val="24"/>
        </w:rPr>
        <w:t xml:space="preserve"> písm. a)</w:t>
      </w:r>
    </w:p>
    <w:p w:rsidR="00354B6C" w:rsidP="00354B6C">
      <w:pPr>
        <w:bidi w:val="0"/>
        <w:jc w:val="both"/>
        <w:rPr>
          <w:rFonts w:ascii="Times New Roman" w:hAnsi="Times New Roman"/>
        </w:rPr>
      </w:pPr>
      <w:r w:rsidRPr="00C44462">
        <w:rPr>
          <w:rFonts w:ascii="Times New Roman" w:hAnsi="Times New Roman"/>
        </w:rPr>
        <w:t xml:space="preserve">S účinnosťou od 1. januára 2011 sa vypúšťa oslobodenie príjmov plynúcich z predaja nehnuteľnosti, v ktorej mal daňovník trvalý pobyt najmenej po dobu dvoch rokov bezprostredne pred predajom. </w:t>
      </w:r>
    </w:p>
    <w:p w:rsidR="00354B6C" w:rsidP="00354B6C">
      <w:pPr>
        <w:bidi w:val="0"/>
        <w:jc w:val="both"/>
        <w:rPr>
          <w:rFonts w:ascii="Times New Roman" w:hAnsi="Times New Roman"/>
        </w:rPr>
      </w:pPr>
    </w:p>
    <w:p w:rsidR="00354B6C" w:rsidP="00354B6C">
      <w:pPr>
        <w:bidi w:val="0"/>
        <w:jc w:val="both"/>
        <w:rPr>
          <w:rFonts w:ascii="Times New Roman" w:hAnsi="Times New Roman"/>
          <w:b/>
        </w:rPr>
      </w:pPr>
      <w:r>
        <w:rPr>
          <w:rFonts w:ascii="Times New Roman" w:hAnsi="Times New Roman"/>
          <w:b/>
        </w:rPr>
        <w:t xml:space="preserve">K bodu 17 a 18 - § 9 ods. 1 písm. a) a b) </w:t>
      </w:r>
    </w:p>
    <w:p w:rsidR="00354B6C" w:rsidRPr="007602F8" w:rsidP="00354B6C">
      <w:pPr>
        <w:bidi w:val="0"/>
        <w:jc w:val="both"/>
        <w:rPr>
          <w:rFonts w:ascii="Times New Roman" w:hAnsi="Times New Roman"/>
          <w:b/>
        </w:rPr>
      </w:pPr>
      <w:r w:rsidRPr="007602F8">
        <w:rPr>
          <w:rFonts w:ascii="Times New Roman" w:hAnsi="Times New Roman"/>
        </w:rPr>
        <w:t>Uvedená úprava je vykonaná v súvislosti so zrušením oslobodenia príjmu z predaja nehnuteľnosti</w:t>
      </w:r>
      <w:r w:rsidRPr="0004616D">
        <w:rPr>
          <w:rFonts w:ascii="Times New Roman" w:hAnsi="Times New Roman"/>
        </w:rPr>
        <w:t xml:space="preserve"> </w:t>
      </w:r>
      <w:r w:rsidRPr="007602F8">
        <w:rPr>
          <w:rFonts w:ascii="Times New Roman" w:hAnsi="Times New Roman"/>
        </w:rPr>
        <w:t>od dane, v ktorých</w:t>
      </w:r>
      <w:r w:rsidRPr="00C44462">
        <w:rPr>
          <w:rFonts w:ascii="Times New Roman" w:hAnsi="Times New Roman"/>
        </w:rPr>
        <w:t xml:space="preserve"> mal daňovník trvalý pobyt najmenej po dobu dvoch rokov bezprostredne pred predajom</w:t>
      </w:r>
      <w:r>
        <w:rPr>
          <w:rFonts w:ascii="Times New Roman" w:hAnsi="Times New Roman"/>
        </w:rPr>
        <w:t>.</w:t>
      </w:r>
    </w:p>
    <w:p w:rsidR="00354B6C" w:rsidP="00354B6C">
      <w:pPr>
        <w:bidi w:val="0"/>
        <w:jc w:val="both"/>
        <w:rPr>
          <w:rFonts w:ascii="Times New Roman" w:hAnsi="Times New Roman"/>
          <w:color w:val="FF0000"/>
        </w:rPr>
      </w:pPr>
    </w:p>
    <w:p w:rsidR="006651EE" w:rsidP="00354B6C">
      <w:pPr>
        <w:bidi w:val="0"/>
        <w:jc w:val="both"/>
        <w:rPr>
          <w:rFonts w:ascii="Times New Roman" w:hAnsi="Times New Roman"/>
          <w:color w:val="FF0000"/>
        </w:rPr>
      </w:pPr>
    </w:p>
    <w:p w:rsidR="00354B6C" w:rsidRPr="00C44462" w:rsidP="00354B6C">
      <w:pPr>
        <w:bidi w:val="0"/>
        <w:jc w:val="both"/>
        <w:rPr>
          <w:rFonts w:ascii="Times New Roman" w:hAnsi="Times New Roman"/>
          <w:b/>
        </w:rPr>
      </w:pPr>
      <w:r w:rsidRPr="00C44462">
        <w:rPr>
          <w:rFonts w:ascii="Times New Roman" w:hAnsi="Times New Roman"/>
          <w:b/>
        </w:rPr>
        <w:t xml:space="preserve">K bodu </w:t>
      </w:r>
      <w:r>
        <w:rPr>
          <w:rFonts w:ascii="Times New Roman" w:hAnsi="Times New Roman"/>
          <w:b/>
        </w:rPr>
        <w:t>19</w:t>
      </w:r>
      <w:r w:rsidRPr="00C44462">
        <w:rPr>
          <w:rFonts w:ascii="Times New Roman" w:hAnsi="Times New Roman"/>
          <w:b/>
        </w:rPr>
        <w:t xml:space="preserve"> - § 9 ods. 1 písm. f)</w:t>
      </w:r>
    </w:p>
    <w:p w:rsidR="00354B6C" w:rsidRPr="007A03C8" w:rsidP="00354B6C">
      <w:pPr>
        <w:bidi w:val="0"/>
        <w:jc w:val="both"/>
        <w:rPr>
          <w:rFonts w:ascii="Times New Roman" w:hAnsi="Times New Roman"/>
        </w:rPr>
      </w:pPr>
      <w:r w:rsidRPr="007A03C8">
        <w:rPr>
          <w:rFonts w:ascii="Times New Roman" w:hAnsi="Times New Roman"/>
        </w:rPr>
        <w:t>Zrovnoprávňuje sa prijaté plnenie v rámci vyživovacej povinnosti vyplácané zo zahraničia s obdobným plnením vyplácaným podľa predpisov platných na území Slovenskej republiky.</w:t>
      </w:r>
    </w:p>
    <w:p w:rsidR="00354B6C" w:rsidRPr="007A03C8" w:rsidP="00354B6C">
      <w:pPr>
        <w:bidi w:val="0"/>
        <w:jc w:val="both"/>
        <w:rPr>
          <w:rFonts w:ascii="Times New Roman" w:hAnsi="Times New Roman"/>
        </w:rPr>
      </w:pPr>
    </w:p>
    <w:p w:rsidR="00354B6C" w:rsidRPr="00180E9B" w:rsidP="00354B6C">
      <w:pPr>
        <w:bidi w:val="0"/>
        <w:jc w:val="both"/>
        <w:rPr>
          <w:rFonts w:ascii="Times New Roman" w:hAnsi="Times New Roman"/>
          <w:b/>
        </w:rPr>
      </w:pPr>
      <w:r w:rsidRPr="00180E9B">
        <w:rPr>
          <w:rFonts w:ascii="Times New Roman" w:hAnsi="Times New Roman"/>
          <w:b/>
        </w:rPr>
        <w:t xml:space="preserve">K bodu </w:t>
      </w:r>
      <w:r>
        <w:rPr>
          <w:rFonts w:ascii="Times New Roman" w:hAnsi="Times New Roman"/>
          <w:b/>
        </w:rPr>
        <w:t>20</w:t>
      </w:r>
      <w:r w:rsidRPr="00180E9B">
        <w:rPr>
          <w:rFonts w:ascii="Times New Roman" w:hAnsi="Times New Roman"/>
          <w:b/>
        </w:rPr>
        <w:t xml:space="preserve"> – poznámka pod čiarou k odkazu 39</w:t>
      </w:r>
    </w:p>
    <w:p w:rsidR="00354B6C" w:rsidRPr="00180E9B" w:rsidP="00354B6C">
      <w:pPr>
        <w:bidi w:val="0"/>
        <w:jc w:val="both"/>
        <w:rPr>
          <w:rFonts w:ascii="Times New Roman" w:hAnsi="Times New Roman"/>
        </w:rPr>
      </w:pPr>
      <w:r w:rsidRPr="00180E9B">
        <w:rPr>
          <w:rFonts w:ascii="Times New Roman" w:hAnsi="Times New Roman"/>
        </w:rPr>
        <w:t>Ide o legislatívno-technickú úpravu.</w:t>
      </w:r>
    </w:p>
    <w:p w:rsidR="00354B6C" w:rsidRPr="00180E9B" w:rsidP="00354B6C">
      <w:pPr>
        <w:bidi w:val="0"/>
        <w:jc w:val="both"/>
        <w:rPr>
          <w:rFonts w:ascii="Times New Roman" w:hAnsi="Times New Roman"/>
          <w:b/>
        </w:rPr>
      </w:pPr>
    </w:p>
    <w:p w:rsidR="00354B6C" w:rsidRPr="00C44462" w:rsidP="00354B6C">
      <w:pPr>
        <w:bidi w:val="0"/>
        <w:jc w:val="both"/>
        <w:rPr>
          <w:rFonts w:ascii="Times New Roman" w:hAnsi="Times New Roman"/>
          <w:b/>
        </w:rPr>
      </w:pPr>
      <w:r w:rsidRPr="00C44462">
        <w:rPr>
          <w:rFonts w:ascii="Times New Roman" w:hAnsi="Times New Roman"/>
          <w:b/>
        </w:rPr>
        <w:t xml:space="preserve">K bodom </w:t>
      </w:r>
      <w:r>
        <w:rPr>
          <w:rFonts w:ascii="Times New Roman" w:hAnsi="Times New Roman"/>
          <w:b/>
        </w:rPr>
        <w:t xml:space="preserve">21 </w:t>
      </w:r>
      <w:r w:rsidRPr="00C44462">
        <w:rPr>
          <w:rFonts w:ascii="Times New Roman" w:hAnsi="Times New Roman"/>
          <w:b/>
        </w:rPr>
        <w:t xml:space="preserve">a </w:t>
      </w:r>
      <w:r>
        <w:rPr>
          <w:rFonts w:ascii="Times New Roman" w:hAnsi="Times New Roman"/>
          <w:b/>
        </w:rPr>
        <w:t>22</w:t>
      </w:r>
      <w:r w:rsidRPr="00C44462">
        <w:rPr>
          <w:rFonts w:ascii="Times New Roman" w:hAnsi="Times New Roman"/>
          <w:b/>
        </w:rPr>
        <w:t xml:space="preserve"> - § 9 ods. 1 písm. g) a § 9 ods. 1 písm. i)</w:t>
      </w:r>
    </w:p>
    <w:p w:rsidR="00354B6C" w:rsidRPr="00C44462" w:rsidP="00354B6C">
      <w:pPr>
        <w:bidi w:val="0"/>
        <w:jc w:val="both"/>
        <w:rPr>
          <w:rFonts w:ascii="Times New Roman" w:hAnsi="Times New Roman"/>
        </w:rPr>
      </w:pPr>
      <w:r w:rsidRPr="00C44462">
        <w:rPr>
          <w:rFonts w:ascii="Times New Roman" w:hAnsi="Times New Roman"/>
        </w:rPr>
        <w:t xml:space="preserve">V tomto ustanovení sa oslobodenie od dane do výšky 5-násobku životného minima pri príjmoch z prenájmu, príležitostných činností, prevodu opcií, cenných papierov, prevodu účasti (podielu) na spoločnosti s ručením obmedzeným, komanditnej spoločnosti alebo z prevodu členských práv družstva mení na oslobodenie do stanovenej pevnej výšky 500 eur. Zavedenie pevnej sumy, ktorá sa oslobodzuje od dane pri týchto príjmoch, bude presnejšie, jednoduchšie a zrozumiteľnejšie a ľahšie </w:t>
      </w:r>
      <w:r w:rsidRPr="007A03C8">
        <w:rPr>
          <w:rFonts w:ascii="Times New Roman" w:hAnsi="Times New Roman"/>
        </w:rPr>
        <w:t xml:space="preserve">zapamätateľné </w:t>
      </w:r>
      <w:r w:rsidRPr="00C44462">
        <w:rPr>
          <w:rFonts w:ascii="Times New Roman" w:hAnsi="Times New Roman"/>
        </w:rPr>
        <w:t xml:space="preserve">pre daňovníkov. </w:t>
      </w:r>
    </w:p>
    <w:p w:rsidR="00354B6C" w:rsidRPr="00501694" w:rsidP="00354B6C">
      <w:pPr>
        <w:bidi w:val="0"/>
        <w:jc w:val="both"/>
        <w:rPr>
          <w:rFonts w:ascii="Times New Roman" w:hAnsi="Times New Roman"/>
          <w:color w:val="FF0000"/>
        </w:rPr>
      </w:pPr>
    </w:p>
    <w:p w:rsidR="00354B6C" w:rsidRPr="00E21770" w:rsidP="00354B6C">
      <w:pPr>
        <w:bidi w:val="0"/>
        <w:jc w:val="both"/>
        <w:rPr>
          <w:rFonts w:ascii="Times New Roman" w:hAnsi="Times New Roman"/>
          <w:b/>
        </w:rPr>
      </w:pPr>
      <w:r w:rsidRPr="00E21770">
        <w:rPr>
          <w:rFonts w:ascii="Times New Roman" w:hAnsi="Times New Roman"/>
          <w:b/>
        </w:rPr>
        <w:t>K bod</w:t>
      </w:r>
      <w:r>
        <w:rPr>
          <w:rFonts w:ascii="Times New Roman" w:hAnsi="Times New Roman"/>
          <w:b/>
        </w:rPr>
        <w:t>om</w:t>
      </w:r>
      <w:r w:rsidRPr="00E21770">
        <w:rPr>
          <w:rFonts w:ascii="Times New Roman" w:hAnsi="Times New Roman"/>
          <w:b/>
        </w:rPr>
        <w:t xml:space="preserve"> 2</w:t>
      </w:r>
      <w:r>
        <w:rPr>
          <w:rFonts w:ascii="Times New Roman" w:hAnsi="Times New Roman"/>
          <w:b/>
        </w:rPr>
        <w:t xml:space="preserve">3 a 24 </w:t>
      </w:r>
      <w:r w:rsidRPr="00E21770">
        <w:rPr>
          <w:rFonts w:ascii="Times New Roman" w:hAnsi="Times New Roman"/>
          <w:b/>
        </w:rPr>
        <w:t>- § 9 ods. 2 písm. b) a poznámky pod čiarou k odkazom 42 a</w:t>
      </w:r>
      <w:r w:rsidR="00024DAC">
        <w:rPr>
          <w:rFonts w:ascii="Times New Roman" w:hAnsi="Times New Roman"/>
          <w:b/>
        </w:rPr>
        <w:t>ž 44</w:t>
      </w:r>
    </w:p>
    <w:p w:rsidR="00354B6C" w:rsidRPr="00E21770" w:rsidP="00354B6C">
      <w:pPr>
        <w:bidi w:val="0"/>
        <w:jc w:val="both"/>
        <w:rPr>
          <w:rFonts w:ascii="Times New Roman" w:hAnsi="Times New Roman"/>
        </w:rPr>
      </w:pPr>
      <w:r w:rsidRPr="00E21770">
        <w:rPr>
          <w:rFonts w:ascii="Times New Roman" w:hAnsi="Times New Roman"/>
        </w:rPr>
        <w:t>Ide o legislatívno-technické spresnenie.</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K bodu 2</w:t>
      </w:r>
      <w:r>
        <w:rPr>
          <w:rFonts w:ascii="Times New Roman" w:hAnsi="Times New Roman"/>
          <w:b/>
        </w:rPr>
        <w:t>5</w:t>
      </w:r>
      <w:r w:rsidRPr="000862AD">
        <w:rPr>
          <w:rFonts w:ascii="Times New Roman" w:hAnsi="Times New Roman"/>
          <w:b/>
        </w:rPr>
        <w:t xml:space="preserve"> - § 9 ods. 2 písm. i) </w:t>
      </w:r>
    </w:p>
    <w:p w:rsidR="00354B6C" w:rsidRPr="00E21770" w:rsidP="00354B6C">
      <w:pPr>
        <w:bidi w:val="0"/>
        <w:jc w:val="both"/>
        <w:rPr>
          <w:rFonts w:ascii="Times New Roman" w:hAnsi="Times New Roman"/>
        </w:rPr>
      </w:pPr>
      <w:r w:rsidRPr="00E21770">
        <w:rPr>
          <w:rFonts w:ascii="Times New Roman" w:hAnsi="Times New Roman"/>
        </w:rPr>
        <w:t>Ustanovením sa navrhuje oslobodiť plnenia poskytované fyzickým osobám na odstránenie alebo zmiernenie následkov mimoriadnej udalosti</w:t>
      </w:r>
      <w:r>
        <w:rPr>
          <w:rFonts w:ascii="Times New Roman" w:hAnsi="Times New Roman"/>
        </w:rPr>
        <w:t>, ktorou je najmä</w:t>
      </w:r>
      <w:r w:rsidRPr="00C33E13">
        <w:rPr>
          <w:rFonts w:ascii="Times New Roman" w:hAnsi="Times New Roman"/>
        </w:rPr>
        <w:t xml:space="preserve"> </w:t>
      </w:r>
      <w:r>
        <w:rPr>
          <w:rFonts w:ascii="Times New Roman" w:hAnsi="Times New Roman"/>
        </w:rPr>
        <w:t>povodeň, požiar, zemetrasenie, lavína a pod.</w:t>
      </w:r>
    </w:p>
    <w:p w:rsidR="00354B6C" w:rsidP="00354B6C">
      <w:pPr>
        <w:bidi w:val="0"/>
        <w:jc w:val="both"/>
        <w:rPr>
          <w:rFonts w:ascii="Times New Roman" w:hAnsi="Times New Roman"/>
          <w:color w:val="FF0000"/>
        </w:rPr>
      </w:pPr>
    </w:p>
    <w:p w:rsidR="00354B6C" w:rsidRPr="00E21770" w:rsidP="00354B6C">
      <w:pPr>
        <w:bidi w:val="0"/>
        <w:jc w:val="both"/>
        <w:rPr>
          <w:rFonts w:ascii="Times New Roman" w:hAnsi="Times New Roman"/>
          <w:b/>
        </w:rPr>
      </w:pPr>
      <w:r w:rsidRPr="00E21770">
        <w:rPr>
          <w:rFonts w:ascii="Times New Roman" w:hAnsi="Times New Roman"/>
          <w:b/>
        </w:rPr>
        <w:t>K bodu 2</w:t>
      </w:r>
      <w:r>
        <w:rPr>
          <w:rFonts w:ascii="Times New Roman" w:hAnsi="Times New Roman"/>
          <w:b/>
        </w:rPr>
        <w:t xml:space="preserve">6 </w:t>
      </w:r>
      <w:r w:rsidRPr="00E21770">
        <w:rPr>
          <w:rFonts w:ascii="Times New Roman" w:hAnsi="Times New Roman"/>
          <w:b/>
        </w:rPr>
        <w:t>- § 9 ods. 2 písm. v)</w:t>
      </w:r>
    </w:p>
    <w:p w:rsidR="00354B6C" w:rsidP="00354B6C">
      <w:pPr>
        <w:bidi w:val="0"/>
        <w:jc w:val="both"/>
        <w:rPr>
          <w:rFonts w:ascii="Times New Roman" w:hAnsi="Times New Roman"/>
        </w:rPr>
      </w:pPr>
      <w:r w:rsidRPr="00E21770">
        <w:rPr>
          <w:rFonts w:ascii="Times New Roman" w:hAnsi="Times New Roman"/>
        </w:rPr>
        <w:t>Ide o legislatívno-technické spresnenie.</w:t>
      </w:r>
    </w:p>
    <w:p w:rsidR="00D13F9C" w:rsidP="00354B6C">
      <w:pPr>
        <w:bidi w:val="0"/>
        <w:jc w:val="both"/>
        <w:rPr>
          <w:rFonts w:ascii="Times New Roman" w:hAnsi="Times New Roman"/>
        </w:rPr>
      </w:pPr>
    </w:p>
    <w:p w:rsidR="00D13F9C" w:rsidRPr="00833BC3" w:rsidP="00D13F9C">
      <w:pPr>
        <w:bidi w:val="0"/>
        <w:rPr>
          <w:rFonts w:ascii="Times New Roman" w:hAnsi="Times New Roman"/>
          <w:b/>
        </w:rPr>
      </w:pPr>
      <w:r w:rsidRPr="00833BC3">
        <w:rPr>
          <w:rFonts w:ascii="Times New Roman" w:hAnsi="Times New Roman"/>
          <w:b/>
        </w:rPr>
        <w:t>K bodu 2</w:t>
      </w:r>
      <w:r>
        <w:rPr>
          <w:rFonts w:ascii="Times New Roman" w:hAnsi="Times New Roman"/>
          <w:b/>
        </w:rPr>
        <w:t>7</w:t>
      </w:r>
      <w:r w:rsidRPr="00833BC3">
        <w:rPr>
          <w:rFonts w:ascii="Times New Roman" w:hAnsi="Times New Roman"/>
          <w:b/>
        </w:rPr>
        <w:t xml:space="preserve"> - § 9 ods. 2 písm. </w:t>
      </w:r>
      <w:r w:rsidR="00474302">
        <w:rPr>
          <w:rFonts w:ascii="Times New Roman" w:hAnsi="Times New Roman"/>
          <w:b/>
        </w:rPr>
        <w:t>w</w:t>
      </w:r>
      <w:r w:rsidRPr="00833BC3">
        <w:rPr>
          <w:rFonts w:ascii="Times New Roman" w:hAnsi="Times New Roman"/>
          <w:b/>
        </w:rPr>
        <w:t>)</w:t>
      </w:r>
    </w:p>
    <w:p w:rsidR="00D13F9C" w:rsidRPr="00E21770" w:rsidP="00D13F9C">
      <w:pPr>
        <w:bidi w:val="0"/>
        <w:jc w:val="both"/>
        <w:rPr>
          <w:rFonts w:ascii="Times New Roman" w:hAnsi="Times New Roman"/>
        </w:rPr>
      </w:pPr>
      <w:r w:rsidRPr="00E21770">
        <w:rPr>
          <w:rFonts w:ascii="Times New Roman" w:hAnsi="Times New Roman"/>
        </w:rPr>
        <w:t xml:space="preserve">§ 39 ods. 1 zákona Národnej rady Slovenskej republiky č. 171/1993 Z. z. o Policajnom zbore v znení neskorších predpisov ustanovuje, že jedným z prostriedkov operatívno-pátracej činnosti je i „využívanie osôb konajúcich v prospech Policajného zboru.“ V § 41 ods. 1 cit. zákona sa bližšie k tomuto prostriedku uvádza, že osobou konajúcou v prospech Policajného zboru sa rozumie fyzická osoba, ktorá dobrovoľne, utajovaným spôsobom poskytuje informácie a služby Policajnému zboru pri odhaľovaní trestnej činnosti. Pri jej využívaní je možné v súlade s § 39c citovaného zákona využívať osobitné finančné prostriedky, napríklad aj formou odmeňovania týchto osôb. Ak by tieto osoby priznávali takýto príjem, prezradilo by sa, že Policajnému zboru poskytujú informácie alebo služby, čo by bolo jednak v rozpore s požiadavkou utajovaného poskytovania informácií a služieb a zároveň by sa tým i sťažilo plnenie úloh Policajného zboru najmä pri predchádzaní, odhaľovaní a dokumentovaní trestnej činnosti a zisťovaní jej páchateľov, pri pátraní po osobách a veciach a pri zabezpečovaní a poskytovaní ochrany a pomoci ohrozenému svedkovi a chránenému svedkovi. </w:t>
      </w:r>
    </w:p>
    <w:p w:rsidR="00D13F9C"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K bod</w:t>
      </w:r>
      <w:r>
        <w:rPr>
          <w:rFonts w:ascii="Times New Roman" w:hAnsi="Times New Roman"/>
          <w:b/>
        </w:rPr>
        <w:t>om</w:t>
      </w:r>
      <w:r w:rsidRPr="000862AD">
        <w:rPr>
          <w:rFonts w:ascii="Times New Roman" w:hAnsi="Times New Roman"/>
          <w:b/>
        </w:rPr>
        <w:t xml:space="preserve"> 2</w:t>
      </w:r>
      <w:r w:rsidR="00D13F9C">
        <w:rPr>
          <w:rFonts w:ascii="Times New Roman" w:hAnsi="Times New Roman"/>
          <w:b/>
        </w:rPr>
        <w:t>8</w:t>
      </w:r>
      <w:r>
        <w:rPr>
          <w:rFonts w:ascii="Times New Roman" w:hAnsi="Times New Roman"/>
          <w:b/>
        </w:rPr>
        <w:t xml:space="preserve"> a 2</w:t>
      </w:r>
      <w:r w:rsidR="00D13F9C">
        <w:rPr>
          <w:rFonts w:ascii="Times New Roman" w:hAnsi="Times New Roman"/>
          <w:b/>
        </w:rPr>
        <w:t>9</w:t>
      </w:r>
      <w:r w:rsidRPr="000862AD">
        <w:rPr>
          <w:rFonts w:ascii="Times New Roman" w:hAnsi="Times New Roman"/>
          <w:b/>
        </w:rPr>
        <w:t xml:space="preserve"> - § 9 ods. 3 a </w:t>
      </w:r>
      <w:r>
        <w:rPr>
          <w:rFonts w:ascii="Times New Roman" w:hAnsi="Times New Roman"/>
          <w:b/>
        </w:rPr>
        <w:t xml:space="preserve">§ 9 ods. </w:t>
      </w:r>
      <w:r w:rsidRPr="000862AD">
        <w:rPr>
          <w:rFonts w:ascii="Times New Roman" w:hAnsi="Times New Roman"/>
          <w:b/>
        </w:rPr>
        <w:t>4</w:t>
      </w:r>
    </w:p>
    <w:p w:rsidR="00354B6C" w:rsidRPr="00E21770" w:rsidP="00354B6C">
      <w:pPr>
        <w:bidi w:val="0"/>
        <w:jc w:val="both"/>
        <w:rPr>
          <w:rFonts w:ascii="Times New Roman" w:hAnsi="Times New Roman"/>
        </w:rPr>
      </w:pPr>
      <w:r w:rsidRPr="00E21770">
        <w:rPr>
          <w:rFonts w:ascii="Times New Roman" w:hAnsi="Times New Roman"/>
        </w:rPr>
        <w:t xml:space="preserve">Ustanovenia sa upravujú v nadväznosti na vypustenie oslobodenia príjmov plynúcich z predaja nehnuteľnosti, v ktorej mal daňovník trvalý pobyt najmenej po dobu dvoch rokov bezprostredne pred predajom. </w:t>
      </w:r>
    </w:p>
    <w:p w:rsidR="00354B6C" w:rsidRPr="00E21770" w:rsidP="00354B6C">
      <w:pPr>
        <w:bidi w:val="0"/>
        <w:jc w:val="both"/>
        <w:rPr>
          <w:rFonts w:ascii="Times New Roman" w:hAnsi="Times New Roman"/>
        </w:rPr>
      </w:pPr>
    </w:p>
    <w:p w:rsidR="00354B6C" w:rsidRPr="000862AD" w:rsidP="00354B6C">
      <w:pPr>
        <w:bidi w:val="0"/>
        <w:jc w:val="both"/>
        <w:rPr>
          <w:rFonts w:ascii="Times New Roman" w:hAnsi="Times New Roman"/>
          <w:b/>
        </w:rPr>
      </w:pPr>
      <w:r>
        <w:rPr>
          <w:rFonts w:ascii="Times New Roman" w:hAnsi="Times New Roman"/>
          <w:b/>
        </w:rPr>
        <w:t xml:space="preserve">K bodom </w:t>
      </w:r>
      <w:r w:rsidR="00D13F9C">
        <w:rPr>
          <w:rFonts w:ascii="Times New Roman" w:hAnsi="Times New Roman"/>
          <w:b/>
        </w:rPr>
        <w:t>30</w:t>
      </w:r>
      <w:r w:rsidRPr="000862AD">
        <w:rPr>
          <w:rFonts w:ascii="Times New Roman" w:hAnsi="Times New Roman"/>
          <w:b/>
        </w:rPr>
        <w:t xml:space="preserve"> až </w:t>
      </w:r>
      <w:r>
        <w:rPr>
          <w:rFonts w:ascii="Times New Roman" w:hAnsi="Times New Roman"/>
          <w:b/>
        </w:rPr>
        <w:t>3</w:t>
      </w:r>
      <w:r w:rsidR="00D13F9C">
        <w:rPr>
          <w:rFonts w:ascii="Times New Roman" w:hAnsi="Times New Roman"/>
          <w:b/>
        </w:rPr>
        <w:t>3</w:t>
      </w:r>
      <w:r w:rsidRPr="000862AD">
        <w:rPr>
          <w:rFonts w:ascii="Times New Roman" w:hAnsi="Times New Roman"/>
          <w:b/>
        </w:rPr>
        <w:t xml:space="preserve"> - § 11 ods. 1 až 7</w:t>
      </w:r>
    </w:p>
    <w:p w:rsidR="00354B6C" w:rsidRPr="000862AD" w:rsidP="00354B6C">
      <w:pPr>
        <w:bidi w:val="0"/>
        <w:jc w:val="both"/>
        <w:rPr>
          <w:rFonts w:ascii="Times New Roman" w:hAnsi="Times New Roman"/>
        </w:rPr>
      </w:pPr>
      <w:r w:rsidRPr="000862AD">
        <w:rPr>
          <w:rFonts w:ascii="Times New Roman" w:hAnsi="Times New Roman"/>
        </w:rPr>
        <w:t xml:space="preserve">Uplatnenie nezdaniteľnej časti základu dane na daňovníka a na manželku (manžela) sa obmedzuje len na tzv. aktívne príjmy (príjmy zo závislej činnosti a príjmy z podnikania a z inej samostatnej zárobkovej činnosti). Zrušením nezdaniteľných častí základu dane na účelové sporenie, životné poistenie a doplnkové dôchodkové sporenie sa zjednocuje prístup k týmto nezdaniteľným častiam základu dane. Úprava sa navrhuje aj v nadväznosti na upozornenie Európskej komisie na možnú nezlučiteľnosť ustanovení zákona o dani z príjmov s právom Európskej únie. Na základe uvedeného upozornenia uplatnenie rozdielnych pravidiel na možnosť zníženia základu dane fyzickej osoby o príspevky platené </w:t>
      </w:r>
      <w:r>
        <w:rPr>
          <w:rFonts w:ascii="Times New Roman" w:hAnsi="Times New Roman"/>
        </w:rPr>
        <w:t>na</w:t>
      </w:r>
      <w:r w:rsidRPr="000862AD">
        <w:rPr>
          <w:rFonts w:ascii="Times New Roman" w:hAnsi="Times New Roman"/>
        </w:rPr>
        <w:t xml:space="preserve"> doplnkové dôchodkové sporeni</w:t>
      </w:r>
      <w:r>
        <w:rPr>
          <w:rFonts w:ascii="Times New Roman" w:hAnsi="Times New Roman"/>
        </w:rPr>
        <w:t>e</w:t>
      </w:r>
      <w:r w:rsidRPr="000862AD">
        <w:rPr>
          <w:rFonts w:ascii="Times New Roman" w:hAnsi="Times New Roman"/>
        </w:rPr>
        <w:t xml:space="preserve"> podľa zákona č. 650/2004 Z. z. o doplnkovom dôchodkovom sporení a o zmene a doplnení niektorých zákonov v znení neskorších predpisov v porovnaní s platením príspevkov do podobných systémov doplnkového dôchodkového sporenia v zahraničí možno považovať za obmedzenie voľného pohybu osôb a slobody usadiť sa.</w:t>
      </w:r>
      <w:r w:rsidRPr="000862AD">
        <w:rPr>
          <w:rFonts w:ascii="Times New Roman" w:hAnsi="Times New Roman"/>
          <w:color w:val="FF0000"/>
        </w:rPr>
        <w:t xml:space="preserve"> </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3</w:t>
      </w:r>
      <w:r w:rsidR="00D13F9C">
        <w:rPr>
          <w:rFonts w:ascii="Times New Roman" w:hAnsi="Times New Roman"/>
          <w:b/>
        </w:rPr>
        <w:t>4</w:t>
      </w:r>
      <w:r w:rsidRPr="000862AD">
        <w:rPr>
          <w:rFonts w:ascii="Times New Roman" w:hAnsi="Times New Roman"/>
          <w:b/>
        </w:rPr>
        <w:t xml:space="preserve"> </w:t>
      </w:r>
      <w:r>
        <w:rPr>
          <w:rFonts w:ascii="Times New Roman" w:hAnsi="Times New Roman"/>
          <w:b/>
        </w:rPr>
        <w:t xml:space="preserve">- </w:t>
      </w:r>
      <w:r w:rsidRPr="000862AD">
        <w:rPr>
          <w:rFonts w:ascii="Times New Roman" w:hAnsi="Times New Roman"/>
          <w:b/>
        </w:rPr>
        <w:t>§ 13 ods. 1 písm. a) a b)</w:t>
      </w:r>
    </w:p>
    <w:p w:rsidR="00354B6C" w:rsidRPr="000862AD" w:rsidP="00354B6C">
      <w:pPr>
        <w:bidi w:val="0"/>
        <w:jc w:val="both"/>
        <w:rPr>
          <w:rFonts w:ascii="Times New Roman" w:hAnsi="Times New Roman"/>
        </w:rPr>
      </w:pPr>
      <w:r w:rsidRPr="000862AD">
        <w:rPr>
          <w:rFonts w:ascii="Times New Roman" w:hAnsi="Times New Roman"/>
        </w:rPr>
        <w:t>Úpravou dochádza k zrušeniu oslobodenia príjmov z prenájmu a predaja majetku obcí a vyšších územných celkov</w:t>
      </w:r>
      <w:r>
        <w:rPr>
          <w:rFonts w:ascii="Times New Roman" w:hAnsi="Times New Roman"/>
        </w:rPr>
        <w:t>,</w:t>
      </w:r>
      <w:r w:rsidRPr="000862AD">
        <w:rPr>
          <w:rFonts w:ascii="Times New Roman" w:hAnsi="Times New Roman"/>
        </w:rPr>
        <w:t xml:space="preserve"> ako aj rozpočtových organizácií, ktorých zriaďovateľom je obec alebo vyšší územný celok. Zjednocuje sa tak spôsob zdaňovania príjmov z prenájmu a predaja majetku </w:t>
      </w:r>
      <w:r>
        <w:rPr>
          <w:rFonts w:ascii="Times New Roman" w:hAnsi="Times New Roman"/>
        </w:rPr>
        <w:t xml:space="preserve">u </w:t>
      </w:r>
      <w:r w:rsidRPr="000862AD">
        <w:rPr>
          <w:rFonts w:ascii="Times New Roman" w:hAnsi="Times New Roman"/>
        </w:rPr>
        <w:t>všetkých daňovníkov, ktorí nie sú založení alebo zriadení za účelom podnikania.</w:t>
      </w:r>
    </w:p>
    <w:p w:rsidR="00354B6C" w:rsidRPr="000862AD" w:rsidP="00354B6C">
      <w:pPr>
        <w:bidi w:val="0"/>
        <w:jc w:val="both"/>
        <w:rPr>
          <w:rFonts w:ascii="Times New Roman" w:hAnsi="Times New Roman"/>
        </w:rPr>
      </w:pPr>
    </w:p>
    <w:p w:rsidR="00354B6C"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3</w:t>
      </w:r>
      <w:r w:rsidR="00D13F9C">
        <w:rPr>
          <w:rFonts w:ascii="Times New Roman" w:hAnsi="Times New Roman"/>
          <w:b/>
        </w:rPr>
        <w:t>5</w:t>
      </w:r>
      <w:r w:rsidRPr="000862AD">
        <w:rPr>
          <w:rFonts w:ascii="Times New Roman" w:hAnsi="Times New Roman"/>
          <w:b/>
        </w:rPr>
        <w:t xml:space="preserve"> </w:t>
      </w:r>
      <w:r>
        <w:rPr>
          <w:rFonts w:ascii="Times New Roman" w:hAnsi="Times New Roman"/>
          <w:b/>
        </w:rPr>
        <w:t>-</w:t>
      </w:r>
      <w:r w:rsidRPr="000862AD">
        <w:rPr>
          <w:rFonts w:ascii="Times New Roman" w:hAnsi="Times New Roman"/>
          <w:b/>
        </w:rPr>
        <w:t xml:space="preserve"> § 13 ods. 2 písm. f) a poznámka pod čiarou k odkazu č. 74b </w:t>
      </w:r>
    </w:p>
    <w:p w:rsidR="00354B6C" w:rsidP="00354B6C">
      <w:pPr>
        <w:bidi w:val="0"/>
        <w:jc w:val="both"/>
        <w:rPr>
          <w:rFonts w:ascii="Times New Roman" w:hAnsi="Times New Roman"/>
        </w:rPr>
      </w:pPr>
      <w:r w:rsidRPr="000862AD">
        <w:rPr>
          <w:rFonts w:ascii="Times New Roman" w:hAnsi="Times New Roman"/>
        </w:rPr>
        <w:t>Spresňuje sa pojem výnosy z podielových listov v nadväznosti na § 55 ods. 2 zákona č. 594/2003 Z. z. o kolektívnom investovaní a o zmene a doplnení niektorých zákonov v znení neskorších predpisov. Podľa tohto ustanovenia sa podielnikom každoročne vypláca výnos z majetku v podielovom fonde vo výške výnosov z cenných papierov, nástrojov peňažného trhu a vkladových účtov vyplatených správcovskej spoločnosti za príslušný kalendárny rok. Zároveň sa dopĺňa nová poznámka pod čiarou 74b odkazujúca na § 55 ods. 2 zákona č. 594/2003 Z. z.</w:t>
      </w:r>
      <w:r>
        <w:rPr>
          <w:rFonts w:ascii="Times New Roman" w:hAnsi="Times New Roman"/>
        </w:rPr>
        <w:t xml:space="preserve"> </w:t>
      </w:r>
    </w:p>
    <w:p w:rsidR="00354B6C" w:rsidRPr="000862AD" w:rsidP="00354B6C">
      <w:pPr>
        <w:bidi w:val="0"/>
        <w:jc w:val="both"/>
        <w:rPr>
          <w:rFonts w:ascii="Times New Roman" w:hAnsi="Times New Roman"/>
        </w:rPr>
      </w:pPr>
    </w:p>
    <w:p w:rsidR="00354B6C" w:rsidRPr="00E21770" w:rsidP="00354B6C">
      <w:pPr>
        <w:bidi w:val="0"/>
        <w:jc w:val="both"/>
        <w:rPr>
          <w:rFonts w:ascii="Times New Roman" w:hAnsi="Times New Roman"/>
          <w:b/>
        </w:rPr>
      </w:pPr>
      <w:r w:rsidRPr="00E21770">
        <w:rPr>
          <w:rFonts w:ascii="Times New Roman" w:hAnsi="Times New Roman"/>
          <w:b/>
        </w:rPr>
        <w:t>K bodu 3</w:t>
      </w:r>
      <w:r w:rsidR="00D13F9C">
        <w:rPr>
          <w:rFonts w:ascii="Times New Roman" w:hAnsi="Times New Roman"/>
          <w:b/>
        </w:rPr>
        <w:t>6</w:t>
      </w:r>
      <w:r w:rsidRPr="00E21770">
        <w:rPr>
          <w:rFonts w:ascii="Times New Roman" w:hAnsi="Times New Roman"/>
          <w:b/>
        </w:rPr>
        <w:t xml:space="preserve"> - § 16 ods. 1 písm. e) tretí bod</w:t>
      </w:r>
    </w:p>
    <w:p w:rsidR="00354B6C" w:rsidRPr="00E21770" w:rsidP="00354B6C">
      <w:pPr>
        <w:bidi w:val="0"/>
        <w:jc w:val="both"/>
        <w:rPr>
          <w:rFonts w:ascii="Times New Roman" w:hAnsi="Times New Roman"/>
          <w:szCs w:val="20"/>
        </w:rPr>
      </w:pPr>
      <w:r w:rsidRPr="00E21770">
        <w:rPr>
          <w:rFonts w:ascii="Times New Roman" w:hAnsi="Times New Roman"/>
          <w:szCs w:val="20"/>
        </w:rPr>
        <w:t>Za zdroj príjmu dosiahnutý na území Slovenskej republiky sa u </w:t>
      </w:r>
      <w:r w:rsidRPr="007A03C8">
        <w:rPr>
          <w:rFonts w:ascii="Times New Roman" w:hAnsi="Times New Roman"/>
          <w:szCs w:val="20"/>
        </w:rPr>
        <w:t>daňovníka s obmedzenou daňovou povinnosťou</w:t>
      </w:r>
      <w:r>
        <w:rPr>
          <w:rFonts w:ascii="Times New Roman" w:hAnsi="Times New Roman"/>
          <w:szCs w:val="20"/>
        </w:rPr>
        <w:t xml:space="preserve"> </w:t>
      </w:r>
      <w:r w:rsidRPr="00E21770">
        <w:rPr>
          <w:rFonts w:ascii="Times New Roman" w:hAnsi="Times New Roman"/>
          <w:szCs w:val="20"/>
        </w:rPr>
        <w:t>považujú výnosy z dlhopisov s výnimkou výnosov zo štátnych dlhopisov a štátnych pokladničných poukážok vydaných a registrovaných na území Slovenskej republiky alebo v zahraničí.</w:t>
      </w:r>
    </w:p>
    <w:p w:rsidR="00354B6C" w:rsidRPr="00D540B1" w:rsidP="00354B6C">
      <w:pPr>
        <w:bidi w:val="0"/>
        <w:jc w:val="both"/>
        <w:rPr>
          <w:rFonts w:ascii="Times New Roman" w:hAnsi="Times New Roman"/>
          <w:color w:val="FF0000"/>
        </w:rPr>
      </w:pPr>
    </w:p>
    <w:p w:rsidR="00354B6C" w:rsidRPr="000862AD" w:rsidP="00354B6C">
      <w:pPr>
        <w:bidi w:val="0"/>
        <w:jc w:val="both"/>
        <w:rPr>
          <w:rFonts w:ascii="Times New Roman" w:hAnsi="Times New Roman"/>
          <w:b/>
        </w:rPr>
      </w:pPr>
      <w:r w:rsidRPr="000862AD">
        <w:rPr>
          <w:rFonts w:ascii="Times New Roman" w:hAnsi="Times New Roman"/>
          <w:b/>
        </w:rPr>
        <w:t>K bod</w:t>
      </w:r>
      <w:r>
        <w:rPr>
          <w:rFonts w:ascii="Times New Roman" w:hAnsi="Times New Roman"/>
          <w:b/>
        </w:rPr>
        <w:t>om</w:t>
      </w:r>
      <w:r w:rsidRPr="000862AD">
        <w:rPr>
          <w:rFonts w:ascii="Times New Roman" w:hAnsi="Times New Roman"/>
          <w:b/>
        </w:rPr>
        <w:t xml:space="preserve"> 3</w:t>
      </w:r>
      <w:r w:rsidR="00D13F9C">
        <w:rPr>
          <w:rFonts w:ascii="Times New Roman" w:hAnsi="Times New Roman"/>
          <w:b/>
        </w:rPr>
        <w:t>7</w:t>
      </w:r>
      <w:r>
        <w:rPr>
          <w:rFonts w:ascii="Times New Roman" w:hAnsi="Times New Roman"/>
          <w:b/>
        </w:rPr>
        <w:t xml:space="preserve"> a 3</w:t>
      </w:r>
      <w:r w:rsidR="00D13F9C">
        <w:rPr>
          <w:rFonts w:ascii="Times New Roman" w:hAnsi="Times New Roman"/>
          <w:b/>
        </w:rPr>
        <w:t>8</w:t>
      </w:r>
      <w:r w:rsidRPr="000862AD">
        <w:rPr>
          <w:rFonts w:ascii="Times New Roman" w:hAnsi="Times New Roman"/>
          <w:b/>
        </w:rPr>
        <w:t xml:space="preserve"> - § 16 ods. 1 písm. e) štvrtý</w:t>
      </w:r>
      <w:r>
        <w:rPr>
          <w:rFonts w:ascii="Times New Roman" w:hAnsi="Times New Roman"/>
          <w:b/>
        </w:rPr>
        <w:t xml:space="preserve">  a piaty bod</w:t>
      </w:r>
    </w:p>
    <w:p w:rsidR="00354B6C" w:rsidP="00354B6C">
      <w:pPr>
        <w:bidi w:val="0"/>
        <w:jc w:val="both"/>
        <w:rPr>
          <w:rFonts w:ascii="Times New Roman" w:hAnsi="Times New Roman"/>
        </w:rPr>
      </w:pPr>
      <w:r w:rsidRPr="00AB7803">
        <w:rPr>
          <w:rFonts w:ascii="Times New Roman" w:hAnsi="Times New Roman"/>
        </w:rPr>
        <w:t xml:space="preserve">Ustanovenie sa s účinnosťou od 1.1.2011 spresňuje v  predmete dane </w:t>
      </w:r>
      <w:r w:rsidRPr="007A03C8">
        <w:rPr>
          <w:rFonts w:ascii="Times New Roman" w:hAnsi="Times New Roman"/>
        </w:rPr>
        <w:t>z príjmov</w:t>
      </w:r>
      <w:r>
        <w:rPr>
          <w:rFonts w:ascii="Times New Roman" w:hAnsi="Times New Roman"/>
        </w:rPr>
        <w:t xml:space="preserve"> </w:t>
      </w:r>
      <w:r w:rsidRPr="00AB7803">
        <w:rPr>
          <w:rFonts w:ascii="Times New Roman" w:hAnsi="Times New Roman"/>
        </w:rPr>
        <w:t>daňovníka s obmedzenou daňovou povinnosťou, ktorého príjmom zo zdrojov na území Slovenskej republiky je aj nájomné alebo príjmy z iného využitia hnuteľných vecí umiestnených na území Slovenskej republiky</w:t>
      </w:r>
      <w:r>
        <w:rPr>
          <w:rFonts w:ascii="Times New Roman" w:hAnsi="Times New Roman"/>
        </w:rPr>
        <w:t>.</w:t>
      </w:r>
      <w:r w:rsidRPr="00AB7803">
        <w:rPr>
          <w:rFonts w:ascii="Times New Roman" w:hAnsi="Times New Roman"/>
        </w:rPr>
        <w:t xml:space="preserve"> </w:t>
      </w:r>
      <w:r>
        <w:rPr>
          <w:rFonts w:ascii="Times New Roman" w:hAnsi="Times New Roman"/>
        </w:rPr>
        <w:t xml:space="preserve">Za </w:t>
      </w:r>
      <w:r w:rsidRPr="00AB7803">
        <w:rPr>
          <w:rFonts w:ascii="Times New Roman" w:hAnsi="Times New Roman"/>
        </w:rPr>
        <w:t>hnuteľnú vec sa považujú aj motorové vozidlá a ostatné dopravné zariadenia uvedené v prílohe č. 1, a to aj napr. prívesy a návesy (29.2), železničné lokomotívy a vozový park (30.2), ktorých presné členenie je uvedené v klasifikácii prod</w:t>
      </w:r>
      <w:r>
        <w:rPr>
          <w:rFonts w:ascii="Times New Roman" w:hAnsi="Times New Roman"/>
        </w:rPr>
        <w:t>uktov</w:t>
      </w:r>
      <w:r w:rsidRPr="00AB7803">
        <w:rPr>
          <w:rFonts w:ascii="Times New Roman" w:hAnsi="Times New Roman"/>
        </w:rPr>
        <w:t xml:space="preserve">. </w:t>
      </w:r>
    </w:p>
    <w:p w:rsidR="00354B6C" w:rsidRPr="00AB7803" w:rsidP="00354B6C">
      <w:pPr>
        <w:bidi w:val="0"/>
        <w:jc w:val="both"/>
        <w:rPr>
          <w:rFonts w:ascii="Times New Roman" w:hAnsi="Times New Roman"/>
        </w:rPr>
      </w:pPr>
    </w:p>
    <w:p w:rsidR="00354B6C" w:rsidRPr="000862AD" w:rsidP="00354B6C">
      <w:pPr>
        <w:bidi w:val="0"/>
        <w:jc w:val="both"/>
        <w:rPr>
          <w:rFonts w:ascii="Times New Roman" w:hAnsi="Times New Roman"/>
          <w:b/>
        </w:rPr>
      </w:pPr>
      <w:r>
        <w:rPr>
          <w:rFonts w:ascii="Times New Roman" w:hAnsi="Times New Roman"/>
          <w:b/>
        </w:rPr>
        <w:t>K bodu 3</w:t>
      </w:r>
      <w:r w:rsidR="00D13F9C">
        <w:rPr>
          <w:rFonts w:ascii="Times New Roman" w:hAnsi="Times New Roman"/>
          <w:b/>
        </w:rPr>
        <w:t>9</w:t>
      </w:r>
      <w:r w:rsidRPr="000862AD">
        <w:rPr>
          <w:rFonts w:ascii="Times New Roman" w:hAnsi="Times New Roman"/>
          <w:b/>
        </w:rPr>
        <w:t xml:space="preserve"> - § 16 ods. 1 písm. e) </w:t>
      </w:r>
      <w:r>
        <w:rPr>
          <w:rFonts w:ascii="Times New Roman" w:hAnsi="Times New Roman"/>
          <w:b/>
        </w:rPr>
        <w:t>novooznačený</w:t>
      </w:r>
      <w:r w:rsidRPr="000862AD">
        <w:rPr>
          <w:rFonts w:ascii="Times New Roman" w:hAnsi="Times New Roman"/>
          <w:b/>
        </w:rPr>
        <w:t> piaty bod</w:t>
      </w:r>
    </w:p>
    <w:p w:rsidR="00354B6C" w:rsidP="00354B6C">
      <w:pPr>
        <w:bidi w:val="0"/>
        <w:jc w:val="both"/>
        <w:rPr>
          <w:rFonts w:ascii="Times New Roman" w:hAnsi="Times New Roman"/>
        </w:rPr>
      </w:pPr>
      <w:r w:rsidRPr="00AB7803">
        <w:rPr>
          <w:rFonts w:ascii="Times New Roman" w:hAnsi="Times New Roman"/>
        </w:rPr>
        <w:t xml:space="preserve">Ustanovenie sa spresňuje vymedzením príjmu zo zdroja na území Slovenskej republiky nielen z predaja nehnuteľnosti daňovníkom s obmedzenou daňovou povinnosťou na území Slovenskej republiky ale o akýkoľvek prevod takéhoto majetku. </w:t>
      </w:r>
      <w:r>
        <w:rPr>
          <w:rFonts w:ascii="Times New Roman" w:hAnsi="Times New Roman"/>
        </w:rPr>
        <w:t>Toto spresnenie bolo vykonané aj v nadväznosti na úpravu zdanenia</w:t>
      </w:r>
      <w:r w:rsidRPr="00AB7803">
        <w:rPr>
          <w:rFonts w:ascii="Times New Roman" w:hAnsi="Times New Roman"/>
        </w:rPr>
        <w:t xml:space="preserve"> rozdiel</w:t>
      </w:r>
      <w:r>
        <w:rPr>
          <w:rFonts w:ascii="Times New Roman" w:hAnsi="Times New Roman"/>
        </w:rPr>
        <w:t>u</w:t>
      </w:r>
      <w:r w:rsidRPr="00AB7803">
        <w:rPr>
          <w:rFonts w:ascii="Times New Roman" w:hAnsi="Times New Roman"/>
        </w:rPr>
        <w:t xml:space="preserve">  medzi vyššou hodnotou nepeňažného vkladu započítanou na vklad spoločníka a hodnotou vkladaného</w:t>
      </w:r>
      <w:r>
        <w:rPr>
          <w:rFonts w:ascii="Times New Roman" w:hAnsi="Times New Roman"/>
        </w:rPr>
        <w:t xml:space="preserve"> majetku vzniknutom</w:t>
      </w:r>
      <w:r w:rsidRPr="00AB7803">
        <w:rPr>
          <w:rFonts w:ascii="Times New Roman" w:hAnsi="Times New Roman"/>
        </w:rPr>
        <w:t xml:space="preserve"> vkladateľovi, daňovníkovi s obmedzenou daňovou povinnosťou, pri vklade nehnuteľnosti do základného imania obchodnej spoločnosti</w:t>
      </w:r>
      <w:r>
        <w:rPr>
          <w:rFonts w:ascii="Times New Roman" w:hAnsi="Times New Roman"/>
        </w:rPr>
        <w:t xml:space="preserve"> podľa § 8 a § 17b</w:t>
      </w:r>
      <w:r w:rsidRPr="00AB7803">
        <w:rPr>
          <w:rFonts w:ascii="Times New Roman" w:hAnsi="Times New Roman"/>
        </w:rPr>
        <w:t>.</w:t>
      </w:r>
    </w:p>
    <w:p w:rsidR="00354B6C" w:rsidRPr="00AB7803"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40</w:t>
      </w:r>
      <w:r w:rsidRPr="000862AD">
        <w:rPr>
          <w:rFonts w:ascii="Times New Roman" w:hAnsi="Times New Roman"/>
          <w:b/>
        </w:rPr>
        <w:t xml:space="preserve"> - § 16 ods. 1 písm. f)</w:t>
      </w:r>
    </w:p>
    <w:p w:rsidR="00354B6C" w:rsidRPr="000862AD" w:rsidP="00354B6C">
      <w:pPr>
        <w:bidi w:val="0"/>
        <w:jc w:val="both"/>
        <w:rPr>
          <w:rFonts w:ascii="Times New Roman" w:hAnsi="Times New Roman"/>
        </w:rPr>
      </w:pPr>
      <w:r w:rsidRPr="000862AD">
        <w:rPr>
          <w:rFonts w:ascii="Times New Roman" w:hAnsi="Times New Roman"/>
        </w:rPr>
        <w:t>Doplnením nového písmena f) sa za zdaniteľný príjem zo zdrojov na území Slovenskej republiky daňovníka s obmedzenou daňovou povinnosťou bude považovať aj príjem z predaja, nájomného a z akéhokoľvek iného využitia nehnuteľnosti umiestnenej na území Slovenskej republiky, plynúci nielen od daňovníka s neobmedzenou daňovou povinnosťou alebo stálej prevádzkarne daňovníka s obmedzenou daňovou povinnosťou, ktorá je umiestnená na území Slovenskej republiky, ale aj od iného daňovníka s obmedzenou daňovou povinnosťou. V tejto súvislosti sa vykonala úprava v § 16 ods. 1 písm. e) štvrtom a piatom bode.</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00D13F9C">
        <w:rPr>
          <w:rFonts w:ascii="Times New Roman" w:hAnsi="Times New Roman"/>
          <w:b/>
        </w:rPr>
        <w:t>K bodu 41</w:t>
      </w:r>
      <w:r w:rsidRPr="000862AD">
        <w:rPr>
          <w:rFonts w:ascii="Times New Roman" w:hAnsi="Times New Roman"/>
          <w:b/>
        </w:rPr>
        <w:t xml:space="preserve"> - § 17 ods. 3 písm. a)</w:t>
      </w:r>
    </w:p>
    <w:p w:rsidR="00354B6C" w:rsidRPr="00AB7803" w:rsidP="00354B6C">
      <w:pPr>
        <w:bidi w:val="0"/>
        <w:jc w:val="both"/>
        <w:rPr>
          <w:rFonts w:ascii="Times New Roman" w:hAnsi="Times New Roman"/>
          <w:iCs/>
        </w:rPr>
      </w:pPr>
      <w:r w:rsidRPr="00AB7803">
        <w:rPr>
          <w:rFonts w:ascii="Times New Roman" w:hAnsi="Times New Roman"/>
          <w:iCs/>
        </w:rPr>
        <w:t>Do základu dane sa nezahŕňa príjem u ktorého vybraním dane zrážkou je daňová povinnosť splnená. Ide predovšetkým o úroky z vkladov na vkladných knižkách, vkladových účtoch a pod., u ktorých podľa upraveného znenia § 43 ods. 6 nie je možné daň vyberanú zrážkou považovať za preddavok na daň. Do základu dane sa zároveň nezahrnujú príjmy, u ktorých zákon o dani z príjmov umožňuje daň vybran</w:t>
      </w:r>
      <w:r>
        <w:rPr>
          <w:rFonts w:ascii="Times New Roman" w:hAnsi="Times New Roman"/>
          <w:iCs/>
        </w:rPr>
        <w:t>ú</w:t>
      </w:r>
      <w:r w:rsidRPr="00AB7803">
        <w:rPr>
          <w:rFonts w:ascii="Times New Roman" w:hAnsi="Times New Roman"/>
          <w:iCs/>
        </w:rPr>
        <w:t xml:space="preserve"> zrážkou považovať za preddavok na daň, avšak daňovník sa rozhodol považovať vybraním dane zrážkou daňovú povinnosť za splnenú.</w:t>
      </w:r>
    </w:p>
    <w:p w:rsidR="00354B6C" w:rsidP="00354B6C">
      <w:pPr>
        <w:bidi w:val="0"/>
        <w:jc w:val="both"/>
        <w:rPr>
          <w:rFonts w:ascii="Times New Roman" w:hAnsi="Times New Roman"/>
        </w:rPr>
      </w:pPr>
    </w:p>
    <w:p w:rsidR="00354B6C" w:rsidRPr="00AB7803" w:rsidP="00354B6C">
      <w:pPr>
        <w:bidi w:val="0"/>
        <w:jc w:val="both"/>
        <w:rPr>
          <w:rFonts w:ascii="Times New Roman" w:hAnsi="Times New Roman"/>
          <w:b/>
        </w:rPr>
      </w:pPr>
      <w:r w:rsidRPr="00AB7803">
        <w:rPr>
          <w:rFonts w:ascii="Times New Roman" w:hAnsi="Times New Roman"/>
          <w:b/>
        </w:rPr>
        <w:t>K bodu</w:t>
      </w:r>
      <w:r w:rsidR="00D13F9C">
        <w:rPr>
          <w:rFonts w:ascii="Times New Roman" w:hAnsi="Times New Roman"/>
          <w:b/>
        </w:rPr>
        <w:t xml:space="preserve"> 42</w:t>
      </w:r>
      <w:r w:rsidRPr="00AB7803">
        <w:rPr>
          <w:rFonts w:ascii="Times New Roman" w:hAnsi="Times New Roman"/>
          <w:b/>
        </w:rPr>
        <w:t xml:space="preserve"> - § 17 ods. 4</w:t>
      </w:r>
    </w:p>
    <w:p w:rsidR="00354B6C" w:rsidRPr="00AB7803" w:rsidP="00354B6C">
      <w:pPr>
        <w:bidi w:val="0"/>
        <w:jc w:val="both"/>
        <w:rPr>
          <w:rFonts w:ascii="Times New Roman" w:hAnsi="Times New Roman"/>
          <w:iCs/>
        </w:rPr>
      </w:pPr>
      <w:r w:rsidRPr="00AB7803">
        <w:rPr>
          <w:rFonts w:ascii="Times New Roman" w:hAnsi="Times New Roman"/>
          <w:iCs/>
        </w:rPr>
        <w:t>Ak sa daňovník podľa § 43 ods. 6 písm. a) až d) rozhodne daň vybranú zrážkou považovať za preddavok na daň, uvádza tieto príjmy do daňového priznania. V prípade výnosov z dlhopisov a pokladničných poukážok sa daň zrážkou nevyberá len v prípade tuzemskej právnickej osoby, ktorá výnos zahrnuje do základu dane v súlade s výsledkom hospodárenia a u zahraničnej právnickej osoby, ktorá na území Slovenskej republiky podniká prostredníctvom stálej prevádzkarne, ktorá ho rovnako zdaní podaním daňového priznania.</w:t>
      </w:r>
    </w:p>
    <w:p w:rsidR="00354B6C" w:rsidRPr="00AB7803"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43</w:t>
      </w:r>
      <w:r w:rsidRPr="000862AD">
        <w:rPr>
          <w:rFonts w:ascii="Times New Roman" w:hAnsi="Times New Roman"/>
          <w:b/>
        </w:rPr>
        <w:t xml:space="preserve"> - § 17 ods. 24</w:t>
      </w:r>
    </w:p>
    <w:p w:rsidR="00354B6C" w:rsidP="00354B6C">
      <w:pPr>
        <w:bidi w:val="0"/>
        <w:jc w:val="both"/>
        <w:rPr>
          <w:rFonts w:ascii="Times New Roman" w:hAnsi="Times New Roman"/>
        </w:rPr>
      </w:pPr>
      <w:r w:rsidRPr="00AB7803">
        <w:rPr>
          <w:rFonts w:ascii="Times New Roman" w:hAnsi="Times New Roman"/>
        </w:rPr>
        <w:t xml:space="preserve">Úprava súvisí so zjednotením odpisovania hmotného majetku nadobudnutého formou finančného prenájmu s ostatnými formami obstarania hmotného majetku. </w:t>
      </w:r>
    </w:p>
    <w:p w:rsidR="00354B6C" w:rsidP="00354B6C">
      <w:pPr>
        <w:bidi w:val="0"/>
        <w:jc w:val="both"/>
        <w:rPr>
          <w:rFonts w:ascii="Times New Roman" w:hAnsi="Times New Roman"/>
        </w:rPr>
      </w:pPr>
      <w:r>
        <w:rPr>
          <w:rFonts w:ascii="Times New Roman" w:hAnsi="Times New Roman"/>
        </w:rPr>
        <w:t>Ustanovenie písm. a) ukladá nájomcovi účtujúcemu v sústave podvojného účtovníctva upraviť základ dane pri predčasnom ukončení finančného prenájmu len o rozdiel medzi účtovnou zostatkovou cenou, ktorá je súčasťou výsledku hospodárenia a daňovou zostatkovou cenou, ktorú možno zahrnúť do základu dane. U daňovníka účtujúceho v sústave jednoduchého účtovníctva ukladá zákon povinnosť upraviť základ dane len pri predčasnom ukončení finančného prenájmu a vrátení hmotného majetku leasingovej spoločnosti a to o rozdiel už zaplateného záväzku (istiny) a daňových odpisov zahrnutých do základu dane.</w:t>
      </w:r>
    </w:p>
    <w:p w:rsidR="00354B6C" w:rsidRPr="00AB7803" w:rsidP="00354B6C">
      <w:pPr>
        <w:bidi w:val="0"/>
        <w:jc w:val="both"/>
        <w:rPr>
          <w:rFonts w:ascii="Times New Roman" w:hAnsi="Times New Roman"/>
        </w:rPr>
      </w:pPr>
      <w:r w:rsidRPr="00AB7803">
        <w:rPr>
          <w:rFonts w:ascii="Times New Roman" w:hAnsi="Times New Roman"/>
        </w:rPr>
        <w:t>Ustanovenie</w:t>
      </w:r>
      <w:r>
        <w:rPr>
          <w:rFonts w:ascii="Times New Roman" w:hAnsi="Times New Roman"/>
        </w:rPr>
        <w:t xml:space="preserve"> písm. b)</w:t>
      </w:r>
      <w:r w:rsidRPr="00AB7803">
        <w:rPr>
          <w:rFonts w:ascii="Times New Roman" w:hAnsi="Times New Roman"/>
        </w:rPr>
        <w:t xml:space="preserve"> vymedzuje úpravu základu dane nájomcu pri operatívnom prenájme v prípade, ak dôjde po skončení nájmu ku kúpe prenajatej veci za kúpnu cenu nižšiu ako je zostatková cena, ktorú by mala prenajatá vec pri odpisovaní podľa § 27 alebo § 28. </w:t>
      </w:r>
      <w:r>
        <w:rPr>
          <w:rFonts w:ascii="Times New Roman" w:hAnsi="Times New Roman"/>
        </w:rPr>
        <w:t>R</w:t>
      </w:r>
      <w:r w:rsidRPr="00AB7803">
        <w:rPr>
          <w:rFonts w:ascii="Times New Roman" w:hAnsi="Times New Roman"/>
        </w:rPr>
        <w:t>ozdiel</w:t>
      </w:r>
      <w:r>
        <w:rPr>
          <w:rFonts w:ascii="Times New Roman" w:hAnsi="Times New Roman"/>
        </w:rPr>
        <w:t xml:space="preserve"> medzi uplatneným nájomným a výškou odpisov, ktoré by uplatnil vlastník podľa § 27 alebo 28</w:t>
      </w:r>
      <w:r w:rsidRPr="00AB7803">
        <w:rPr>
          <w:rFonts w:ascii="Times New Roman" w:hAnsi="Times New Roman"/>
        </w:rPr>
        <w:t xml:space="preserve"> je nájomca povinný pripočítať k základu dane. Zároveň tento rozdiel pripočíta k vstupnej cene obstarávaného majetku a majetok odpisuje z tejto zvýšenej vstupnej ceny, t.j. rozdiel zahrnie do daňových výdavkov postupne prostredníctvom odpisov.</w:t>
      </w:r>
    </w:p>
    <w:p w:rsidR="00354B6C" w:rsidRPr="009B32AE" w:rsidP="00354B6C">
      <w:pPr>
        <w:bidi w:val="0"/>
        <w:jc w:val="both"/>
        <w:rPr>
          <w:rFonts w:ascii="Times New Roman" w:hAnsi="Times New Roman"/>
          <w:color w:val="FF0000"/>
        </w:rPr>
      </w:pPr>
      <w:r w:rsidRPr="00AB7803">
        <w:rPr>
          <w:rFonts w:ascii="Times New Roman" w:hAnsi="Times New Roman"/>
        </w:rPr>
        <w:t>Ak dôjde k porušeniu podmienok finančného prenájmu v prípade nájomných zmlúv s dojednaným právom kúpy prenajatej veci, ktoré boli uzatvorené do 31.</w:t>
      </w:r>
      <w:r>
        <w:rPr>
          <w:rFonts w:ascii="Times New Roman" w:hAnsi="Times New Roman"/>
        </w:rPr>
        <w:t xml:space="preserve"> </w:t>
      </w:r>
      <w:r w:rsidRPr="00AB7803">
        <w:rPr>
          <w:rFonts w:ascii="Times New Roman" w:hAnsi="Times New Roman"/>
        </w:rPr>
        <w:t>decembra 2010, základ dane nájomcu sa aj po 31. decembri 2010 upraví podľa § 17 ods. 24 písm. a) v znení účinnom do 31. decembra 2010.</w:t>
      </w:r>
    </w:p>
    <w:p w:rsidR="00354B6C" w:rsidP="00354B6C">
      <w:pPr>
        <w:bidi w:val="0"/>
        <w:jc w:val="both"/>
        <w:rPr>
          <w:rFonts w:ascii="Times New Roman" w:hAnsi="Times New Roman"/>
          <w:b/>
        </w:rPr>
      </w:pPr>
    </w:p>
    <w:p w:rsidR="00354B6C" w:rsidRPr="00AB7803" w:rsidP="00354B6C">
      <w:pPr>
        <w:bidi w:val="0"/>
        <w:jc w:val="both"/>
        <w:rPr>
          <w:rFonts w:ascii="Times New Roman" w:hAnsi="Times New Roman"/>
          <w:b/>
        </w:rPr>
      </w:pPr>
      <w:r w:rsidRPr="00AB7803">
        <w:rPr>
          <w:rFonts w:ascii="Times New Roman" w:hAnsi="Times New Roman"/>
          <w:b/>
        </w:rPr>
        <w:t>K bodu 4</w:t>
      </w:r>
      <w:r w:rsidR="00D13F9C">
        <w:rPr>
          <w:rFonts w:ascii="Times New Roman" w:hAnsi="Times New Roman"/>
          <w:b/>
        </w:rPr>
        <w:t>4</w:t>
      </w:r>
      <w:r w:rsidRPr="00AB7803">
        <w:rPr>
          <w:rFonts w:ascii="Times New Roman" w:hAnsi="Times New Roman"/>
          <w:b/>
        </w:rPr>
        <w:t xml:space="preserve"> - </w:t>
      </w:r>
      <w:r>
        <w:rPr>
          <w:rFonts w:ascii="Times New Roman" w:hAnsi="Times New Roman"/>
          <w:b/>
        </w:rPr>
        <w:t xml:space="preserve">§ </w:t>
      </w:r>
      <w:r w:rsidRPr="00AB7803">
        <w:rPr>
          <w:rFonts w:ascii="Times New Roman" w:hAnsi="Times New Roman"/>
          <w:b/>
        </w:rPr>
        <w:t>17c ods. 3 písm. c)</w:t>
      </w:r>
    </w:p>
    <w:p w:rsidR="00354B6C" w:rsidRPr="00AB7803" w:rsidP="00354B6C">
      <w:pPr>
        <w:bidi w:val="0"/>
        <w:jc w:val="both"/>
        <w:rPr>
          <w:rFonts w:ascii="Times New Roman" w:hAnsi="Times New Roman"/>
          <w:szCs w:val="20"/>
        </w:rPr>
      </w:pPr>
      <w:r w:rsidRPr="00AB7803">
        <w:rPr>
          <w:rFonts w:ascii="Times New Roman" w:hAnsi="Times New Roman"/>
          <w:szCs w:val="20"/>
        </w:rPr>
        <w:t xml:space="preserve">Goodwill alebo záporný goodwill vykázaný pri zlúčení, splynutí alebo rozdelení obchodných spoločností alebo družstiev pri použití reálnych hodnôt sa navrhuje zahrnovať do základu dane jednorazovo alebo postupne, až do jeho úplného zahrnutia, najdlhšie počas siedmich bezprostredne po sebe nasledujúcich zdaňovacích období, najmenej vo výške jednej sedminy ročne, počnúc zdaňovacím obdobím, v ktorom nastal rozhodný deň. V tomto prípade sa zároveň spresňuje, že ide </w:t>
      </w:r>
      <w:r>
        <w:rPr>
          <w:rFonts w:ascii="Times New Roman" w:hAnsi="Times New Roman"/>
          <w:szCs w:val="20"/>
        </w:rPr>
        <w:t xml:space="preserve">o </w:t>
      </w:r>
      <w:r w:rsidRPr="00AB7803">
        <w:rPr>
          <w:rFonts w:ascii="Times New Roman" w:hAnsi="Times New Roman"/>
          <w:szCs w:val="20"/>
        </w:rPr>
        <w:t xml:space="preserve">goodwill alebo záporný goodwill vykázaný a upravený podľa § 37 ods. 12 Postupov účtovania. </w:t>
      </w:r>
    </w:p>
    <w:p w:rsidR="00354B6C" w:rsidP="00354B6C">
      <w:pPr>
        <w:bidi w:val="0"/>
        <w:jc w:val="both"/>
        <w:rPr>
          <w:rFonts w:ascii="Times New Roman" w:hAnsi="Times New Roman"/>
          <w:color w:val="FF0000"/>
        </w:rPr>
      </w:pPr>
      <w:r w:rsidRPr="00752B46">
        <w:rPr>
          <w:rFonts w:ascii="Times New Roman" w:hAnsi="Times New Roman"/>
          <w:color w:val="FF0000"/>
        </w:rPr>
        <w:t xml:space="preserve"> </w:t>
      </w:r>
    </w:p>
    <w:p w:rsidR="00354B6C" w:rsidRPr="00AB7803" w:rsidP="00354B6C">
      <w:pPr>
        <w:bidi w:val="0"/>
        <w:jc w:val="both"/>
        <w:rPr>
          <w:rFonts w:ascii="Times New Roman" w:hAnsi="Times New Roman"/>
          <w:b/>
        </w:rPr>
      </w:pPr>
      <w:r w:rsidRPr="00AB7803">
        <w:rPr>
          <w:rFonts w:ascii="Times New Roman" w:hAnsi="Times New Roman"/>
          <w:b/>
        </w:rPr>
        <w:t>K bodu 4</w:t>
      </w:r>
      <w:r w:rsidR="00D13F9C">
        <w:rPr>
          <w:rFonts w:ascii="Times New Roman" w:hAnsi="Times New Roman"/>
          <w:b/>
        </w:rPr>
        <w:t>5</w:t>
      </w:r>
      <w:r w:rsidRPr="00AB7803">
        <w:rPr>
          <w:rFonts w:ascii="Times New Roman" w:hAnsi="Times New Roman"/>
          <w:b/>
        </w:rPr>
        <w:t xml:space="preserve"> - </w:t>
      </w:r>
      <w:r>
        <w:rPr>
          <w:rFonts w:ascii="Times New Roman" w:hAnsi="Times New Roman"/>
          <w:b/>
        </w:rPr>
        <w:t xml:space="preserve">§ </w:t>
      </w:r>
      <w:r w:rsidRPr="00AB7803">
        <w:rPr>
          <w:rFonts w:ascii="Times New Roman" w:hAnsi="Times New Roman"/>
          <w:b/>
        </w:rPr>
        <w:t>17e ods. 2 písm. c)</w:t>
      </w:r>
    </w:p>
    <w:p w:rsidR="00354B6C" w:rsidRPr="00AB7803" w:rsidP="00354B6C">
      <w:pPr>
        <w:bidi w:val="0"/>
        <w:jc w:val="both"/>
        <w:rPr>
          <w:rFonts w:ascii="Times New Roman" w:hAnsi="Times New Roman"/>
          <w:szCs w:val="20"/>
        </w:rPr>
      </w:pPr>
      <w:r w:rsidRPr="00AB7803">
        <w:rPr>
          <w:rFonts w:ascii="Times New Roman" w:hAnsi="Times New Roman"/>
          <w:szCs w:val="20"/>
        </w:rPr>
        <w:t>Ustanoven</w:t>
      </w:r>
      <w:r>
        <w:rPr>
          <w:rFonts w:ascii="Times New Roman" w:hAnsi="Times New Roman"/>
          <w:szCs w:val="20"/>
        </w:rPr>
        <w:t>ím</w:t>
      </w:r>
      <w:r w:rsidRPr="00AB7803">
        <w:rPr>
          <w:rFonts w:ascii="Times New Roman" w:hAnsi="Times New Roman"/>
          <w:szCs w:val="20"/>
        </w:rPr>
        <w:t xml:space="preserve"> sa spresňuje, že goodwill alebo záporný goodwill vykázaný v otváracej súvahe právneho nástupcu podľa § 37 ods. 11 Postupov účtovania a neupravený podľa § 37 ods. 12 Postupov účtovania sa do základu dane nezahrnuje.</w:t>
      </w:r>
    </w:p>
    <w:p w:rsidR="00354B6C" w:rsidRPr="00AB7803"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bodom </w:t>
      </w:r>
      <w:r>
        <w:rPr>
          <w:rFonts w:ascii="Times New Roman" w:hAnsi="Times New Roman"/>
          <w:b/>
        </w:rPr>
        <w:t>4</w:t>
      </w:r>
      <w:r w:rsidR="00D13F9C">
        <w:rPr>
          <w:rFonts w:ascii="Times New Roman" w:hAnsi="Times New Roman"/>
          <w:b/>
        </w:rPr>
        <w:t>6</w:t>
      </w:r>
      <w:r w:rsidRPr="000862AD">
        <w:rPr>
          <w:rFonts w:ascii="Times New Roman" w:hAnsi="Times New Roman"/>
          <w:b/>
        </w:rPr>
        <w:t xml:space="preserve"> a </w:t>
      </w:r>
      <w:r>
        <w:rPr>
          <w:rFonts w:ascii="Times New Roman" w:hAnsi="Times New Roman"/>
          <w:b/>
        </w:rPr>
        <w:t>4</w:t>
      </w:r>
      <w:r w:rsidR="00D13F9C">
        <w:rPr>
          <w:rFonts w:ascii="Times New Roman" w:hAnsi="Times New Roman"/>
          <w:b/>
        </w:rPr>
        <w:t>7</w:t>
      </w:r>
      <w:r w:rsidRPr="000862AD">
        <w:rPr>
          <w:rFonts w:ascii="Times New Roman" w:hAnsi="Times New Roman"/>
          <w:b/>
        </w:rPr>
        <w:t xml:space="preserve"> - § 19 ods. 2 písm. c) šiesty bod a § 19 ods. 2 písm. d)</w:t>
      </w:r>
    </w:p>
    <w:p w:rsidR="00354B6C" w:rsidRPr="000862AD" w:rsidP="00354B6C">
      <w:pPr>
        <w:bidi w:val="0"/>
        <w:jc w:val="both"/>
        <w:rPr>
          <w:rFonts w:ascii="Times New Roman" w:hAnsi="Times New Roman"/>
        </w:rPr>
      </w:pPr>
      <w:r w:rsidRPr="000862AD">
        <w:rPr>
          <w:rFonts w:ascii="Times New Roman" w:hAnsi="Times New Roman"/>
        </w:rPr>
        <w:t>Spresňuje sa uplatňovanie daňových výdavkov poskytovaných ako cestovné náhrady zamestnancov, a to len do výšky, na ktorú vzniká zamestnancovi nárok podľa zákona o cestovných náhradách. Cestovné náhrady poskytované zamestnancom nad nárokovú výšku nie sú považované za daňový výdavok.</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48</w:t>
      </w:r>
      <w:r w:rsidRPr="000862AD">
        <w:rPr>
          <w:rFonts w:ascii="Times New Roman" w:hAnsi="Times New Roman"/>
          <w:b/>
        </w:rPr>
        <w:t xml:space="preserve"> - § 19 ods. 2 písm. e)</w:t>
      </w:r>
    </w:p>
    <w:p w:rsidR="00354B6C" w:rsidRPr="000862AD" w:rsidP="00354B6C">
      <w:pPr>
        <w:bidi w:val="0"/>
        <w:jc w:val="both"/>
        <w:rPr>
          <w:rFonts w:ascii="Times New Roman" w:hAnsi="Times New Roman"/>
        </w:rPr>
      </w:pPr>
      <w:r w:rsidRPr="000862AD">
        <w:rPr>
          <w:rFonts w:ascii="Times New Roman" w:hAnsi="Times New Roman"/>
        </w:rPr>
        <w:t>Zjednocuje sa prístup k zdaňovaniu vreckového poskytovaného pri zahraničných pracovných cestách podľa zákona č. 283/2002 Z. z. o cestovných náhradách v znení neskorších predpisov u všetkých fyzických osôb. Z ustanovenia sa vypúšťa možnosť uplatnenia si vreckového na takejto ceste ako daňový výdavok u daňovníka dosahujúceho príjmy z podnikania alebo z inej samostatnej zárobkovej činnosti.</w:t>
      </w:r>
    </w:p>
    <w:p w:rsidR="00354B6C" w:rsidP="00354B6C">
      <w:pPr>
        <w:bidi w:val="0"/>
        <w:jc w:val="both"/>
        <w:rPr>
          <w:rFonts w:ascii="Times New Roman" w:hAnsi="Times New Roman"/>
        </w:rPr>
      </w:pPr>
    </w:p>
    <w:p w:rsidR="00354B6C" w:rsidRPr="00AB7803" w:rsidP="00354B6C">
      <w:pPr>
        <w:bidi w:val="0"/>
        <w:jc w:val="both"/>
        <w:rPr>
          <w:rFonts w:ascii="Times New Roman" w:hAnsi="Times New Roman"/>
          <w:b/>
        </w:rPr>
      </w:pPr>
      <w:r w:rsidRPr="00AB7803">
        <w:rPr>
          <w:rFonts w:ascii="Times New Roman" w:hAnsi="Times New Roman"/>
          <w:b/>
        </w:rPr>
        <w:t>K bodu 4</w:t>
      </w:r>
      <w:r w:rsidR="00D13F9C">
        <w:rPr>
          <w:rFonts w:ascii="Times New Roman" w:hAnsi="Times New Roman"/>
          <w:b/>
        </w:rPr>
        <w:t>9</w:t>
      </w:r>
      <w:r w:rsidRPr="00AB7803">
        <w:rPr>
          <w:rFonts w:ascii="Times New Roman" w:hAnsi="Times New Roman"/>
          <w:b/>
        </w:rPr>
        <w:t xml:space="preserve"> - § 19 ods. 3 písm. j)</w:t>
      </w:r>
    </w:p>
    <w:p w:rsidR="00354B6C" w:rsidRPr="00AB7803" w:rsidP="00354B6C">
      <w:pPr>
        <w:bidi w:val="0"/>
        <w:jc w:val="both"/>
        <w:rPr>
          <w:rFonts w:ascii="Times New Roman" w:hAnsi="Times New Roman"/>
        </w:rPr>
      </w:pPr>
      <w:r w:rsidRPr="00AB7803">
        <w:rPr>
          <w:rFonts w:ascii="Times New Roman" w:hAnsi="Times New Roman"/>
        </w:rPr>
        <w:t>Ide o legislatívno – technické spresnenie.</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00D13F9C">
        <w:rPr>
          <w:rFonts w:ascii="Times New Roman" w:hAnsi="Times New Roman"/>
          <w:b/>
        </w:rPr>
        <w:t>K bodu 50</w:t>
      </w:r>
      <w:r w:rsidRPr="000862AD">
        <w:rPr>
          <w:rFonts w:ascii="Times New Roman" w:hAnsi="Times New Roman"/>
          <w:b/>
        </w:rPr>
        <w:t xml:space="preserve"> - § 19 ods. 3 písm. k) tretí a štvrtý bod</w:t>
      </w:r>
    </w:p>
    <w:p w:rsidR="00354B6C" w:rsidRPr="00662FF4" w:rsidP="00354B6C">
      <w:pPr>
        <w:bidi w:val="0"/>
        <w:jc w:val="both"/>
        <w:rPr>
          <w:rFonts w:ascii="Times New Roman" w:hAnsi="Times New Roman"/>
        </w:rPr>
      </w:pPr>
      <w:r w:rsidRPr="00662FF4">
        <w:rPr>
          <w:rFonts w:ascii="Times New Roman" w:hAnsi="Times New Roman"/>
        </w:rPr>
        <w:t xml:space="preserve">Z dôvodu právnej istoty sa spresňuje toto ustanovenie tak, aby bolo zrejmé, kedy je daň z pridanej hodnoty zaplatená daňovníkom v inom členskom štáte EÚ uznaným daňovým výdavkom. </w:t>
      </w:r>
      <w:r w:rsidRPr="00662FF4">
        <w:rPr>
          <w:rFonts w:ascii="Times New Roman" w:hAnsi="Times New Roman"/>
          <w:szCs w:val="20"/>
        </w:rPr>
        <w:t>Podľa tretieho bodu je daň z pridanej hodnoty</w:t>
      </w:r>
      <w:r>
        <w:rPr>
          <w:rFonts w:ascii="Times New Roman" w:hAnsi="Times New Roman"/>
          <w:szCs w:val="20"/>
        </w:rPr>
        <w:t>,</w:t>
      </w:r>
      <w:r w:rsidRPr="00662FF4">
        <w:rPr>
          <w:rFonts w:ascii="Times New Roman" w:hAnsi="Times New Roman"/>
          <w:szCs w:val="20"/>
        </w:rPr>
        <w:t xml:space="preserve"> na ktorú má platiteľ dane z pridanej hodnoty nárok na vrátenie (splnil ustanovený limit) v členskom štáte Európskej únie daňovým výdavkom len vtedy, ak tovar alebo služba</w:t>
      </w:r>
      <w:r>
        <w:rPr>
          <w:rFonts w:ascii="Times New Roman" w:hAnsi="Times New Roman"/>
          <w:szCs w:val="20"/>
        </w:rPr>
        <w:t>,</w:t>
      </w:r>
      <w:r w:rsidRPr="00662FF4">
        <w:rPr>
          <w:rFonts w:ascii="Times New Roman" w:hAnsi="Times New Roman"/>
          <w:szCs w:val="20"/>
        </w:rPr>
        <w:t xml:space="preserve"> na ktorú sa daň vzťahuje je daňovým výdavkom a len ak podal žiadosť o jej vrátenie podľa </w:t>
      </w:r>
      <w:r w:rsidRPr="00662FF4">
        <w:rPr>
          <w:rFonts w:ascii="Times New Roman" w:hAnsi="Times New Roman"/>
        </w:rPr>
        <w:t>§ 55f zákona č. 222/2004 Z. z.</w:t>
      </w:r>
      <w:r>
        <w:rPr>
          <w:rFonts w:ascii="Times New Roman" w:hAnsi="Times New Roman"/>
        </w:rPr>
        <w:t xml:space="preserve"> U daňovníka účtujúceho v sústave podvojného účtovníctva je daň z pridanej hodnoty daňovým výdavkom </w:t>
      </w:r>
      <w:r w:rsidRPr="00662FF4">
        <w:rPr>
          <w:rFonts w:ascii="Times New Roman" w:hAnsi="Times New Roman"/>
        </w:rPr>
        <w:t>v tom zdaňovacom období, v</w:t>
      </w:r>
      <w:r>
        <w:rPr>
          <w:rFonts w:ascii="Times New Roman" w:hAnsi="Times New Roman"/>
        </w:rPr>
        <w:t> </w:t>
      </w:r>
      <w:r w:rsidRPr="00662FF4">
        <w:rPr>
          <w:rFonts w:ascii="Times New Roman" w:hAnsi="Times New Roman"/>
        </w:rPr>
        <w:t>ktorom</w:t>
      </w:r>
      <w:r>
        <w:rPr>
          <w:rFonts w:ascii="Times New Roman" w:hAnsi="Times New Roman"/>
        </w:rPr>
        <w:t xml:space="preserve"> účtuje o uplatnení nároku na jej vrátenie. U daňovníka účtujúceho v sústave jednoduchého účtovníctva a u daňovníka, ktorý vedie evidenciu podľa § 6 ods. 11 alebo 14 je daň z pridanej hodnoty daňovým výdavkom v tom zdaňovacom období, v ktorom </w:t>
      </w:r>
      <w:r w:rsidRPr="00662FF4">
        <w:rPr>
          <w:rFonts w:ascii="Times New Roman" w:hAnsi="Times New Roman"/>
        </w:rPr>
        <w:t>si uplatní nárok na jej v</w:t>
      </w:r>
      <w:r>
        <w:rPr>
          <w:rFonts w:ascii="Times New Roman" w:hAnsi="Times New Roman"/>
        </w:rPr>
        <w:t>rátenie</w:t>
      </w:r>
      <w:r w:rsidRPr="00A22027">
        <w:rPr>
          <w:rFonts w:ascii="Times New Roman" w:hAnsi="Times New Roman"/>
          <w:szCs w:val="20"/>
        </w:rPr>
        <w:t xml:space="preserve"> </w:t>
      </w:r>
      <w:r w:rsidRPr="00662FF4">
        <w:rPr>
          <w:rFonts w:ascii="Times New Roman" w:hAnsi="Times New Roman"/>
          <w:szCs w:val="20"/>
        </w:rPr>
        <w:t xml:space="preserve">podľa </w:t>
      </w:r>
      <w:r w:rsidRPr="00662FF4">
        <w:rPr>
          <w:rFonts w:ascii="Times New Roman" w:hAnsi="Times New Roman"/>
        </w:rPr>
        <w:t>§ 55f zákona č. 222/2004 Z. z.</w:t>
      </w:r>
    </w:p>
    <w:p w:rsidR="00354B6C" w:rsidRPr="00662FF4" w:rsidP="00354B6C">
      <w:pPr>
        <w:bidi w:val="0"/>
        <w:jc w:val="both"/>
        <w:rPr>
          <w:rFonts w:ascii="Times New Roman" w:hAnsi="Times New Roman"/>
          <w:szCs w:val="20"/>
        </w:rPr>
      </w:pPr>
      <w:r w:rsidRPr="00662FF4">
        <w:rPr>
          <w:rFonts w:ascii="Times New Roman" w:hAnsi="Times New Roman"/>
        </w:rPr>
        <w:t>Podľa štvrtého bodu, ak platiteľ dane z pridanej hodnoty nesplní ustanovený limit pre vrátenie dane z pridanej hodnoty v členskom štáte Európskej únie</w:t>
      </w:r>
      <w:r>
        <w:rPr>
          <w:rFonts w:ascii="Times New Roman" w:hAnsi="Times New Roman"/>
        </w:rPr>
        <w:t>,</w:t>
      </w:r>
      <w:r w:rsidRPr="00662FF4">
        <w:rPr>
          <w:rFonts w:ascii="Times New Roman" w:hAnsi="Times New Roman"/>
        </w:rPr>
        <w:t xml:space="preserve"> je táto daň daňový výdavkom</w:t>
      </w:r>
      <w:r>
        <w:rPr>
          <w:rFonts w:ascii="Times New Roman" w:hAnsi="Times New Roman"/>
        </w:rPr>
        <w:t>,</w:t>
      </w:r>
      <w:r w:rsidRPr="00662FF4">
        <w:rPr>
          <w:rFonts w:ascii="Times New Roman" w:hAnsi="Times New Roman"/>
        </w:rPr>
        <w:t xml:space="preserve"> v tom zdaňovacom období, v ktorom došlo k úhrade tovarov a služieb, ak tieto tovary a služby sú daňovým výdavkom.</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00D13F9C">
        <w:rPr>
          <w:rFonts w:ascii="Times New Roman" w:hAnsi="Times New Roman"/>
          <w:b/>
        </w:rPr>
        <w:t>K bodu 51</w:t>
      </w:r>
      <w:r w:rsidRPr="000862AD">
        <w:rPr>
          <w:rFonts w:ascii="Times New Roman" w:hAnsi="Times New Roman"/>
          <w:b/>
        </w:rPr>
        <w:t xml:space="preserve"> - § 19 ods. 3 písm. l)</w:t>
      </w:r>
    </w:p>
    <w:p w:rsidR="00354B6C" w:rsidRPr="000862AD" w:rsidP="00354B6C">
      <w:pPr>
        <w:bidi w:val="0"/>
        <w:jc w:val="both"/>
        <w:rPr>
          <w:rFonts w:ascii="Times New Roman" w:hAnsi="Times New Roman"/>
          <w:color w:val="000000"/>
        </w:rPr>
      </w:pPr>
      <w:r w:rsidRPr="000862AD">
        <w:rPr>
          <w:rFonts w:ascii="Times New Roman" w:hAnsi="Times New Roman"/>
          <w:color w:val="000000"/>
        </w:rPr>
        <w:t xml:space="preserve">Úprava sa navrhuje v nadväznosti na upozornenie </w:t>
      </w:r>
      <w:r w:rsidRPr="000862AD">
        <w:rPr>
          <w:rFonts w:ascii="Times New Roman" w:hAnsi="Times New Roman"/>
        </w:rPr>
        <w:t xml:space="preserve">Európskej komisie </w:t>
      </w:r>
      <w:r w:rsidRPr="000862AD">
        <w:rPr>
          <w:rFonts w:ascii="Times New Roman" w:hAnsi="Times New Roman"/>
          <w:color w:val="000000"/>
        </w:rPr>
        <w:t>na možnú nezlučiteľnosť ustanovení zákona o dani z príjmov s právom Európskej únie. Na základe uvedeného upozornenia uplatnenie rozdielnych pravidiel pre uznanie daňových výdavkov zamestnávateľa pri platení príspevkov na doplnkové dôchodkové sporenie zamestnancov podľa zákona č. 650/2004 Z. z. o doplnkovom dôchodkovom sporení a o zmene a doplnení niektorých zákonov v znení neskorších predpisov v porovnaní s platením príspevkov do podobných systémov doplnkového dôchodkového sporenia v zahraničí možno považovať za obmedzenie voľného pohybu osôb a slobody usadiť sa. Daňovým výdavkom zamestnávateľa budú aj príspevky na doplnkové dôchodkové sporenie zamestnancov platené do zahraničia, ak budú v plnej miere zachované princípy a pravidlá tohto sporenia v zahraničí definované rovnako ako v zákone o doplnkovom dôchodkovom sporení.</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52</w:t>
      </w:r>
      <w:r w:rsidRPr="000862AD">
        <w:rPr>
          <w:rFonts w:ascii="Times New Roman" w:hAnsi="Times New Roman"/>
          <w:b/>
        </w:rPr>
        <w:t xml:space="preserve"> – poznámka pod čiarou k odkazu č. 102</w:t>
      </w:r>
    </w:p>
    <w:p w:rsidR="00354B6C" w:rsidRPr="000862AD" w:rsidP="00354B6C">
      <w:pPr>
        <w:bidi w:val="0"/>
        <w:jc w:val="both"/>
        <w:rPr>
          <w:rFonts w:ascii="Times New Roman" w:hAnsi="Times New Roman"/>
        </w:rPr>
      </w:pPr>
      <w:r w:rsidRPr="000862AD">
        <w:rPr>
          <w:rFonts w:ascii="Times New Roman" w:hAnsi="Times New Roman"/>
        </w:rPr>
        <w:t xml:space="preserve">Zmena odkazu v nadväznosti na zrušenie zákona č. 258/2001 Z. z. o spotrebiteľských úveroch a o zmene a doplnení zákona Slovenskej národnej rady č. 71/1986 Zb. o Slovenskej obchodnej inšpekcii v znení neskorších predpisov a jeho nahradenia zákonom č. 129/2010 Z. z. o spotrebiteľských úveroch a o iných úveroch a pôžičkách pre spotrebiteľov a o zmene a doplnení niektorých zákonov.  </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53</w:t>
      </w:r>
      <w:r w:rsidRPr="000862AD">
        <w:rPr>
          <w:rFonts w:ascii="Times New Roman" w:hAnsi="Times New Roman"/>
          <w:b/>
        </w:rPr>
        <w:t xml:space="preserve"> - § 22 ods. 6 písm. f)</w:t>
      </w:r>
    </w:p>
    <w:p w:rsidR="00354B6C" w:rsidRPr="000862AD" w:rsidP="00354B6C">
      <w:pPr>
        <w:bidi w:val="0"/>
        <w:jc w:val="both"/>
        <w:rPr>
          <w:rFonts w:ascii="Times New Roman" w:hAnsi="Times New Roman"/>
        </w:rPr>
      </w:pPr>
      <w:r w:rsidRPr="000862AD">
        <w:rPr>
          <w:rFonts w:ascii="Times New Roman" w:hAnsi="Times New Roman"/>
        </w:rPr>
        <w:t>Úprava je vykonaná z dôvodu zavedenia rovnakého spôsobu odpisovania hmotného majetku obstaraného formou finančného prenájmu s ostatnými formami nadobudnutia hmotného majetku. Technické zhodnotenie hmotného majetku obstarávaného formou finančného prenájmu sa nepovažuje za iný majetok odpisovaný, ale bude súčasťou vstupnej ceny hmotného majetku, resp. pri zrýchlenom spôsobe odpisovania sa zvyšuje jeho zostatková cena, a to v tom zdaňovacom období, v ktorom bolo technické zhodnotenie hmotného majetku dokončené a zaradené do užívania.</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5</w:t>
      </w:r>
      <w:r w:rsidR="00D13F9C">
        <w:rPr>
          <w:rFonts w:ascii="Times New Roman" w:hAnsi="Times New Roman"/>
          <w:b/>
        </w:rPr>
        <w:t>4</w:t>
      </w:r>
      <w:r w:rsidRPr="000862AD">
        <w:rPr>
          <w:rFonts w:ascii="Times New Roman" w:hAnsi="Times New Roman"/>
          <w:b/>
        </w:rPr>
        <w:t xml:space="preserve"> a </w:t>
      </w:r>
      <w:r>
        <w:rPr>
          <w:rFonts w:ascii="Times New Roman" w:hAnsi="Times New Roman"/>
          <w:b/>
        </w:rPr>
        <w:t>5</w:t>
      </w:r>
      <w:r w:rsidR="00D13F9C">
        <w:rPr>
          <w:rFonts w:ascii="Times New Roman" w:hAnsi="Times New Roman"/>
          <w:b/>
        </w:rPr>
        <w:t>5</w:t>
      </w:r>
      <w:r w:rsidRPr="000862AD">
        <w:rPr>
          <w:rFonts w:ascii="Times New Roman" w:hAnsi="Times New Roman"/>
          <w:b/>
        </w:rPr>
        <w:t xml:space="preserve"> - § 22 ods. 7 a 8 </w:t>
      </w:r>
    </w:p>
    <w:p w:rsidR="00354B6C" w:rsidRPr="00D326EC" w:rsidP="00354B6C">
      <w:pPr>
        <w:bidi w:val="0"/>
        <w:jc w:val="both"/>
        <w:rPr>
          <w:rFonts w:ascii="Times New Roman" w:hAnsi="Times New Roman"/>
          <w:szCs w:val="20"/>
        </w:rPr>
      </w:pPr>
      <w:r w:rsidRPr="000862AD">
        <w:rPr>
          <w:rFonts w:ascii="Times New Roman" w:hAnsi="Times New Roman"/>
        </w:rPr>
        <w:t>Zmena je vykonaná v nadväznosti na Analýzu právnych predpisov vo vzťahu k realizovateľnosti projektov verejno-súkromného partnerstva (PPP) v Slovenskej republike a úpravu postupov účtovania. Podľa účtovníctva sa dielo vybudované súkromným partnerom v rámci PPP projektov považuje za oceniteľné právo</w:t>
      </w:r>
      <w:r>
        <w:rPr>
          <w:rFonts w:ascii="Times New Roman" w:hAnsi="Times New Roman"/>
        </w:rPr>
        <w:t xml:space="preserve"> pri zmluve s rizikom dopytu</w:t>
      </w:r>
      <w:r w:rsidRPr="000862AD">
        <w:rPr>
          <w:rFonts w:ascii="Times New Roman" w:hAnsi="Times New Roman"/>
        </w:rPr>
        <w:t>, ktoré súkromný partner počas doby trvania koncesnej lehoty odpisuje. Súčasne platná definícia nehmotného majetku na účely zákona o dani z príjmov nezahŕňa pojem oceniteľné práva, t.j. odpisy oceniteľných práv súvisiacich s dielom vytvoren</w:t>
      </w:r>
      <w:r>
        <w:rPr>
          <w:rFonts w:ascii="Times New Roman" w:hAnsi="Times New Roman"/>
        </w:rPr>
        <w:t>ý</w:t>
      </w:r>
      <w:r w:rsidRPr="000862AD">
        <w:rPr>
          <w:rFonts w:ascii="Times New Roman" w:hAnsi="Times New Roman"/>
        </w:rPr>
        <w:t xml:space="preserve">m na základe PPP projektov by u súkromného partnera neboli súčasťou základu dane. </w:t>
      </w:r>
      <w:r w:rsidRPr="00D326EC">
        <w:rPr>
          <w:rFonts w:ascii="Times New Roman" w:hAnsi="Times New Roman"/>
          <w:szCs w:val="20"/>
        </w:rPr>
        <w:t>Ak právny nástupca daňovníka zrušeného bez likvidácie pri zlúčení, splynutí alebo rozdelení obchodných spoločností alebo družstiev vyčlení z goodwillu alebo záporného goodwillu identifikovateľný dlhodobý nehmotný majetok podľa § 37 ods. 12 Postupov účtovania, nepovažuje sa tento majetok za nehmotný majetok podľa zákona o dani z príjmov, avšak len v tom prípade, ak právny nástupca uplatňuje pôvodné ceny podľa § 17e zákona o dani z príjmov. Ak právny nástupca vychádza z reálnych hodnôt podľa § 17c zákona o dani z príjmov, je aj takto vyčlenený majetok považovaný za nehmotný majetok podľa zákona o dani z príjmov.</w:t>
      </w:r>
      <w:r>
        <w:rPr>
          <w:rFonts w:ascii="Times New Roman" w:hAnsi="Times New Roman"/>
          <w:szCs w:val="20"/>
        </w:rPr>
        <w:t xml:space="preserve"> </w:t>
      </w:r>
      <w:r w:rsidRPr="00D326EC">
        <w:rPr>
          <w:rFonts w:ascii="Times New Roman" w:hAnsi="Times New Roman"/>
          <w:szCs w:val="20"/>
        </w:rPr>
        <w:t>Podľa odseku 8 goodwill a záporný goodwill vykázaný pri kúpe podniku alebo jeho časti, nepeňažnom vklade podniku alebo pri zlúčení, splynutí alebo rozdelení obchodných spoločností alebo družstiev pri uplatnení reálnych hodnôt sa neodpisuje v súlade s účtovníctvom, ale sa zahrnuje do základu dane podľa špecificky ustanoveného spôsobu.</w:t>
      </w:r>
    </w:p>
    <w:p w:rsidR="00354B6C" w:rsidP="00354B6C">
      <w:pPr>
        <w:bidi w:val="0"/>
        <w:jc w:val="both"/>
        <w:rPr>
          <w:rFonts w:ascii="Times New Roman" w:hAnsi="Times New Roman"/>
          <w:b/>
        </w:rPr>
      </w:pPr>
    </w:p>
    <w:p w:rsidR="00354B6C" w:rsidRPr="00D326EC" w:rsidP="00354B6C">
      <w:pPr>
        <w:bidi w:val="0"/>
        <w:jc w:val="both"/>
        <w:rPr>
          <w:rFonts w:ascii="Times New Roman" w:hAnsi="Times New Roman"/>
          <w:b/>
        </w:rPr>
      </w:pPr>
      <w:r w:rsidRPr="00D326EC">
        <w:rPr>
          <w:rFonts w:ascii="Times New Roman" w:hAnsi="Times New Roman"/>
          <w:b/>
        </w:rPr>
        <w:t>K bodu 5</w:t>
      </w:r>
      <w:r w:rsidR="00D13F9C">
        <w:rPr>
          <w:rFonts w:ascii="Times New Roman" w:hAnsi="Times New Roman"/>
          <w:b/>
        </w:rPr>
        <w:t>6</w:t>
      </w:r>
      <w:r w:rsidRPr="00D326EC">
        <w:rPr>
          <w:rFonts w:ascii="Times New Roman" w:hAnsi="Times New Roman"/>
          <w:b/>
        </w:rPr>
        <w:t xml:space="preserve"> - § 22 ods. 12</w:t>
      </w:r>
    </w:p>
    <w:p w:rsidR="00354B6C" w:rsidRPr="00D326EC" w:rsidP="00354B6C">
      <w:pPr>
        <w:bidi w:val="0"/>
        <w:jc w:val="both"/>
        <w:rPr>
          <w:rFonts w:ascii="Times New Roman" w:hAnsi="Times New Roman"/>
        </w:rPr>
      </w:pPr>
      <w:r w:rsidRPr="00D326EC">
        <w:rPr>
          <w:rFonts w:ascii="Times New Roman" w:hAnsi="Times New Roman"/>
        </w:rPr>
        <w:t>Úprava sa navrhuje v nadväznosti na zjednotenie podmienok odpisovania hmotného majetku obstaraného formou finančného prenájmu s ostatnými formami obstarania hmotného majetku.</w:t>
      </w:r>
    </w:p>
    <w:p w:rsidR="00354B6C" w:rsidRPr="00D326EC"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57</w:t>
      </w:r>
      <w:r w:rsidRPr="000862AD">
        <w:rPr>
          <w:rFonts w:ascii="Times New Roman" w:hAnsi="Times New Roman"/>
          <w:b/>
        </w:rPr>
        <w:t xml:space="preserve"> - poznámka pod čiarok k odkazu č. 118</w:t>
      </w:r>
    </w:p>
    <w:p w:rsidR="00354B6C" w:rsidRPr="000862AD" w:rsidP="00354B6C">
      <w:pPr>
        <w:bidi w:val="0"/>
        <w:jc w:val="both"/>
        <w:rPr>
          <w:rFonts w:ascii="Times New Roman" w:hAnsi="Times New Roman"/>
        </w:rPr>
      </w:pPr>
      <w:r w:rsidRPr="000862AD">
        <w:rPr>
          <w:rFonts w:ascii="Times New Roman" w:hAnsi="Times New Roman"/>
        </w:rPr>
        <w:t xml:space="preserve">Úprava poznámky pod čiarou sa navrhuje v súvislosti so zmenou zákona o účtovníctve. Ide o legislatívno-technické spresnenie v nadväznosti na zmenu § 25 ods. </w:t>
      </w:r>
      <w:r>
        <w:rPr>
          <w:rFonts w:ascii="Times New Roman" w:hAnsi="Times New Roman"/>
        </w:rPr>
        <w:t>6</w:t>
      </w:r>
      <w:r w:rsidRPr="000862AD">
        <w:rPr>
          <w:rFonts w:ascii="Times New Roman" w:hAnsi="Times New Roman"/>
        </w:rPr>
        <w:t xml:space="preserve"> zákona o účtovníctve. </w:t>
      </w:r>
    </w:p>
    <w:p w:rsidR="00354B6C" w:rsidP="00354B6C">
      <w:pPr>
        <w:bidi w:val="0"/>
        <w:jc w:val="both"/>
        <w:rPr>
          <w:rFonts w:ascii="Times New Roman" w:hAnsi="Times New Roman"/>
          <w:b/>
        </w:rPr>
      </w:pPr>
    </w:p>
    <w:p w:rsidR="006651EE" w:rsidP="00354B6C">
      <w:pPr>
        <w:bidi w:val="0"/>
        <w:jc w:val="both"/>
        <w:rPr>
          <w:rFonts w:ascii="Times New Roman" w:hAnsi="Times New Roman"/>
          <w:b/>
        </w:rPr>
      </w:pPr>
    </w:p>
    <w:p w:rsidR="006651EE"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bodom </w:t>
      </w:r>
      <w:r>
        <w:rPr>
          <w:rFonts w:ascii="Times New Roman" w:hAnsi="Times New Roman"/>
          <w:b/>
        </w:rPr>
        <w:t>5</w:t>
      </w:r>
      <w:r w:rsidR="00D13F9C">
        <w:rPr>
          <w:rFonts w:ascii="Times New Roman" w:hAnsi="Times New Roman"/>
          <w:b/>
        </w:rPr>
        <w:t>8</w:t>
      </w:r>
      <w:r>
        <w:rPr>
          <w:rFonts w:ascii="Times New Roman" w:hAnsi="Times New Roman"/>
          <w:b/>
        </w:rPr>
        <w:t xml:space="preserve"> až 6</w:t>
      </w:r>
      <w:r w:rsidR="00D13F9C">
        <w:rPr>
          <w:rFonts w:ascii="Times New Roman" w:hAnsi="Times New Roman"/>
          <w:b/>
        </w:rPr>
        <w:t>1</w:t>
      </w:r>
      <w:r w:rsidRPr="000862AD">
        <w:rPr>
          <w:rFonts w:ascii="Times New Roman" w:hAnsi="Times New Roman"/>
          <w:b/>
        </w:rPr>
        <w:t xml:space="preserve"> - § 26 ods. 2, ods. 8 až 10</w:t>
      </w:r>
    </w:p>
    <w:p w:rsidR="00354B6C" w:rsidRPr="000862AD" w:rsidP="00354B6C">
      <w:pPr>
        <w:bidi w:val="0"/>
        <w:jc w:val="both"/>
        <w:rPr>
          <w:rFonts w:ascii="Times New Roman" w:hAnsi="Times New Roman"/>
        </w:rPr>
      </w:pPr>
      <w:r w:rsidRPr="000862AD">
        <w:rPr>
          <w:rFonts w:ascii="Times New Roman" w:hAnsi="Times New Roman"/>
        </w:rPr>
        <w:t>Úprava je vykonaná z dôvodu rovnakého spôsobu odpisovania hmotného majetku obstaraného formou finančného prenájmu s ostatnými formami obstarania hmotného majetku. Hmotný majetok obstaraný formou finančného prenájmu sa odpisuje počas doby odpisovania stanovenej zákonom a nie počas doby trvania prenájmu. Tento majetok sa na daňové účely odpisuje do výšky 100 % hodnoty istiny vymedzenej podľa účtovných predpisov zvýšenej o náklady súvisiace s obstaraním tohto majetku, ktoré nájomca vynaložil do doby jeho zaradenia do užívania.</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6</w:t>
      </w:r>
      <w:r w:rsidR="00D13F9C">
        <w:rPr>
          <w:rFonts w:ascii="Times New Roman" w:hAnsi="Times New Roman"/>
          <w:b/>
        </w:rPr>
        <w:t>2</w:t>
      </w:r>
      <w:r w:rsidRPr="000862AD">
        <w:rPr>
          <w:rFonts w:ascii="Times New Roman" w:hAnsi="Times New Roman"/>
          <w:b/>
        </w:rPr>
        <w:t xml:space="preserve"> - § 32 ods. 2 písm. d)</w:t>
      </w:r>
    </w:p>
    <w:p w:rsidR="00354B6C" w:rsidRPr="000862AD" w:rsidP="00354B6C">
      <w:pPr>
        <w:bidi w:val="0"/>
        <w:jc w:val="both"/>
        <w:rPr>
          <w:rFonts w:ascii="Times New Roman" w:hAnsi="Times New Roman"/>
        </w:rPr>
      </w:pPr>
      <w:r w:rsidRPr="000862AD">
        <w:rPr>
          <w:rFonts w:ascii="Times New Roman" w:hAnsi="Times New Roman"/>
        </w:rPr>
        <w:t xml:space="preserve">Úprava ustanovenia nadväzuje na zrušenie nezdaniteľných častí základu dane na účelové sporenie, životné poistenie a doplnkové dôchodkové sporenie v § 11. </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63</w:t>
      </w:r>
      <w:r w:rsidRPr="000862AD">
        <w:rPr>
          <w:rFonts w:ascii="Times New Roman" w:hAnsi="Times New Roman"/>
          <w:b/>
        </w:rPr>
        <w:t xml:space="preserve"> - § 32 ods. 3 písm. b)</w:t>
      </w:r>
    </w:p>
    <w:p w:rsidR="00354B6C" w:rsidRPr="000862AD" w:rsidP="00354B6C">
      <w:pPr>
        <w:bidi w:val="0"/>
        <w:jc w:val="both"/>
        <w:rPr>
          <w:rFonts w:ascii="Times New Roman" w:hAnsi="Times New Roman"/>
        </w:rPr>
      </w:pPr>
      <w:r w:rsidRPr="000862AD">
        <w:rPr>
          <w:rFonts w:ascii="Times New Roman" w:hAnsi="Times New Roman"/>
        </w:rPr>
        <w:t xml:space="preserve">Zmena je vykonaná v súvislosti s úpravou § 11 (nezdaniteľné časti základu dane). Rovnako táto zmena súvisí s úpravou § 43 (daň vyberaná zrážkou), podľa ktorej </w:t>
      </w:r>
      <w:r>
        <w:rPr>
          <w:rFonts w:ascii="Times New Roman" w:hAnsi="Times New Roman"/>
        </w:rPr>
        <w:t>pri príjmoch</w:t>
      </w:r>
      <w:r w:rsidRPr="000862AD">
        <w:rPr>
          <w:rFonts w:ascii="Times New Roman" w:hAnsi="Times New Roman"/>
        </w:rPr>
        <w:t xml:space="preserve"> zdanených daňou vyberanou zrážkou sa daňov</w:t>
      </w:r>
      <w:r>
        <w:rPr>
          <w:rFonts w:ascii="Times New Roman" w:hAnsi="Times New Roman"/>
        </w:rPr>
        <w:t>á povinnosť považuje za splnenú.</w:t>
      </w:r>
      <w:r w:rsidRPr="000862AD">
        <w:rPr>
          <w:rFonts w:ascii="Times New Roman" w:hAnsi="Times New Roman"/>
        </w:rPr>
        <w:t xml:space="preserve"> </w:t>
      </w:r>
      <w:r>
        <w:rPr>
          <w:rFonts w:ascii="Times New Roman" w:hAnsi="Times New Roman"/>
        </w:rPr>
        <w:t>V</w:t>
      </w:r>
      <w:r w:rsidRPr="000862AD">
        <w:rPr>
          <w:rFonts w:ascii="Times New Roman" w:hAnsi="Times New Roman"/>
        </w:rPr>
        <w:t>ýnimku predstavujú príjmy dosiahnuté z vyplatenia (vrátenia) podielových listov, u ktorých má daňovník naďalej možnosť rozhodnutia, či daň vybranú zrážkou bude považovať za vysporiadanú alebo za preddavok na daň podľa § 43 ods. 7.</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64</w:t>
      </w:r>
      <w:r w:rsidRPr="000862AD">
        <w:rPr>
          <w:rFonts w:ascii="Times New Roman" w:hAnsi="Times New Roman"/>
          <w:b/>
        </w:rPr>
        <w:t xml:space="preserve"> - § 32 ods. 4 písm. d)</w:t>
      </w:r>
    </w:p>
    <w:p w:rsidR="00354B6C" w:rsidRPr="000862AD" w:rsidP="00354B6C">
      <w:pPr>
        <w:bidi w:val="0"/>
        <w:jc w:val="both"/>
        <w:rPr>
          <w:rFonts w:ascii="Times New Roman" w:hAnsi="Times New Roman"/>
        </w:rPr>
      </w:pPr>
      <w:r w:rsidRPr="000862AD">
        <w:rPr>
          <w:rFonts w:ascii="Times New Roman" w:hAnsi="Times New Roman"/>
        </w:rPr>
        <w:t>Úprava je vykonaná v nadväznosti na Lisabonskú zmluvu, ktorou sa mení a dopĺňa zmluva o Európskej únii a zmluva o založení Európskeho spoločenstva (oznámenie č. 486/2009 Z. z.), ktorou Európska únia nahrádza Európske spoločenstvo a stáva sa jeho právnym nástupcom.</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65</w:t>
      </w:r>
      <w:r w:rsidRPr="000862AD">
        <w:rPr>
          <w:rFonts w:ascii="Times New Roman" w:hAnsi="Times New Roman"/>
          <w:b/>
        </w:rPr>
        <w:t xml:space="preserve"> - § 32 ods. 8</w:t>
      </w:r>
    </w:p>
    <w:p w:rsidR="00354B6C" w:rsidRPr="000862AD" w:rsidP="00354B6C">
      <w:pPr>
        <w:bidi w:val="0"/>
        <w:jc w:val="both"/>
        <w:rPr>
          <w:rFonts w:ascii="Times New Roman" w:hAnsi="Times New Roman"/>
        </w:rPr>
      </w:pPr>
      <w:r w:rsidRPr="000862AD">
        <w:rPr>
          <w:rFonts w:ascii="Times New Roman" w:hAnsi="Times New Roman"/>
        </w:rPr>
        <w:t>Príjmy zo závislej činnosti, ktoré dosiahol zamestnanec do dňa smrti, sa zahrnú do základu dane podaním daňového priznania za tohto zomretého daňovníka.</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66</w:t>
      </w:r>
      <w:r w:rsidRPr="000862AD">
        <w:rPr>
          <w:rFonts w:ascii="Times New Roman" w:hAnsi="Times New Roman"/>
          <w:b/>
        </w:rPr>
        <w:t xml:space="preserve"> - § 32 ods. 11, § 32a ods. 1  písm. a) šiesty bod, § 36 ods. 6 písm. c) a § 37 ods. 1 písm. b) </w:t>
      </w:r>
    </w:p>
    <w:p w:rsidR="00354B6C" w:rsidRPr="000862AD" w:rsidP="00354B6C">
      <w:pPr>
        <w:bidi w:val="0"/>
        <w:jc w:val="both"/>
        <w:rPr>
          <w:rFonts w:ascii="Times New Roman" w:hAnsi="Times New Roman"/>
        </w:rPr>
      </w:pPr>
      <w:r w:rsidRPr="000862AD">
        <w:rPr>
          <w:rFonts w:ascii="Times New Roman" w:hAnsi="Times New Roman"/>
        </w:rPr>
        <w:t>Úprava v súvislosti so zmenou § 11 (nezdaniteľné časti základu dane).</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67</w:t>
      </w:r>
      <w:r w:rsidRPr="000862AD">
        <w:rPr>
          <w:rFonts w:ascii="Times New Roman" w:hAnsi="Times New Roman"/>
          <w:b/>
        </w:rPr>
        <w:t xml:space="preserve"> - § 32a ods. 1 písm. a) tretí bod</w:t>
      </w:r>
    </w:p>
    <w:p w:rsidR="00354B6C" w:rsidRPr="000862AD" w:rsidP="00354B6C">
      <w:pPr>
        <w:bidi w:val="0"/>
        <w:jc w:val="both"/>
        <w:rPr>
          <w:rFonts w:ascii="Times New Roman" w:hAnsi="Times New Roman"/>
        </w:rPr>
      </w:pPr>
      <w:r w:rsidRPr="000862AD">
        <w:rPr>
          <w:rFonts w:ascii="Times New Roman" w:hAnsi="Times New Roman"/>
        </w:rPr>
        <w:t>Úprava je vykonaná v súvislosti s vypustením § 43 ods. 3 písm. j), ktorým sa daňou vyberanou zrážkou zdaňovali príjmy podľa § 5 ods. 1 písm. a) až g) nepresahujúce sumu 165,97 eura v úhrne za kalendárny mesiac. Všetky príjmy zo závislej činnosti sa budú zdaňovať preddavkovým spôsobom bez ohľadu na ich výšku.</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K bod</w:t>
      </w:r>
      <w:r>
        <w:rPr>
          <w:rFonts w:ascii="Times New Roman" w:hAnsi="Times New Roman"/>
          <w:b/>
        </w:rPr>
        <w:t>om</w:t>
      </w:r>
      <w:r w:rsidRPr="000862AD">
        <w:rPr>
          <w:rFonts w:ascii="Times New Roman" w:hAnsi="Times New Roman"/>
          <w:b/>
        </w:rPr>
        <w:t xml:space="preserve"> </w:t>
      </w:r>
      <w:r>
        <w:rPr>
          <w:rFonts w:ascii="Times New Roman" w:hAnsi="Times New Roman"/>
          <w:b/>
        </w:rPr>
        <w:t>6</w:t>
      </w:r>
      <w:r w:rsidR="00D13F9C">
        <w:rPr>
          <w:rFonts w:ascii="Times New Roman" w:hAnsi="Times New Roman"/>
          <w:b/>
        </w:rPr>
        <w:t>8</w:t>
      </w:r>
      <w:r>
        <w:rPr>
          <w:rFonts w:ascii="Times New Roman" w:hAnsi="Times New Roman"/>
          <w:b/>
        </w:rPr>
        <w:t xml:space="preserve"> a </w:t>
      </w:r>
      <w:r w:rsidR="00D13F9C">
        <w:rPr>
          <w:rFonts w:ascii="Times New Roman" w:hAnsi="Times New Roman"/>
          <w:b/>
        </w:rPr>
        <w:t>70</w:t>
      </w:r>
      <w:r w:rsidRPr="000862AD">
        <w:rPr>
          <w:rFonts w:ascii="Times New Roman" w:hAnsi="Times New Roman"/>
          <w:b/>
        </w:rPr>
        <w:t xml:space="preserve"> - § 35 ods. 1 písm. b)</w:t>
      </w:r>
      <w:r>
        <w:rPr>
          <w:rFonts w:ascii="Times New Roman" w:hAnsi="Times New Roman"/>
          <w:b/>
        </w:rPr>
        <w:t xml:space="preserve"> a</w:t>
      </w:r>
      <w:r w:rsidRPr="000862AD">
        <w:rPr>
          <w:rFonts w:ascii="Times New Roman" w:hAnsi="Times New Roman"/>
          <w:b/>
        </w:rPr>
        <w:t xml:space="preserve"> § 37 ods. 1 písm. a)</w:t>
      </w:r>
    </w:p>
    <w:p w:rsidR="00354B6C" w:rsidRPr="000862AD" w:rsidP="00354B6C">
      <w:pPr>
        <w:bidi w:val="0"/>
        <w:jc w:val="both"/>
        <w:rPr>
          <w:rFonts w:ascii="Times New Roman" w:hAnsi="Times New Roman"/>
        </w:rPr>
      </w:pPr>
      <w:r w:rsidRPr="000862AD">
        <w:rPr>
          <w:rFonts w:ascii="Times New Roman" w:hAnsi="Times New Roman"/>
        </w:rPr>
        <w:t>Úprava v súvislosti so zmenou § 11 (nezdaniteľné časti základu dane).</w:t>
      </w:r>
    </w:p>
    <w:p w:rsidR="00354B6C" w:rsidP="00354B6C">
      <w:pPr>
        <w:bidi w:val="0"/>
        <w:jc w:val="both"/>
        <w:rPr>
          <w:rFonts w:ascii="Times New Roman" w:hAnsi="Times New Roman"/>
          <w:b/>
        </w:rPr>
      </w:pPr>
    </w:p>
    <w:p w:rsidR="00354B6C" w:rsidP="00354B6C">
      <w:pPr>
        <w:bidi w:val="0"/>
        <w:jc w:val="both"/>
        <w:rPr>
          <w:rFonts w:ascii="Times New Roman" w:hAnsi="Times New Roman"/>
          <w:b/>
        </w:rPr>
      </w:pPr>
      <w:r>
        <w:rPr>
          <w:rFonts w:ascii="Times New Roman" w:hAnsi="Times New Roman"/>
          <w:b/>
        </w:rPr>
        <w:t>K bodu 6</w:t>
      </w:r>
      <w:r w:rsidR="00D13F9C">
        <w:rPr>
          <w:rFonts w:ascii="Times New Roman" w:hAnsi="Times New Roman"/>
          <w:b/>
        </w:rPr>
        <w:t>9</w:t>
      </w:r>
      <w:r>
        <w:rPr>
          <w:rFonts w:ascii="Times New Roman" w:hAnsi="Times New Roman"/>
          <w:b/>
        </w:rPr>
        <w:t xml:space="preserve"> - § 35 ods. 7</w:t>
      </w:r>
    </w:p>
    <w:p w:rsidR="00354B6C" w:rsidRPr="00D326EC" w:rsidP="00354B6C">
      <w:pPr>
        <w:bidi w:val="0"/>
        <w:jc w:val="both"/>
        <w:rPr>
          <w:rFonts w:ascii="Times New Roman" w:hAnsi="Times New Roman"/>
        </w:rPr>
      </w:pPr>
      <w:r>
        <w:rPr>
          <w:rFonts w:ascii="Times New Roman" w:hAnsi="Times New Roman"/>
        </w:rPr>
        <w:t>Úprava vykonaná v súvislosti so zmenou § 43.</w:t>
      </w:r>
    </w:p>
    <w:p w:rsidR="00354B6C" w:rsidP="00354B6C">
      <w:pPr>
        <w:bidi w:val="0"/>
        <w:jc w:val="both"/>
        <w:rPr>
          <w:rFonts w:ascii="Times New Roman" w:hAnsi="Times New Roman"/>
          <w:b/>
        </w:rPr>
      </w:pPr>
    </w:p>
    <w:p w:rsidR="00354B6C" w:rsidRPr="00D326EC" w:rsidP="00354B6C">
      <w:pPr>
        <w:bidi w:val="0"/>
        <w:jc w:val="both"/>
        <w:rPr>
          <w:rFonts w:ascii="Times New Roman" w:hAnsi="Times New Roman"/>
          <w:b/>
        </w:rPr>
      </w:pPr>
      <w:r w:rsidRPr="00D326EC">
        <w:rPr>
          <w:rFonts w:ascii="Times New Roman" w:hAnsi="Times New Roman"/>
          <w:b/>
        </w:rPr>
        <w:t xml:space="preserve">K bodu </w:t>
      </w:r>
      <w:r w:rsidR="00D13F9C">
        <w:rPr>
          <w:rFonts w:ascii="Times New Roman" w:hAnsi="Times New Roman"/>
          <w:b/>
        </w:rPr>
        <w:t>71</w:t>
      </w:r>
      <w:r w:rsidRPr="00D326EC">
        <w:rPr>
          <w:rFonts w:ascii="Times New Roman" w:hAnsi="Times New Roman"/>
          <w:b/>
        </w:rPr>
        <w:t xml:space="preserve"> - § 37 ods. 2</w:t>
      </w:r>
    </w:p>
    <w:p w:rsidR="00354B6C" w:rsidRPr="00D326EC" w:rsidP="00354B6C">
      <w:pPr>
        <w:bidi w:val="0"/>
        <w:jc w:val="both"/>
        <w:rPr>
          <w:rFonts w:ascii="Times New Roman" w:hAnsi="Times New Roman"/>
        </w:rPr>
      </w:pPr>
      <w:r w:rsidRPr="00D326EC">
        <w:rPr>
          <w:rFonts w:ascii="Times New Roman" w:hAnsi="Times New Roman"/>
        </w:rPr>
        <w:t>Ide o legislatívno-technické spresnenie.</w:t>
      </w:r>
    </w:p>
    <w:p w:rsidR="00354B6C" w:rsidP="00354B6C">
      <w:pPr>
        <w:bidi w:val="0"/>
        <w:jc w:val="both"/>
        <w:rPr>
          <w:rFonts w:ascii="Times New Roman" w:hAnsi="Times New Roman"/>
          <w:b/>
        </w:rPr>
      </w:pPr>
    </w:p>
    <w:p w:rsidR="006651EE" w:rsidP="00354B6C">
      <w:pPr>
        <w:bidi w:val="0"/>
        <w:jc w:val="both"/>
        <w:rPr>
          <w:rFonts w:ascii="Times New Roman" w:hAnsi="Times New Roman"/>
          <w:b/>
        </w:rPr>
      </w:pPr>
    </w:p>
    <w:p w:rsidR="006651EE"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72</w:t>
      </w:r>
      <w:r w:rsidRPr="000862AD">
        <w:rPr>
          <w:rFonts w:ascii="Times New Roman" w:hAnsi="Times New Roman"/>
          <w:b/>
        </w:rPr>
        <w:t xml:space="preserve"> - § 38 ods. 1</w:t>
      </w:r>
    </w:p>
    <w:p w:rsidR="00354B6C" w:rsidRPr="000862AD" w:rsidP="00354B6C">
      <w:pPr>
        <w:bidi w:val="0"/>
        <w:jc w:val="both"/>
        <w:rPr>
          <w:rFonts w:ascii="Times New Roman" w:hAnsi="Times New Roman"/>
        </w:rPr>
      </w:pPr>
      <w:r w:rsidRPr="000862AD">
        <w:rPr>
          <w:rFonts w:ascii="Times New Roman" w:hAnsi="Times New Roman"/>
        </w:rPr>
        <w:t xml:space="preserve">Úprava je vykonaná v nadväznosti na zmeny v § 11 (nezdaniteľné časti základu dane) a v </w:t>
      </w:r>
      <w:r>
        <w:rPr>
          <w:rFonts w:ascii="Times New Roman" w:hAnsi="Times New Roman"/>
        </w:rPr>
        <w:t xml:space="preserve">     </w:t>
      </w:r>
      <w:r w:rsidRPr="000862AD">
        <w:rPr>
          <w:rFonts w:ascii="Times New Roman" w:hAnsi="Times New Roman"/>
        </w:rPr>
        <w:t>§ 43 (daň vyberaná zrážkou). Ak sa fyzická osoba rozhodne daň vybranú zrážkou z príjmu plynúceho z vyplatenia (vrátenia) podielových listov považovať za preddavok na daň a uplatniť prostredníctvom podaného daňového priznania, nemôže žiadať zamestnávateľa o vykonanie ročného zúčtovania.</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K bod</w:t>
      </w:r>
      <w:r>
        <w:rPr>
          <w:rFonts w:ascii="Times New Roman" w:hAnsi="Times New Roman"/>
          <w:b/>
        </w:rPr>
        <w:t>om</w:t>
      </w:r>
      <w:r w:rsidRPr="000862AD">
        <w:rPr>
          <w:rFonts w:ascii="Times New Roman" w:hAnsi="Times New Roman"/>
          <w:b/>
        </w:rPr>
        <w:t xml:space="preserve"> </w:t>
      </w:r>
      <w:r>
        <w:rPr>
          <w:rFonts w:ascii="Times New Roman" w:hAnsi="Times New Roman"/>
          <w:b/>
        </w:rPr>
        <w:t>7</w:t>
      </w:r>
      <w:r w:rsidR="00D13F9C">
        <w:rPr>
          <w:rFonts w:ascii="Times New Roman" w:hAnsi="Times New Roman"/>
          <w:b/>
        </w:rPr>
        <w:t>3</w:t>
      </w:r>
      <w:r>
        <w:rPr>
          <w:rFonts w:ascii="Times New Roman" w:hAnsi="Times New Roman"/>
          <w:b/>
        </w:rPr>
        <w:t xml:space="preserve"> a 7</w:t>
      </w:r>
      <w:r w:rsidR="00D13F9C">
        <w:rPr>
          <w:rFonts w:ascii="Times New Roman" w:hAnsi="Times New Roman"/>
          <w:b/>
        </w:rPr>
        <w:t>4</w:t>
      </w:r>
      <w:r>
        <w:rPr>
          <w:rFonts w:ascii="Times New Roman" w:hAnsi="Times New Roman"/>
          <w:b/>
        </w:rPr>
        <w:t xml:space="preserve"> </w:t>
      </w:r>
      <w:r w:rsidRPr="000862AD">
        <w:rPr>
          <w:rFonts w:ascii="Times New Roman" w:hAnsi="Times New Roman"/>
          <w:b/>
        </w:rPr>
        <w:t>- § 38 ods. 4</w:t>
      </w:r>
      <w:r>
        <w:rPr>
          <w:rFonts w:ascii="Times New Roman" w:hAnsi="Times New Roman"/>
          <w:b/>
        </w:rPr>
        <w:t xml:space="preserve"> a </w:t>
      </w:r>
      <w:r w:rsidRPr="000862AD">
        <w:rPr>
          <w:rFonts w:ascii="Times New Roman" w:hAnsi="Times New Roman"/>
          <w:b/>
        </w:rPr>
        <w:t xml:space="preserve">§ 38 ods. 5 </w:t>
      </w:r>
    </w:p>
    <w:p w:rsidR="00354B6C" w:rsidRPr="000862AD" w:rsidP="00354B6C">
      <w:pPr>
        <w:bidi w:val="0"/>
        <w:jc w:val="both"/>
        <w:rPr>
          <w:rFonts w:ascii="Times New Roman" w:hAnsi="Times New Roman"/>
          <w:vertAlign w:val="superscript"/>
        </w:rPr>
      </w:pPr>
      <w:r w:rsidRPr="000862AD">
        <w:rPr>
          <w:rFonts w:ascii="Times New Roman" w:hAnsi="Times New Roman"/>
        </w:rPr>
        <w:t>Úprava je vykonaná v súvislosti so zmenou výpočtu základu dane z príjmov zo závislej činnosti podľa § 5 ods. 8 a 9 (zdravotnícki pracovníci) a § 11 (nezdaniteľné časti základu dane).</w:t>
      </w:r>
    </w:p>
    <w:p w:rsidR="00354B6C" w:rsidRPr="000862AD" w:rsidP="00354B6C">
      <w:pPr>
        <w:bidi w:val="0"/>
        <w:jc w:val="both"/>
        <w:rPr>
          <w:rFonts w:ascii="Times New Roman" w:hAnsi="Times New Roman"/>
          <w:vertAlign w:val="superscript"/>
        </w:rPr>
      </w:pPr>
    </w:p>
    <w:p w:rsidR="00354B6C" w:rsidRPr="000862AD" w:rsidP="00354B6C">
      <w:pPr>
        <w:bidi w:val="0"/>
        <w:jc w:val="both"/>
        <w:rPr>
          <w:rFonts w:ascii="Times New Roman" w:hAnsi="Times New Roman"/>
          <w:b/>
        </w:rPr>
      </w:pPr>
      <w:r w:rsidRPr="000862AD">
        <w:rPr>
          <w:rFonts w:ascii="Times New Roman" w:hAnsi="Times New Roman"/>
          <w:b/>
        </w:rPr>
        <w:t xml:space="preserve">K bodom </w:t>
      </w:r>
      <w:r>
        <w:rPr>
          <w:rFonts w:ascii="Times New Roman" w:hAnsi="Times New Roman"/>
          <w:b/>
        </w:rPr>
        <w:t>7</w:t>
      </w:r>
      <w:r w:rsidR="00D13F9C">
        <w:rPr>
          <w:rFonts w:ascii="Times New Roman" w:hAnsi="Times New Roman"/>
          <w:b/>
        </w:rPr>
        <w:t>5</w:t>
      </w:r>
      <w:r w:rsidRPr="000862AD">
        <w:rPr>
          <w:rFonts w:ascii="Times New Roman" w:hAnsi="Times New Roman"/>
          <w:b/>
        </w:rPr>
        <w:t xml:space="preserve"> - § 39 ods. 2 písm. f)</w:t>
      </w:r>
    </w:p>
    <w:p w:rsidR="00354B6C" w:rsidRPr="000862AD" w:rsidP="00354B6C">
      <w:pPr>
        <w:bidi w:val="0"/>
        <w:jc w:val="both"/>
        <w:rPr>
          <w:rFonts w:ascii="Times New Roman" w:hAnsi="Times New Roman"/>
          <w:vertAlign w:val="superscript"/>
        </w:rPr>
      </w:pPr>
      <w:r w:rsidRPr="000862AD">
        <w:rPr>
          <w:rFonts w:ascii="Times New Roman" w:hAnsi="Times New Roman"/>
        </w:rPr>
        <w:t>Úprava je vykonaná v súvislosti so zmenou výpočtu základu dane z príjmov zo závislej činnosti podľa § 5 ods. 8 a 9 (zdravotnícki pracovníci).</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bodom </w:t>
      </w:r>
      <w:r>
        <w:rPr>
          <w:rFonts w:ascii="Times New Roman" w:hAnsi="Times New Roman"/>
          <w:b/>
        </w:rPr>
        <w:t>7</w:t>
      </w:r>
      <w:r w:rsidR="00D13F9C">
        <w:rPr>
          <w:rFonts w:ascii="Times New Roman" w:hAnsi="Times New Roman"/>
          <w:b/>
        </w:rPr>
        <w:t>6</w:t>
      </w:r>
      <w:r w:rsidRPr="000862AD">
        <w:rPr>
          <w:rFonts w:ascii="Times New Roman" w:hAnsi="Times New Roman"/>
          <w:b/>
        </w:rPr>
        <w:t xml:space="preserve"> a </w:t>
      </w:r>
      <w:r>
        <w:rPr>
          <w:rFonts w:ascii="Times New Roman" w:hAnsi="Times New Roman"/>
          <w:b/>
        </w:rPr>
        <w:t>7</w:t>
      </w:r>
      <w:r w:rsidR="00D13F9C">
        <w:rPr>
          <w:rFonts w:ascii="Times New Roman" w:hAnsi="Times New Roman"/>
          <w:b/>
        </w:rPr>
        <w:t>7</w:t>
      </w:r>
      <w:r w:rsidRPr="000862AD">
        <w:rPr>
          <w:rFonts w:ascii="Times New Roman" w:hAnsi="Times New Roman"/>
          <w:b/>
        </w:rPr>
        <w:t xml:space="preserve"> - § 39 ods. 4 a ods. 9 písm. a)</w:t>
      </w:r>
    </w:p>
    <w:p w:rsidR="00354B6C" w:rsidRPr="000862AD" w:rsidP="00354B6C">
      <w:pPr>
        <w:bidi w:val="0"/>
        <w:jc w:val="both"/>
        <w:rPr>
          <w:rFonts w:ascii="Times New Roman" w:hAnsi="Times New Roman"/>
        </w:rPr>
      </w:pPr>
      <w:r w:rsidRPr="000862AD">
        <w:rPr>
          <w:rFonts w:ascii="Times New Roman" w:hAnsi="Times New Roman"/>
        </w:rPr>
        <w:t>Úprava je vykonaná v súvislosti s vypustením § 43 ods. 3 písm. j), ktorým sa daňou vyberanou zrážkou zdaňovali príjmy podľa § 5 ods. 1 písm. a) až g) nepresahujúce sumu 165,97 eura v úhrne za kalendárny mesiac. Všetky príjmy zo závislej činnosti sa budú zdaňovať preddavkovým spôsobom bez ohľadu na ich výšku.</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7</w:t>
      </w:r>
      <w:r w:rsidR="00D13F9C">
        <w:rPr>
          <w:rFonts w:ascii="Times New Roman" w:hAnsi="Times New Roman"/>
          <w:b/>
        </w:rPr>
        <w:t>8</w:t>
      </w:r>
      <w:r w:rsidRPr="000862AD">
        <w:rPr>
          <w:rFonts w:ascii="Times New Roman" w:hAnsi="Times New Roman"/>
          <w:b/>
        </w:rPr>
        <w:t xml:space="preserve"> - § 42 ods. 5</w:t>
      </w:r>
    </w:p>
    <w:p w:rsidR="00354B6C" w:rsidRPr="000862AD" w:rsidP="00354B6C">
      <w:pPr>
        <w:bidi w:val="0"/>
        <w:jc w:val="both"/>
        <w:rPr>
          <w:rFonts w:ascii="Times New Roman" w:hAnsi="Times New Roman"/>
        </w:rPr>
      </w:pPr>
      <w:r w:rsidRPr="000862AD">
        <w:rPr>
          <w:rFonts w:ascii="Times New Roman" w:hAnsi="Times New Roman"/>
        </w:rPr>
        <w:t>Úprava je vykonaná s cieľom zníženia administratívnej záťaže podnikateľov. Daňovník, ktorý existoval len časť predchádzajúceho zdaňovacieho obdobia a pri výpočte preddavkov na daň z príjmov na bežné zdaňovacie obdobie vychádza z predpokladanej dane, nebude mať povinnosť výšku predpokladanej dane osobitne nahlasovať správcovi dane. Daňovník výšku predpokladanej dane uvedie priamo v  daňovom priznaní podanom za jeho prvé zdaňovacie obdobie.</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79</w:t>
      </w:r>
      <w:r w:rsidRPr="000862AD">
        <w:rPr>
          <w:rFonts w:ascii="Times New Roman" w:hAnsi="Times New Roman"/>
          <w:b/>
        </w:rPr>
        <w:t xml:space="preserve"> - § 42 ods. 7</w:t>
      </w:r>
    </w:p>
    <w:p w:rsidR="00354B6C" w:rsidRPr="000862AD" w:rsidP="00354B6C">
      <w:pPr>
        <w:bidi w:val="0"/>
        <w:jc w:val="both"/>
        <w:rPr>
          <w:rFonts w:ascii="Times New Roman" w:hAnsi="Times New Roman"/>
        </w:rPr>
      </w:pPr>
      <w:r w:rsidRPr="000862AD">
        <w:rPr>
          <w:rFonts w:ascii="Times New Roman" w:hAnsi="Times New Roman"/>
        </w:rPr>
        <w:t>Daňovník, ktorý v predchádzajúcom kalendárnom roku vznikol splynutím alebo rozdelením</w:t>
      </w:r>
      <w:r w:rsidRPr="0083646A">
        <w:rPr>
          <w:rFonts w:ascii="Times New Roman" w:hAnsi="Times New Roman"/>
        </w:rPr>
        <w:t xml:space="preserve"> </w:t>
      </w:r>
      <w:r w:rsidRPr="007A03C8">
        <w:rPr>
          <w:rFonts w:ascii="Times New Roman" w:hAnsi="Times New Roman"/>
        </w:rPr>
        <w:t>a pri zlúčení, pokračuje</w:t>
      </w:r>
      <w:r w:rsidRPr="000862AD">
        <w:rPr>
          <w:rFonts w:ascii="Times New Roman" w:hAnsi="Times New Roman"/>
        </w:rPr>
        <w:t xml:space="preserve"> v platení preddavkov vo výške, ktorú určil podľa § 42 ods. 4 písm. b), c) a d), a to až do termínu na podanie daňového priznania. Úprava ustanovenia sa navrhuje z dôvodu spresnenia výšky dane, z ktorej tento daňovník pokračuje v platení preddavkov do lehoty na podanie daňového priznania.</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80</w:t>
      </w:r>
      <w:r w:rsidRPr="000862AD">
        <w:rPr>
          <w:rFonts w:ascii="Times New Roman" w:hAnsi="Times New Roman"/>
          <w:b/>
        </w:rPr>
        <w:t xml:space="preserve"> - § 42 ods. 9</w:t>
      </w:r>
    </w:p>
    <w:p w:rsidR="00354B6C" w:rsidRPr="000862AD" w:rsidP="00354B6C">
      <w:pPr>
        <w:bidi w:val="0"/>
        <w:jc w:val="both"/>
        <w:rPr>
          <w:rFonts w:ascii="Times New Roman" w:hAnsi="Times New Roman"/>
        </w:rPr>
      </w:pPr>
      <w:r w:rsidRPr="000862AD">
        <w:rPr>
          <w:rFonts w:ascii="Times New Roman" w:hAnsi="Times New Roman"/>
        </w:rPr>
        <w:t xml:space="preserve">Úpravou ustanovenia sa lehota uvedená v § 42 ods. 9 zjednocuje s počtom dní v príslušnom kalendárnom mesiaci v prípade, ak daňovníkovi vznikne rozdiel na zaplatených preddavkoch na daň od začiatku zdaňovacieho obdobia. Ak preddavky na daň zaplatené daňovníkom sú nižšie ako mu vyplývajú z výpočtu podľa daňového priznania, bude daňovník povinný tento rozdiel zaplatiť v lehote do konca kalendárneho mesiaca nasledujúceho po lehote na podanie daňového priznania. </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81</w:t>
      </w:r>
      <w:r w:rsidRPr="000862AD">
        <w:rPr>
          <w:rFonts w:ascii="Times New Roman" w:hAnsi="Times New Roman"/>
          <w:b/>
        </w:rPr>
        <w:t xml:space="preserve"> - § 43 ods. 2</w:t>
      </w:r>
    </w:p>
    <w:p w:rsidR="00354B6C" w:rsidRPr="00D326EC" w:rsidP="00354B6C">
      <w:pPr>
        <w:bidi w:val="0"/>
        <w:jc w:val="both"/>
        <w:rPr>
          <w:rFonts w:ascii="Times New Roman" w:hAnsi="Times New Roman"/>
          <w:iCs/>
        </w:rPr>
      </w:pPr>
      <w:r w:rsidRPr="00D326EC">
        <w:rPr>
          <w:rFonts w:ascii="Times New Roman" w:hAnsi="Times New Roman"/>
          <w:iCs/>
        </w:rPr>
        <w:t>Z príjmov plynúcich zo zdrojov na území Slovenskej republiky, ktorými sú príjmy podľa § 16 ods. 1 písm. c), d) a e) prvého</w:t>
      </w:r>
      <w:r>
        <w:rPr>
          <w:rFonts w:ascii="Times New Roman" w:hAnsi="Times New Roman"/>
          <w:iCs/>
        </w:rPr>
        <w:t>,</w:t>
      </w:r>
      <w:r w:rsidRPr="00D326EC">
        <w:rPr>
          <w:rFonts w:ascii="Times New Roman" w:hAnsi="Times New Roman"/>
          <w:iCs/>
        </w:rPr>
        <w:t xml:space="preserve"> druhého</w:t>
      </w:r>
      <w:r>
        <w:rPr>
          <w:rFonts w:ascii="Times New Roman" w:hAnsi="Times New Roman"/>
          <w:iCs/>
        </w:rPr>
        <w:t xml:space="preserve"> a štvrtého</w:t>
      </w:r>
      <w:r w:rsidRPr="00D326EC">
        <w:rPr>
          <w:rFonts w:ascii="Times New Roman" w:hAnsi="Times New Roman"/>
          <w:iCs/>
        </w:rPr>
        <w:t xml:space="preserve"> bodu, z úrokov a iných výnosov z poskytnutých úverov a pôžičiek a z derivátov sa daň vyberá zrážkou, ale len v tom prípade, ak tieto príjmy neplynú stálej prevádzkarni. Ide napr. o licenčné poplatky, autorské práva a pod. </w:t>
      </w:r>
    </w:p>
    <w:p w:rsidR="00354B6C" w:rsidRPr="000862AD" w:rsidP="00354B6C">
      <w:pPr>
        <w:bidi w:val="0"/>
        <w:jc w:val="both"/>
        <w:rPr>
          <w:rFonts w:ascii="Times New Roman" w:hAnsi="Times New Roman"/>
        </w:rPr>
      </w:pPr>
    </w:p>
    <w:p w:rsidR="00354B6C" w:rsidRPr="00D326EC" w:rsidP="00354B6C">
      <w:pPr>
        <w:bidi w:val="0"/>
        <w:jc w:val="both"/>
        <w:rPr>
          <w:rFonts w:ascii="Times New Roman" w:hAnsi="Times New Roman"/>
          <w:b/>
        </w:rPr>
      </w:pPr>
      <w:r w:rsidRPr="00D326EC">
        <w:rPr>
          <w:rFonts w:ascii="Times New Roman" w:hAnsi="Times New Roman"/>
          <w:b/>
        </w:rPr>
        <w:t xml:space="preserve">K bodu </w:t>
      </w:r>
      <w:r w:rsidR="00D13F9C">
        <w:rPr>
          <w:rFonts w:ascii="Times New Roman" w:hAnsi="Times New Roman"/>
          <w:b/>
        </w:rPr>
        <w:t>82</w:t>
      </w:r>
      <w:r w:rsidRPr="00D326EC">
        <w:rPr>
          <w:rFonts w:ascii="Times New Roman" w:hAnsi="Times New Roman"/>
          <w:b/>
        </w:rPr>
        <w:t xml:space="preserve"> - § 43 ods. 3 písm. a)</w:t>
      </w:r>
    </w:p>
    <w:p w:rsidR="00354B6C" w:rsidRPr="00D326EC" w:rsidP="00354B6C">
      <w:pPr>
        <w:bidi w:val="0"/>
        <w:jc w:val="both"/>
        <w:rPr>
          <w:rFonts w:ascii="Times New Roman" w:hAnsi="Times New Roman"/>
        </w:rPr>
      </w:pPr>
      <w:r w:rsidRPr="00D326EC">
        <w:rPr>
          <w:rFonts w:ascii="Times New Roman" w:hAnsi="Times New Roman"/>
          <w:iCs/>
        </w:rPr>
        <w:t>Z príjmov plynúcich z úrokov, výhier, výnosov z vkladov na vkladných knižkách a pod. podľa § 43 ods. 3 písm. a) sa daň vyberá zrážkou. Daň sa nevyberá v prípade, ak tieto príjmy plynú podielovým fondom alebo doplnkovým dôchodkovým fondom. Daň zrážkou sa nevyberie ani prípade, ak tieto príjmy budú plynúť dôchodkovým fondom spravovaným podľa § 47 ods. 1 a § 72 zákona č. 43/2004 Z. z. o dôchodkovom sporení a o zmene a doplnení niektorých zákonov v znení neskorších predpisov.</w:t>
      </w:r>
      <w:r w:rsidRPr="00D326EC">
        <w:rPr>
          <w:rFonts w:ascii="Times New Roman" w:hAnsi="Times New Roman"/>
        </w:rPr>
        <w:t xml:space="preserve"> Dôchodcovské správcovské spoločnosti tak budú viac motivované ukladať peniaze sporiteľov do slovenských bánk</w:t>
      </w:r>
      <w:r>
        <w:rPr>
          <w:rFonts w:ascii="Times New Roman" w:hAnsi="Times New Roman"/>
        </w:rPr>
        <w:t>,</w:t>
      </w:r>
      <w:r w:rsidRPr="00D326EC">
        <w:rPr>
          <w:rFonts w:ascii="Times New Roman" w:hAnsi="Times New Roman"/>
        </w:rPr>
        <w:t xml:space="preserve"> ako investovať peniaze v zahraničí. </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8</w:t>
      </w:r>
      <w:r w:rsidR="00D13F9C">
        <w:rPr>
          <w:rFonts w:ascii="Times New Roman" w:hAnsi="Times New Roman"/>
          <w:b/>
        </w:rPr>
        <w:t>3</w:t>
      </w:r>
      <w:r w:rsidRPr="000862AD">
        <w:rPr>
          <w:rFonts w:ascii="Times New Roman" w:hAnsi="Times New Roman"/>
          <w:b/>
        </w:rPr>
        <w:t xml:space="preserve"> - § 43 ods. 3 písm. b)</w:t>
      </w:r>
    </w:p>
    <w:p w:rsidR="00354B6C" w:rsidRPr="00443305" w:rsidP="00354B6C">
      <w:pPr>
        <w:bidi w:val="0"/>
        <w:jc w:val="both"/>
        <w:rPr>
          <w:rFonts w:ascii="Times New Roman" w:hAnsi="Times New Roman"/>
        </w:rPr>
      </w:pPr>
      <w:r w:rsidRPr="000862AD">
        <w:rPr>
          <w:rFonts w:ascii="Times New Roman" w:hAnsi="Times New Roman"/>
        </w:rPr>
        <w:t>Navrhuje sa spresnenie v nadväznosti na zákon č. 594/2003 Z. z. o kolektívnom investovaní a o zmene a doplnení niektorých zákonov v znení neskorších predpisov</w:t>
      </w:r>
      <w:r>
        <w:rPr>
          <w:rFonts w:ascii="Times New Roman" w:hAnsi="Times New Roman"/>
        </w:rPr>
        <w:t xml:space="preserve">. </w:t>
      </w:r>
      <w:r w:rsidRPr="00443305">
        <w:rPr>
          <w:rFonts w:ascii="Times New Roman" w:hAnsi="Times New Roman"/>
          <w:iCs/>
        </w:rPr>
        <w:t>Z príjmov plynúcich z výnosov podielových listov, depozitných certifikátov a pod. podľa § 43 ods. 3 písm. b) sa daň vyberá zrážkou. Daň sa nevyberá v prípade, ak plynú podielovým fondom alebo doplnkovým dôchodkovým fondom. Daň zrážkou sa nevyberie ani prípade, ak tieto príjmy budú plynúť dôchodkovým fondom spravovaným podľa § 47 ods. 1 a § 72 zákona č. 43/2004 Z. z. o dôchodkovom sporení a o zmene a doplnení niektorých zákonov v znení neskorších predpisov.</w:t>
      </w:r>
      <w:r w:rsidRPr="00443305">
        <w:rPr>
          <w:rFonts w:ascii="Times New Roman" w:hAnsi="Times New Roman"/>
        </w:rPr>
        <w:t xml:space="preserve"> Dôchodcovské správcovské spoločnosti tak budú viac motivované ukladať peniaze sporiteľov do slovenských bánk</w:t>
      </w:r>
      <w:r>
        <w:rPr>
          <w:rFonts w:ascii="Times New Roman" w:hAnsi="Times New Roman"/>
        </w:rPr>
        <w:t>,</w:t>
      </w:r>
      <w:r w:rsidRPr="00443305">
        <w:rPr>
          <w:rFonts w:ascii="Times New Roman" w:hAnsi="Times New Roman"/>
        </w:rPr>
        <w:t xml:space="preserve"> ako investovať peniaze v zahraničí. </w:t>
      </w:r>
    </w:p>
    <w:p w:rsidR="00354B6C" w:rsidP="00354B6C">
      <w:pPr>
        <w:bidi w:val="0"/>
        <w:jc w:val="both"/>
        <w:rPr>
          <w:rFonts w:ascii="Times New Roman" w:hAnsi="Times New Roman"/>
          <w:b/>
        </w:rPr>
      </w:pPr>
      <w:r w:rsidRPr="00FF5129">
        <w:rPr>
          <w:rFonts w:ascii="Times New Roman" w:hAnsi="Times New Roman"/>
        </w:rPr>
        <w:t xml:space="preserve"> </w:t>
      </w:r>
    </w:p>
    <w:p w:rsidR="00354B6C" w:rsidRPr="00443305" w:rsidP="00354B6C">
      <w:pPr>
        <w:bidi w:val="0"/>
        <w:jc w:val="both"/>
        <w:rPr>
          <w:rFonts w:ascii="Times New Roman" w:hAnsi="Times New Roman"/>
          <w:b/>
        </w:rPr>
      </w:pPr>
      <w:r w:rsidRPr="00443305">
        <w:rPr>
          <w:rFonts w:ascii="Times New Roman" w:hAnsi="Times New Roman"/>
          <w:b/>
        </w:rPr>
        <w:t>K bodu 8</w:t>
      </w:r>
      <w:r w:rsidR="00D13F9C">
        <w:rPr>
          <w:rFonts w:ascii="Times New Roman" w:hAnsi="Times New Roman"/>
          <w:b/>
        </w:rPr>
        <w:t>4</w:t>
      </w:r>
      <w:r w:rsidRPr="00443305">
        <w:rPr>
          <w:rFonts w:ascii="Times New Roman" w:hAnsi="Times New Roman"/>
          <w:b/>
        </w:rPr>
        <w:t xml:space="preserve"> - § 43 ods. 3 písm. g)</w:t>
      </w:r>
    </w:p>
    <w:p w:rsidR="00354B6C" w:rsidRPr="00443305" w:rsidP="00354B6C">
      <w:pPr>
        <w:bidi w:val="0"/>
        <w:jc w:val="both"/>
        <w:rPr>
          <w:rFonts w:ascii="Times New Roman" w:hAnsi="Times New Roman"/>
          <w:iCs/>
        </w:rPr>
      </w:pPr>
      <w:r w:rsidRPr="00443305">
        <w:rPr>
          <w:rFonts w:ascii="Times New Roman" w:hAnsi="Times New Roman"/>
          <w:iCs/>
        </w:rPr>
        <w:t xml:space="preserve">V nadväznosti na rozšírenie príjmov fondu prevádzky, údržby a opráv podľa zákona NR SR </w:t>
      </w:r>
      <w:r>
        <w:rPr>
          <w:rFonts w:ascii="Times New Roman" w:hAnsi="Times New Roman"/>
          <w:iCs/>
        </w:rPr>
        <w:t xml:space="preserve">  </w:t>
      </w:r>
      <w:r w:rsidRPr="00443305">
        <w:rPr>
          <w:rFonts w:ascii="Times New Roman" w:hAnsi="Times New Roman"/>
          <w:iCs/>
        </w:rPr>
        <w:t>č. 182/1993 Z. z. o vlastníctve bytov a nebytových priestorov sa upravilo aj ustanovenie § 43 ods. 3 písm. g). Vybraním dane zrážkou z týchto príjmov pripísaných fondu prevádzky, údržby a opráv sa považuje daňová povinnosť daňovníka za splnenú. Ak spoločenstvo vlastníkov bytov a nebytových priestorov predáva spoločné nebytové priestory, spoločné časti domu alebo spoločné zariadenia domu, môžu sa vlastníci bytov a nebytových priestorov dohodnúť, že si tento príjem z ich predaja rozdelia</w:t>
      </w:r>
      <w:r>
        <w:rPr>
          <w:rFonts w:ascii="Times New Roman" w:hAnsi="Times New Roman"/>
          <w:iCs/>
        </w:rPr>
        <w:t xml:space="preserve"> </w:t>
      </w:r>
      <w:r w:rsidRPr="00443305">
        <w:rPr>
          <w:rFonts w:ascii="Times New Roman" w:hAnsi="Times New Roman"/>
          <w:iCs/>
        </w:rPr>
        <w:t xml:space="preserve">každý vlastník </w:t>
      </w:r>
      <w:r w:rsidRPr="007A03C8">
        <w:rPr>
          <w:rFonts w:ascii="Times New Roman" w:hAnsi="Times New Roman"/>
          <w:iCs/>
        </w:rPr>
        <w:t xml:space="preserve">zdaní </w:t>
      </w:r>
      <w:r w:rsidRPr="00443305">
        <w:rPr>
          <w:rFonts w:ascii="Times New Roman" w:hAnsi="Times New Roman"/>
          <w:iCs/>
        </w:rPr>
        <w:t>svoju časť príjmu podaním daňového priznania. Ak sa však vlastníci dohodnú, že príjem z predaja týchto spoločných nebytových priestorov, častí domu alebo spoločných zariadení domu sa zahrnie do príjmov fondu prevádzky, údržby a opráv, zdaní spoločenstvo hrubý príjem, bez možnosti uplatnenia výdavku alebo oslobodenia na tento príjem, daňou vyberanou zrážkou. Vybraním dane zrážkou sa považuje daňová povinnosť za splnenú.</w:t>
      </w:r>
    </w:p>
    <w:p w:rsidR="00354B6C" w:rsidRPr="004E6222"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85</w:t>
      </w:r>
      <w:r w:rsidRPr="000862AD">
        <w:rPr>
          <w:rFonts w:ascii="Times New Roman" w:hAnsi="Times New Roman"/>
          <w:b/>
        </w:rPr>
        <w:t xml:space="preserve"> - § 43 ods. 3 písm. i)</w:t>
      </w:r>
    </w:p>
    <w:p w:rsidR="00354B6C" w:rsidRPr="002E0A87" w:rsidP="00354B6C">
      <w:pPr>
        <w:bidi w:val="0"/>
        <w:jc w:val="both"/>
        <w:rPr>
          <w:rFonts w:ascii="Times New Roman" w:hAnsi="Times New Roman"/>
          <w:iCs/>
        </w:rPr>
      </w:pPr>
      <w:r w:rsidRPr="002E0A87">
        <w:rPr>
          <w:rFonts w:ascii="Times New Roman" w:hAnsi="Times New Roman"/>
        </w:rPr>
        <w:t xml:space="preserve">Úprava je vykonaná v nadväznosti na zmenu § 43 ods. 6. </w:t>
      </w:r>
      <w:r w:rsidRPr="002E0A87">
        <w:rPr>
          <w:rFonts w:ascii="Times New Roman" w:hAnsi="Times New Roman"/>
          <w:iCs/>
        </w:rPr>
        <w:t>Z výnosov z dlhopisov a pokladničných poukážok sa daň zrážkou nevyberá len v prípade, ak tieto výnosy plynú právnickej osobe (nerezidentovi), ktorá na území Slovenskej republiky podniká prostredníctvom stálej prevádzkarne a ak plynú právnickej osobe (rezidentovi). V prípade právnických osôb (rezidentov), ktorými sú subjekty nezaložené alebo nezriadené na podnikanie, Fond národného majetku Slovenskej republiky a Národná banka Slovenska sa výnosy z dlhopisov naďalej zdaňujú daňou vyberanou zrážkou.</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86</w:t>
      </w:r>
      <w:r>
        <w:rPr>
          <w:rFonts w:ascii="Times New Roman" w:hAnsi="Times New Roman"/>
          <w:b/>
        </w:rPr>
        <w:t xml:space="preserve"> </w:t>
      </w:r>
      <w:r w:rsidRPr="000862AD">
        <w:rPr>
          <w:rFonts w:ascii="Times New Roman" w:hAnsi="Times New Roman"/>
          <w:b/>
        </w:rPr>
        <w:t>- § 43 ods. 3 písm. j)</w:t>
      </w:r>
      <w:r>
        <w:rPr>
          <w:rFonts w:ascii="Times New Roman" w:hAnsi="Times New Roman"/>
          <w:b/>
        </w:rPr>
        <w:t xml:space="preserve"> a k)</w:t>
      </w:r>
    </w:p>
    <w:p w:rsidR="00354B6C" w:rsidP="00354B6C">
      <w:pPr>
        <w:bidi w:val="0"/>
        <w:jc w:val="both"/>
        <w:rPr>
          <w:rFonts w:ascii="Times New Roman" w:hAnsi="Times New Roman"/>
        </w:rPr>
      </w:pPr>
      <w:r w:rsidRPr="000862AD">
        <w:rPr>
          <w:rFonts w:ascii="Times New Roman" w:hAnsi="Times New Roman"/>
        </w:rPr>
        <w:t xml:space="preserve">Príjmy zo závislej činnosti sa budú zdaňovať preddavkovým spôsobom z dôvodu, aby nebola </w:t>
      </w:r>
      <w:r w:rsidRPr="007A03C8">
        <w:rPr>
          <w:rFonts w:ascii="Times New Roman" w:hAnsi="Times New Roman"/>
        </w:rPr>
        <w:t>pri uplatnení nezdaniteľných častí základu dane</w:t>
      </w:r>
      <w:r w:rsidRPr="000862AD">
        <w:rPr>
          <w:rFonts w:ascii="Times New Roman" w:hAnsi="Times New Roman"/>
        </w:rPr>
        <w:t xml:space="preserve"> znevýhodnená nízkopríjmová skupina zamestnancov, ktorí poberajú príjmy len zo závislej činnosti. </w:t>
      </w:r>
      <w:r>
        <w:rPr>
          <w:rFonts w:ascii="Times New Roman" w:hAnsi="Times New Roman"/>
        </w:rPr>
        <w:t>Vypustenie  písm. k) súvisí s úpravou v § 43 ods. 2.</w:t>
      </w:r>
    </w:p>
    <w:p w:rsidR="006651EE" w:rsidRPr="000862AD" w:rsidP="00354B6C">
      <w:pPr>
        <w:bidi w:val="0"/>
        <w:jc w:val="both"/>
        <w:rPr>
          <w:rFonts w:ascii="Times New Roman" w:hAnsi="Times New Roman"/>
        </w:rPr>
      </w:pP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87</w:t>
      </w:r>
      <w:r w:rsidRPr="000862AD">
        <w:rPr>
          <w:rFonts w:ascii="Times New Roman" w:hAnsi="Times New Roman"/>
          <w:b/>
        </w:rPr>
        <w:t xml:space="preserve"> - § 43 ods. 4</w:t>
      </w:r>
    </w:p>
    <w:p w:rsidR="00354B6C" w:rsidRPr="000862AD" w:rsidP="00354B6C">
      <w:pPr>
        <w:bidi w:val="0"/>
        <w:jc w:val="both"/>
        <w:rPr>
          <w:rFonts w:ascii="Times New Roman" w:hAnsi="Times New Roman"/>
        </w:rPr>
      </w:pPr>
      <w:r w:rsidRPr="000862AD">
        <w:rPr>
          <w:rFonts w:ascii="Times New Roman" w:hAnsi="Times New Roman"/>
        </w:rPr>
        <w:t xml:space="preserve">Úprava je vykonaná v nadväznosti na spresnenie § 43 ods. 3 písm. b) - doplnenie príjmu z vyplatenia (vrátenia) podielových listov. </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88</w:t>
      </w:r>
      <w:r w:rsidRPr="000862AD">
        <w:rPr>
          <w:rFonts w:ascii="Times New Roman" w:hAnsi="Times New Roman"/>
          <w:b/>
        </w:rPr>
        <w:t xml:space="preserve"> - § 43 ods. 5 písm. c)</w:t>
      </w:r>
    </w:p>
    <w:p w:rsidR="00354B6C" w:rsidRPr="000862AD" w:rsidP="00354B6C">
      <w:pPr>
        <w:bidi w:val="0"/>
        <w:jc w:val="both"/>
        <w:rPr>
          <w:rFonts w:ascii="Times New Roman" w:hAnsi="Times New Roman"/>
        </w:rPr>
      </w:pPr>
      <w:r w:rsidRPr="000862AD">
        <w:rPr>
          <w:rFonts w:ascii="Times New Roman" w:hAnsi="Times New Roman"/>
        </w:rPr>
        <w:t>Úprava je vykonaná v súvislosti s vypustením § 43 ods. 3 písm. j), pretože príjmy podľa § 5 ods. 1 písm. a) až g), ktoré nepresiahli sumu 165,97 eura v úhrne za kalendárny mesiac, sa budú zdaňovať preddavkovým spôsobom.</w:t>
      </w:r>
    </w:p>
    <w:p w:rsidR="00354B6C" w:rsidRPr="000862AD"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89</w:t>
      </w:r>
      <w:r w:rsidRPr="000862AD">
        <w:rPr>
          <w:rFonts w:ascii="Times New Roman" w:hAnsi="Times New Roman"/>
          <w:b/>
        </w:rPr>
        <w:t xml:space="preserve"> - § 43 ods. 5 novooznačené písm. c)</w:t>
      </w:r>
    </w:p>
    <w:p w:rsidR="00354B6C" w:rsidRPr="009848C2" w:rsidP="00354B6C">
      <w:pPr>
        <w:bidi w:val="0"/>
        <w:jc w:val="both"/>
        <w:rPr>
          <w:rFonts w:ascii="Times New Roman" w:hAnsi="Times New Roman"/>
        </w:rPr>
      </w:pPr>
      <w:r w:rsidRPr="009848C2">
        <w:rPr>
          <w:rFonts w:ascii="Times New Roman" w:hAnsi="Times New Roman"/>
        </w:rPr>
        <w:t>Na základe vykonanej úpravy pri</w:t>
      </w:r>
      <w:r>
        <w:rPr>
          <w:rFonts w:ascii="Times New Roman" w:hAnsi="Times New Roman"/>
        </w:rPr>
        <w:t xml:space="preserve"> zdaňovaní príjmu daňou vyberanou zrážkou sa</w:t>
      </w:r>
      <w:r w:rsidRPr="009848C2">
        <w:rPr>
          <w:rFonts w:ascii="Times New Roman" w:hAnsi="Times New Roman"/>
        </w:rPr>
        <w:t xml:space="preserve"> príjem podľa § 16 ods. 1 písm. d) zníži o výdavok vo výške percenta stanoveného v § 6 ods. 10. </w:t>
      </w:r>
    </w:p>
    <w:p w:rsidR="00354B6C" w:rsidP="00354B6C">
      <w:pPr>
        <w:bidi w:val="0"/>
        <w:jc w:val="both"/>
        <w:rPr>
          <w:rFonts w:ascii="Times New Roman" w:hAnsi="Times New Roman"/>
          <w:highlight w:val="red"/>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90</w:t>
      </w:r>
      <w:r w:rsidRPr="000862AD">
        <w:rPr>
          <w:rFonts w:ascii="Times New Roman" w:hAnsi="Times New Roman"/>
          <w:b/>
        </w:rPr>
        <w:t xml:space="preserve"> - § 43 ods. 6 a 7</w:t>
      </w:r>
    </w:p>
    <w:p w:rsidR="00354B6C" w:rsidRPr="00354B6C" w:rsidP="00354B6C">
      <w:pPr>
        <w:bidi w:val="0"/>
        <w:jc w:val="both"/>
        <w:rPr>
          <w:rStyle w:val="PlaceholderText"/>
          <w:rFonts w:eastAsiaTheme="majorEastAsia" w:hint="default"/>
          <w:color w:val="auto"/>
        </w:rPr>
      </w:pPr>
      <w:r w:rsidRPr="00354B6C">
        <w:rPr>
          <w:rStyle w:val="PlaceholderText"/>
          <w:rFonts w:eastAsiaTheme="majorEastAsia" w:hint="default"/>
          <w:color w:val="auto"/>
        </w:rPr>
        <w:t>Odsek 6 - Zmena je vykonaná</w:t>
      </w:r>
      <w:r w:rsidRPr="00354B6C">
        <w:rPr>
          <w:rStyle w:val="PlaceholderText"/>
          <w:rFonts w:eastAsiaTheme="majorEastAsia" w:hint="default"/>
          <w:color w:val="auto"/>
        </w:rPr>
        <w:t xml:space="preserve"> v </w:t>
      </w:r>
      <w:r w:rsidRPr="00354B6C">
        <w:rPr>
          <w:rStyle w:val="PlaceholderText"/>
          <w:rFonts w:eastAsiaTheme="majorEastAsia" w:hint="default"/>
          <w:color w:val="auto"/>
        </w:rPr>
        <w:t>nadvä</w:t>
      </w:r>
      <w:r w:rsidRPr="00354B6C">
        <w:rPr>
          <w:rStyle w:val="PlaceholderText"/>
          <w:rFonts w:eastAsiaTheme="majorEastAsia" w:hint="default"/>
          <w:color w:val="auto"/>
        </w:rPr>
        <w:t>znosti na t</w:t>
      </w:r>
      <w:r w:rsidRPr="00354B6C">
        <w:rPr>
          <w:rStyle w:val="PlaceholderText"/>
          <w:rFonts w:eastAsiaTheme="majorEastAsia" w:hint="default"/>
          <w:color w:val="auto"/>
        </w:rPr>
        <w:t>o, ž</w:t>
      </w:r>
      <w:r w:rsidRPr="00354B6C">
        <w:rPr>
          <w:rStyle w:val="PlaceholderText"/>
          <w:rFonts w:eastAsiaTheme="majorEastAsia" w:hint="default"/>
          <w:color w:val="auto"/>
        </w:rPr>
        <w:t>e u </w:t>
      </w:r>
      <w:r w:rsidRPr="00354B6C">
        <w:rPr>
          <w:rStyle w:val="PlaceholderText"/>
          <w:rFonts w:eastAsiaTheme="majorEastAsia" w:hint="default"/>
          <w:color w:val="auto"/>
        </w:rPr>
        <w:t>prí</w:t>
      </w:r>
      <w:r w:rsidRPr="00354B6C">
        <w:rPr>
          <w:rStyle w:val="PlaceholderText"/>
          <w:rFonts w:eastAsiaTheme="majorEastAsia" w:hint="default"/>
          <w:color w:val="auto"/>
        </w:rPr>
        <w:t>jmov, z </w:t>
      </w:r>
      <w:r w:rsidRPr="00354B6C">
        <w:rPr>
          <w:rStyle w:val="PlaceholderText"/>
          <w:rFonts w:eastAsiaTheme="majorEastAsia" w:hint="default"/>
          <w:color w:val="auto"/>
        </w:rPr>
        <w:t>ktorý</w:t>
      </w:r>
      <w:r w:rsidRPr="00354B6C">
        <w:rPr>
          <w:rStyle w:val="PlaceholderText"/>
          <w:rFonts w:eastAsiaTheme="majorEastAsia" w:hint="default"/>
          <w:color w:val="auto"/>
        </w:rPr>
        <w:t>ch sa daň</w:t>
      </w:r>
      <w:r w:rsidRPr="00354B6C">
        <w:rPr>
          <w:rStyle w:val="PlaceholderText"/>
          <w:rFonts w:eastAsiaTheme="majorEastAsia" w:hint="default"/>
          <w:color w:val="auto"/>
        </w:rPr>
        <w:t xml:space="preserve"> vyberá</w:t>
      </w:r>
      <w:r w:rsidRPr="00354B6C">
        <w:rPr>
          <w:rStyle w:val="PlaceholderText"/>
          <w:rFonts w:eastAsiaTheme="majorEastAsia" w:hint="default"/>
          <w:color w:val="auto"/>
        </w:rPr>
        <w:t xml:space="preserve"> zráž</w:t>
      </w:r>
      <w:r w:rsidRPr="00354B6C">
        <w:rPr>
          <w:rStyle w:val="PlaceholderText"/>
          <w:rFonts w:eastAsiaTheme="majorEastAsia" w:hint="default"/>
          <w:color w:val="auto"/>
        </w:rPr>
        <w:t>kou, sa vybraní</w:t>
      </w:r>
      <w:r w:rsidRPr="00354B6C">
        <w:rPr>
          <w:rStyle w:val="PlaceholderText"/>
          <w:rFonts w:eastAsiaTheme="majorEastAsia" w:hint="default"/>
          <w:color w:val="auto"/>
        </w:rPr>
        <w:t>m dane zráž</w:t>
      </w:r>
      <w:r w:rsidRPr="00354B6C">
        <w:rPr>
          <w:rStyle w:val="PlaceholderText"/>
          <w:rFonts w:eastAsiaTheme="majorEastAsia" w:hint="default"/>
          <w:color w:val="auto"/>
        </w:rPr>
        <w:t>kou považ</w:t>
      </w:r>
      <w:r w:rsidRPr="00354B6C">
        <w:rPr>
          <w:rStyle w:val="PlaceholderText"/>
          <w:rFonts w:eastAsiaTheme="majorEastAsia" w:hint="default"/>
          <w:color w:val="auto"/>
        </w:rPr>
        <w:t>uje daň</w:t>
      </w:r>
      <w:r w:rsidRPr="00354B6C">
        <w:rPr>
          <w:rStyle w:val="PlaceholderText"/>
          <w:rFonts w:eastAsiaTheme="majorEastAsia" w:hint="default"/>
          <w:color w:val="auto"/>
        </w:rPr>
        <w:t>ová</w:t>
      </w:r>
      <w:r w:rsidRPr="00354B6C">
        <w:rPr>
          <w:rStyle w:val="PlaceholderText"/>
          <w:rFonts w:eastAsiaTheme="majorEastAsia" w:hint="default"/>
          <w:color w:val="auto"/>
        </w:rPr>
        <w:t xml:space="preserve"> povinnosť</w:t>
      </w:r>
      <w:r w:rsidRPr="00354B6C">
        <w:rPr>
          <w:rStyle w:val="PlaceholderText"/>
          <w:rFonts w:eastAsiaTheme="majorEastAsia" w:hint="default"/>
          <w:color w:val="auto"/>
        </w:rPr>
        <w:t xml:space="preserve"> za splnenú</w:t>
      </w:r>
      <w:r w:rsidRPr="00354B6C">
        <w:rPr>
          <w:rStyle w:val="PlaceholderText"/>
          <w:rFonts w:eastAsiaTheme="majorEastAsia" w:hint="default"/>
          <w:color w:val="auto"/>
        </w:rPr>
        <w:t xml:space="preserve"> a </w:t>
      </w:r>
      <w:r w:rsidRPr="00354B6C">
        <w:rPr>
          <w:rStyle w:val="PlaceholderText"/>
          <w:rFonts w:eastAsiaTheme="majorEastAsia" w:hint="default"/>
          <w:color w:val="auto"/>
        </w:rPr>
        <w:t>daň</w:t>
      </w:r>
      <w:r w:rsidRPr="00354B6C">
        <w:rPr>
          <w:rStyle w:val="PlaceholderText"/>
          <w:rFonts w:eastAsiaTheme="majorEastAsia" w:hint="default"/>
          <w:color w:val="auto"/>
        </w:rPr>
        <w:t>ovní</w:t>
      </w:r>
      <w:r w:rsidRPr="00354B6C">
        <w:rPr>
          <w:rStyle w:val="PlaceholderText"/>
          <w:rFonts w:eastAsiaTheme="majorEastAsia" w:hint="default"/>
          <w:color w:val="auto"/>
        </w:rPr>
        <w:t>k si tú</w:t>
      </w:r>
      <w:r w:rsidRPr="00354B6C">
        <w:rPr>
          <w:rStyle w:val="PlaceholderText"/>
          <w:rFonts w:eastAsiaTheme="majorEastAsia" w:hint="default"/>
          <w:color w:val="auto"/>
        </w:rPr>
        <w:t>to daň</w:t>
      </w:r>
      <w:r w:rsidRPr="00354B6C">
        <w:rPr>
          <w:rStyle w:val="PlaceholderText"/>
          <w:rFonts w:eastAsiaTheme="majorEastAsia" w:hint="default"/>
          <w:color w:val="auto"/>
        </w:rPr>
        <w:t xml:space="preserve"> nemôž</w:t>
      </w:r>
      <w:r w:rsidRPr="00354B6C">
        <w:rPr>
          <w:rStyle w:val="PlaceholderText"/>
          <w:rFonts w:eastAsiaTheme="majorEastAsia" w:hint="default"/>
          <w:color w:val="auto"/>
        </w:rPr>
        <w:t>e uplatniť</w:t>
      </w:r>
      <w:r w:rsidRPr="00354B6C">
        <w:rPr>
          <w:rStyle w:val="PlaceholderText"/>
          <w:rFonts w:eastAsiaTheme="majorEastAsia" w:hint="default"/>
          <w:color w:val="auto"/>
        </w:rPr>
        <w:t xml:space="preserve"> ako preddavok na daň</w:t>
      </w:r>
      <w:r w:rsidRPr="00354B6C">
        <w:rPr>
          <w:rStyle w:val="PlaceholderText"/>
          <w:rFonts w:eastAsiaTheme="majorEastAsia" w:hint="default"/>
          <w:color w:val="auto"/>
        </w:rPr>
        <w:t>. Vý</w:t>
      </w:r>
      <w:r w:rsidRPr="00354B6C">
        <w:rPr>
          <w:rStyle w:val="PlaceholderText"/>
          <w:rFonts w:eastAsiaTheme="majorEastAsia" w:hint="default"/>
          <w:color w:val="auto"/>
        </w:rPr>
        <w:t>nimku tvoria prí</w:t>
      </w:r>
      <w:r w:rsidRPr="00354B6C">
        <w:rPr>
          <w:rStyle w:val="PlaceholderText"/>
          <w:rFonts w:eastAsiaTheme="majorEastAsia" w:hint="default"/>
          <w:color w:val="auto"/>
        </w:rPr>
        <w:t>jmy podľ</w:t>
      </w:r>
      <w:r w:rsidRPr="00354B6C">
        <w:rPr>
          <w:rStyle w:val="PlaceholderText"/>
          <w:rFonts w:eastAsiaTheme="majorEastAsia" w:hint="default"/>
          <w:color w:val="auto"/>
        </w:rPr>
        <w:t>a §</w:t>
      </w:r>
      <w:r w:rsidRPr="00354B6C">
        <w:rPr>
          <w:rStyle w:val="PlaceholderText"/>
          <w:rFonts w:eastAsiaTheme="majorEastAsia" w:hint="default"/>
          <w:color w:val="auto"/>
        </w:rPr>
        <w:t xml:space="preserve"> 16 ods. 1 pí</w:t>
      </w:r>
      <w:r w:rsidRPr="00354B6C">
        <w:rPr>
          <w:rStyle w:val="PlaceholderText"/>
          <w:rFonts w:eastAsiaTheme="majorEastAsia" w:hint="default"/>
          <w:color w:val="auto"/>
        </w:rPr>
        <w:t>sm. d) daň</w:t>
      </w:r>
      <w:r w:rsidRPr="00354B6C">
        <w:rPr>
          <w:rStyle w:val="PlaceholderText"/>
          <w:rFonts w:eastAsiaTheme="majorEastAsia" w:hint="default"/>
          <w:color w:val="auto"/>
        </w:rPr>
        <w:t>ovní</w:t>
      </w:r>
      <w:r w:rsidRPr="00354B6C">
        <w:rPr>
          <w:rStyle w:val="PlaceholderText"/>
          <w:rFonts w:eastAsiaTheme="majorEastAsia" w:hint="default"/>
          <w:color w:val="auto"/>
        </w:rPr>
        <w:t>kov s obmedzenou daň</w:t>
      </w:r>
      <w:r w:rsidRPr="00354B6C">
        <w:rPr>
          <w:rStyle w:val="PlaceholderText"/>
          <w:rFonts w:eastAsiaTheme="majorEastAsia" w:hint="default"/>
          <w:color w:val="auto"/>
        </w:rPr>
        <w:t>ovou p</w:t>
      </w:r>
      <w:r w:rsidRPr="00354B6C">
        <w:rPr>
          <w:rStyle w:val="PlaceholderText"/>
          <w:rFonts w:eastAsiaTheme="majorEastAsia" w:hint="default"/>
          <w:color w:val="auto"/>
        </w:rPr>
        <w:t>o</w:t>
      </w:r>
      <w:r w:rsidRPr="00354B6C">
        <w:rPr>
          <w:rStyle w:val="PlaceholderText"/>
          <w:rFonts w:eastAsiaTheme="majorEastAsia" w:hint="default"/>
          <w:color w:val="auto"/>
        </w:rPr>
        <w:t>vinnosť</w:t>
      </w:r>
      <w:r w:rsidRPr="00354B6C">
        <w:rPr>
          <w:rStyle w:val="PlaceholderText"/>
          <w:rFonts w:eastAsiaTheme="majorEastAsia" w:hint="default"/>
          <w:color w:val="auto"/>
        </w:rPr>
        <w:t>ou (č</w:t>
      </w:r>
      <w:r w:rsidRPr="00354B6C">
        <w:rPr>
          <w:rStyle w:val="PlaceholderText"/>
          <w:rFonts w:eastAsiaTheme="majorEastAsia" w:hint="default"/>
          <w:color w:val="auto"/>
        </w:rPr>
        <w:t>innosť</w:t>
      </w:r>
      <w:r w:rsidRPr="00354B6C">
        <w:rPr>
          <w:rStyle w:val="PlaceholderText"/>
          <w:rFonts w:eastAsiaTheme="majorEastAsia" w:hint="default"/>
          <w:color w:val="auto"/>
        </w:rPr>
        <w:t xml:space="preserve"> š</w:t>
      </w:r>
      <w:r w:rsidRPr="00354B6C">
        <w:rPr>
          <w:rStyle w:val="PlaceholderText"/>
          <w:rFonts w:eastAsiaTheme="majorEastAsia" w:hint="default"/>
          <w:color w:val="auto"/>
        </w:rPr>
        <w:t>portovcov a umelcov), vybrané</w:t>
      </w:r>
      <w:r w:rsidRPr="00354B6C">
        <w:rPr>
          <w:rStyle w:val="PlaceholderText"/>
          <w:rFonts w:eastAsiaTheme="majorEastAsia" w:hint="default"/>
          <w:color w:val="auto"/>
        </w:rPr>
        <w:t xml:space="preserve"> druhy prí</w:t>
      </w:r>
      <w:r w:rsidRPr="00354B6C">
        <w:rPr>
          <w:rStyle w:val="PlaceholderText"/>
          <w:rFonts w:eastAsiaTheme="majorEastAsia" w:hint="default"/>
          <w:color w:val="auto"/>
        </w:rPr>
        <w:t>jmov daň</w:t>
      </w:r>
      <w:r w:rsidRPr="00354B6C">
        <w:rPr>
          <w:rStyle w:val="PlaceholderText"/>
          <w:rFonts w:eastAsiaTheme="majorEastAsia" w:hint="default"/>
          <w:color w:val="auto"/>
        </w:rPr>
        <w:t>ovní</w:t>
      </w:r>
      <w:r w:rsidRPr="00354B6C">
        <w:rPr>
          <w:rStyle w:val="PlaceholderText"/>
          <w:rFonts w:eastAsiaTheme="majorEastAsia" w:hint="default"/>
          <w:color w:val="auto"/>
        </w:rPr>
        <w:t>kov s obmedzenou daň</w:t>
      </w:r>
      <w:r w:rsidRPr="00354B6C">
        <w:rPr>
          <w:rStyle w:val="PlaceholderText"/>
          <w:rFonts w:eastAsiaTheme="majorEastAsia" w:hint="default"/>
          <w:color w:val="auto"/>
        </w:rPr>
        <w:t>ovou povinnosť</w:t>
      </w:r>
      <w:r w:rsidRPr="00354B6C">
        <w:rPr>
          <w:rStyle w:val="PlaceholderText"/>
          <w:rFonts w:eastAsiaTheme="majorEastAsia" w:hint="default"/>
          <w:color w:val="auto"/>
        </w:rPr>
        <w:t>ou z č</w:t>
      </w:r>
      <w:r w:rsidRPr="00354B6C">
        <w:rPr>
          <w:rStyle w:val="PlaceholderText"/>
          <w:rFonts w:eastAsiaTheme="majorEastAsia" w:hint="default"/>
          <w:color w:val="auto"/>
        </w:rPr>
        <w:t>lenský</w:t>
      </w:r>
      <w:r w:rsidRPr="00354B6C">
        <w:rPr>
          <w:rStyle w:val="PlaceholderText"/>
          <w:rFonts w:eastAsiaTheme="majorEastAsia" w:hint="default"/>
          <w:color w:val="auto"/>
        </w:rPr>
        <w:t>ch š</w:t>
      </w:r>
      <w:r w:rsidRPr="00354B6C">
        <w:rPr>
          <w:rStyle w:val="PlaceholderText"/>
          <w:rFonts w:eastAsiaTheme="majorEastAsia" w:hint="default"/>
          <w:color w:val="auto"/>
        </w:rPr>
        <w:t>tá</w:t>
      </w:r>
      <w:r w:rsidRPr="00354B6C">
        <w:rPr>
          <w:rStyle w:val="PlaceholderText"/>
          <w:rFonts w:eastAsiaTheme="majorEastAsia" w:hint="default"/>
          <w:color w:val="auto"/>
        </w:rPr>
        <w:t>tov Euró</w:t>
      </w:r>
      <w:r w:rsidRPr="00354B6C">
        <w:rPr>
          <w:rStyle w:val="PlaceholderText"/>
          <w:rFonts w:eastAsiaTheme="majorEastAsia" w:hint="default"/>
          <w:color w:val="auto"/>
        </w:rPr>
        <w:t>pskej ú</w:t>
      </w:r>
      <w:r w:rsidRPr="00354B6C">
        <w:rPr>
          <w:rStyle w:val="PlaceholderText"/>
          <w:rFonts w:eastAsiaTheme="majorEastAsia" w:hint="default"/>
          <w:color w:val="auto"/>
        </w:rPr>
        <w:t>nie alebo z </w:t>
      </w:r>
      <w:r w:rsidRPr="00354B6C">
        <w:rPr>
          <w:rStyle w:val="PlaceholderText"/>
          <w:rFonts w:eastAsiaTheme="majorEastAsia" w:hint="default"/>
          <w:color w:val="auto"/>
        </w:rPr>
        <w:t>krají</w:t>
      </w:r>
      <w:r w:rsidRPr="00354B6C">
        <w:rPr>
          <w:rStyle w:val="PlaceholderText"/>
          <w:rFonts w:eastAsiaTheme="majorEastAsia" w:hint="default"/>
          <w:color w:val="auto"/>
        </w:rPr>
        <w:t>n tvoriacich Euró</w:t>
      </w:r>
      <w:r w:rsidRPr="00354B6C">
        <w:rPr>
          <w:rStyle w:val="PlaceholderText"/>
          <w:rFonts w:eastAsiaTheme="majorEastAsia" w:hint="default"/>
          <w:color w:val="auto"/>
        </w:rPr>
        <w:t>psky hospodá</w:t>
      </w:r>
      <w:r w:rsidRPr="00354B6C">
        <w:rPr>
          <w:rStyle w:val="PlaceholderText"/>
          <w:rFonts w:eastAsiaTheme="majorEastAsia" w:hint="default"/>
          <w:color w:val="auto"/>
        </w:rPr>
        <w:t>rsky priestor, u ktorý</w:t>
      </w:r>
      <w:r w:rsidRPr="00354B6C">
        <w:rPr>
          <w:rStyle w:val="PlaceholderText"/>
          <w:rFonts w:eastAsiaTheme="majorEastAsia" w:hint="default"/>
          <w:color w:val="auto"/>
        </w:rPr>
        <w:t>ch je mož</w:t>
      </w:r>
      <w:r w:rsidRPr="00354B6C">
        <w:rPr>
          <w:rStyle w:val="PlaceholderText"/>
          <w:rFonts w:eastAsiaTheme="majorEastAsia" w:hint="default"/>
          <w:color w:val="auto"/>
        </w:rPr>
        <w:t>né</w:t>
      </w:r>
      <w:r w:rsidRPr="00354B6C">
        <w:rPr>
          <w:rStyle w:val="PlaceholderText"/>
          <w:rFonts w:eastAsiaTheme="majorEastAsia" w:hint="default"/>
          <w:color w:val="auto"/>
        </w:rPr>
        <w:t xml:space="preserve"> daň</w:t>
      </w:r>
      <w:r w:rsidRPr="00354B6C">
        <w:rPr>
          <w:rStyle w:val="PlaceholderText"/>
          <w:rFonts w:eastAsiaTheme="majorEastAsia" w:hint="default"/>
          <w:color w:val="auto"/>
        </w:rPr>
        <w:t xml:space="preserve"> vyberanú</w:t>
      </w:r>
      <w:r w:rsidRPr="00354B6C">
        <w:rPr>
          <w:rStyle w:val="PlaceholderText"/>
          <w:rFonts w:eastAsiaTheme="majorEastAsia" w:hint="default"/>
          <w:color w:val="auto"/>
        </w:rPr>
        <w:t xml:space="preserve"> zráž</w:t>
      </w:r>
      <w:r w:rsidRPr="00354B6C">
        <w:rPr>
          <w:rStyle w:val="PlaceholderText"/>
          <w:rFonts w:eastAsiaTheme="majorEastAsia" w:hint="default"/>
          <w:color w:val="auto"/>
        </w:rPr>
        <w:t>kou považ</w:t>
      </w:r>
      <w:r w:rsidRPr="00354B6C">
        <w:rPr>
          <w:rStyle w:val="PlaceholderText"/>
          <w:rFonts w:eastAsiaTheme="majorEastAsia" w:hint="default"/>
          <w:color w:val="auto"/>
        </w:rPr>
        <w:t>ovať</w:t>
      </w:r>
      <w:r w:rsidRPr="00354B6C">
        <w:rPr>
          <w:rStyle w:val="PlaceholderText"/>
          <w:rFonts w:eastAsiaTheme="majorEastAsia" w:hint="default"/>
          <w:color w:val="auto"/>
        </w:rPr>
        <w:t xml:space="preserve"> za pre</w:t>
      </w:r>
      <w:r w:rsidRPr="00354B6C">
        <w:rPr>
          <w:rStyle w:val="PlaceholderText"/>
          <w:rFonts w:eastAsiaTheme="majorEastAsia" w:hint="default"/>
          <w:color w:val="auto"/>
        </w:rPr>
        <w:t>d</w:t>
      </w:r>
      <w:r w:rsidRPr="00354B6C">
        <w:rPr>
          <w:rStyle w:val="PlaceholderText"/>
          <w:rFonts w:eastAsiaTheme="majorEastAsia" w:hint="default"/>
          <w:color w:val="auto"/>
        </w:rPr>
        <w:t>davok na daň</w:t>
      </w:r>
      <w:r w:rsidRPr="00354B6C">
        <w:rPr>
          <w:rStyle w:val="PlaceholderText"/>
          <w:rFonts w:eastAsiaTheme="majorEastAsia" w:hint="default"/>
          <w:color w:val="auto"/>
        </w:rPr>
        <w:t>. Vý</w:t>
      </w:r>
      <w:r w:rsidRPr="00354B6C">
        <w:rPr>
          <w:rStyle w:val="PlaceholderText"/>
          <w:rFonts w:eastAsiaTheme="majorEastAsia" w:hint="default"/>
          <w:color w:val="auto"/>
        </w:rPr>
        <w:t>nimkou sú</w:t>
      </w:r>
      <w:r w:rsidRPr="00354B6C">
        <w:rPr>
          <w:rStyle w:val="PlaceholderText"/>
          <w:rFonts w:eastAsiaTheme="majorEastAsia" w:hint="default"/>
          <w:color w:val="auto"/>
        </w:rPr>
        <w:t xml:space="preserve"> aj prí</w:t>
      </w:r>
      <w:r w:rsidRPr="00354B6C">
        <w:rPr>
          <w:rStyle w:val="PlaceholderText"/>
          <w:rFonts w:eastAsiaTheme="majorEastAsia" w:hint="default"/>
          <w:color w:val="auto"/>
        </w:rPr>
        <w:t>jmy z </w:t>
      </w:r>
      <w:r w:rsidRPr="00354B6C">
        <w:rPr>
          <w:rStyle w:val="PlaceholderText"/>
          <w:rFonts w:eastAsiaTheme="majorEastAsia" w:hint="default"/>
          <w:color w:val="auto"/>
        </w:rPr>
        <w:t>podielový</w:t>
      </w:r>
      <w:r w:rsidRPr="00354B6C">
        <w:rPr>
          <w:rStyle w:val="PlaceholderText"/>
          <w:rFonts w:eastAsiaTheme="majorEastAsia" w:hint="default"/>
          <w:color w:val="auto"/>
        </w:rPr>
        <w:t>ch listov dosiahnuté</w:t>
      </w:r>
      <w:r w:rsidRPr="00354B6C">
        <w:rPr>
          <w:rStyle w:val="PlaceholderText"/>
          <w:rFonts w:eastAsiaTheme="majorEastAsia" w:hint="default"/>
          <w:color w:val="auto"/>
        </w:rPr>
        <w:t xml:space="preserve"> z </w:t>
      </w:r>
      <w:r w:rsidRPr="00354B6C">
        <w:rPr>
          <w:rStyle w:val="PlaceholderText"/>
          <w:rFonts w:eastAsiaTheme="majorEastAsia" w:hint="default"/>
          <w:color w:val="auto"/>
        </w:rPr>
        <w:t>ich vyplatenia (vrá</w:t>
      </w:r>
      <w:r w:rsidRPr="00354B6C">
        <w:rPr>
          <w:rStyle w:val="PlaceholderText"/>
          <w:rFonts w:eastAsiaTheme="majorEastAsia" w:hint="default"/>
          <w:color w:val="auto"/>
        </w:rPr>
        <w:t>tenia), u </w:t>
      </w:r>
      <w:r w:rsidRPr="00354B6C">
        <w:rPr>
          <w:rStyle w:val="PlaceholderText"/>
          <w:rFonts w:eastAsiaTheme="majorEastAsia" w:hint="default"/>
          <w:color w:val="auto"/>
        </w:rPr>
        <w:t>ktorý</w:t>
      </w:r>
      <w:r w:rsidRPr="00354B6C">
        <w:rPr>
          <w:rStyle w:val="PlaceholderText"/>
          <w:rFonts w:eastAsiaTheme="majorEastAsia" w:hint="default"/>
          <w:color w:val="auto"/>
        </w:rPr>
        <w:t>ch je mož</w:t>
      </w:r>
      <w:r w:rsidRPr="00354B6C">
        <w:rPr>
          <w:rStyle w:val="PlaceholderText"/>
          <w:rFonts w:eastAsiaTheme="majorEastAsia" w:hint="default"/>
          <w:color w:val="auto"/>
        </w:rPr>
        <w:t>né</w:t>
      </w:r>
      <w:r w:rsidRPr="00354B6C">
        <w:rPr>
          <w:rStyle w:val="PlaceholderText"/>
          <w:rFonts w:eastAsiaTheme="majorEastAsia" w:hint="default"/>
          <w:color w:val="auto"/>
        </w:rPr>
        <w:t xml:space="preserve"> daň</w:t>
      </w:r>
      <w:r w:rsidRPr="00354B6C">
        <w:rPr>
          <w:rStyle w:val="PlaceholderText"/>
          <w:rFonts w:eastAsiaTheme="majorEastAsia" w:hint="default"/>
          <w:color w:val="auto"/>
        </w:rPr>
        <w:t xml:space="preserve"> vyberanú</w:t>
      </w:r>
      <w:r w:rsidRPr="00354B6C">
        <w:rPr>
          <w:rStyle w:val="PlaceholderText"/>
          <w:rFonts w:eastAsiaTheme="majorEastAsia" w:hint="default"/>
          <w:color w:val="auto"/>
        </w:rPr>
        <w:t xml:space="preserve"> zráž</w:t>
      </w:r>
      <w:r w:rsidRPr="00354B6C">
        <w:rPr>
          <w:rStyle w:val="PlaceholderText"/>
          <w:rFonts w:eastAsiaTheme="majorEastAsia" w:hint="default"/>
          <w:color w:val="auto"/>
        </w:rPr>
        <w:t>kou považ</w:t>
      </w:r>
      <w:r w:rsidRPr="00354B6C">
        <w:rPr>
          <w:rStyle w:val="PlaceholderText"/>
          <w:rFonts w:eastAsiaTheme="majorEastAsia" w:hint="default"/>
          <w:color w:val="auto"/>
        </w:rPr>
        <w:t>ovať</w:t>
      </w:r>
      <w:r w:rsidRPr="00354B6C">
        <w:rPr>
          <w:rStyle w:val="PlaceholderText"/>
          <w:rFonts w:eastAsiaTheme="majorEastAsia" w:hint="default"/>
          <w:color w:val="auto"/>
        </w:rPr>
        <w:t xml:space="preserve"> za preddavok na daň</w:t>
      </w:r>
      <w:r w:rsidRPr="00354B6C">
        <w:rPr>
          <w:rStyle w:val="PlaceholderText"/>
          <w:rFonts w:eastAsiaTheme="majorEastAsia" w:hint="default"/>
          <w:color w:val="auto"/>
        </w:rPr>
        <w:t xml:space="preserve"> len vtedy, ak tieto prí</w:t>
      </w:r>
      <w:r w:rsidRPr="00354B6C">
        <w:rPr>
          <w:rStyle w:val="PlaceholderText"/>
          <w:rFonts w:eastAsiaTheme="majorEastAsia" w:hint="default"/>
          <w:color w:val="auto"/>
        </w:rPr>
        <w:t>jmy plynú</w:t>
      </w:r>
      <w:r w:rsidRPr="00354B6C">
        <w:rPr>
          <w:rStyle w:val="PlaceholderText"/>
          <w:rFonts w:eastAsiaTheme="majorEastAsia" w:hint="default"/>
          <w:color w:val="auto"/>
        </w:rPr>
        <w:t xml:space="preserve"> fyzický</w:t>
      </w:r>
      <w:r w:rsidRPr="00354B6C">
        <w:rPr>
          <w:rStyle w:val="PlaceholderText"/>
          <w:rFonts w:eastAsiaTheme="majorEastAsia" w:hint="default"/>
          <w:color w:val="auto"/>
        </w:rPr>
        <w:t>m a prá</w:t>
      </w:r>
      <w:r w:rsidRPr="00354B6C">
        <w:rPr>
          <w:rStyle w:val="PlaceholderText"/>
          <w:rFonts w:eastAsiaTheme="majorEastAsia" w:hint="default"/>
          <w:color w:val="auto"/>
        </w:rPr>
        <w:t>vnický</w:t>
      </w:r>
      <w:r w:rsidRPr="00354B6C">
        <w:rPr>
          <w:rStyle w:val="PlaceholderText"/>
          <w:rFonts w:eastAsiaTheme="majorEastAsia" w:hint="default"/>
          <w:color w:val="auto"/>
        </w:rPr>
        <w:t>m osobá</w:t>
      </w:r>
      <w:r w:rsidRPr="00354B6C">
        <w:rPr>
          <w:rStyle w:val="PlaceholderText"/>
          <w:rFonts w:eastAsiaTheme="majorEastAsia" w:hint="default"/>
          <w:color w:val="auto"/>
        </w:rPr>
        <w:t>m s </w:t>
      </w:r>
      <w:r w:rsidRPr="00354B6C">
        <w:rPr>
          <w:rStyle w:val="PlaceholderText"/>
          <w:rFonts w:eastAsiaTheme="majorEastAsia" w:hint="default"/>
          <w:color w:val="auto"/>
        </w:rPr>
        <w:t>neobmedzenou daň</w:t>
      </w:r>
      <w:r w:rsidRPr="00354B6C">
        <w:rPr>
          <w:rStyle w:val="PlaceholderText"/>
          <w:rFonts w:eastAsiaTheme="majorEastAsia" w:hint="default"/>
          <w:color w:val="auto"/>
        </w:rPr>
        <w:t>ovou pov</w:t>
      </w:r>
      <w:r w:rsidRPr="00354B6C">
        <w:rPr>
          <w:rStyle w:val="PlaceholderText"/>
          <w:rFonts w:eastAsiaTheme="majorEastAsia" w:hint="default"/>
          <w:color w:val="auto"/>
        </w:rPr>
        <w:t>i</w:t>
      </w:r>
      <w:r w:rsidRPr="00354B6C">
        <w:rPr>
          <w:rStyle w:val="PlaceholderText"/>
          <w:rFonts w:eastAsiaTheme="majorEastAsia" w:hint="default"/>
          <w:color w:val="auto"/>
        </w:rPr>
        <w:t>nnosť</w:t>
      </w:r>
      <w:r w:rsidRPr="00354B6C">
        <w:rPr>
          <w:rStyle w:val="PlaceholderText"/>
          <w:rFonts w:eastAsiaTheme="majorEastAsia" w:hint="default"/>
          <w:color w:val="auto"/>
        </w:rPr>
        <w:t>ou na ú</w:t>
      </w:r>
      <w:r w:rsidRPr="00354B6C">
        <w:rPr>
          <w:rStyle w:val="PlaceholderText"/>
          <w:rFonts w:eastAsiaTheme="majorEastAsia" w:hint="default"/>
          <w:color w:val="auto"/>
        </w:rPr>
        <w:t>zemí</w:t>
      </w:r>
      <w:r w:rsidRPr="00354B6C">
        <w:rPr>
          <w:rStyle w:val="PlaceholderText"/>
          <w:rFonts w:eastAsiaTheme="majorEastAsia" w:hint="default"/>
          <w:color w:val="auto"/>
        </w:rPr>
        <w:t xml:space="preserve"> Slovenskej republiky a </w:t>
      </w:r>
      <w:r w:rsidRPr="00354B6C">
        <w:rPr>
          <w:rStyle w:val="PlaceholderText"/>
          <w:rFonts w:eastAsiaTheme="majorEastAsia" w:hint="default"/>
          <w:color w:val="auto"/>
        </w:rPr>
        <w:t>fyzický</w:t>
      </w:r>
      <w:r w:rsidRPr="00354B6C">
        <w:rPr>
          <w:rStyle w:val="PlaceholderText"/>
          <w:rFonts w:eastAsiaTheme="majorEastAsia" w:hint="default"/>
          <w:color w:val="auto"/>
        </w:rPr>
        <w:t>m a </w:t>
      </w:r>
      <w:r w:rsidRPr="00354B6C">
        <w:rPr>
          <w:rStyle w:val="PlaceholderText"/>
          <w:rFonts w:eastAsiaTheme="majorEastAsia" w:hint="default"/>
          <w:color w:val="auto"/>
        </w:rPr>
        <w:t>prá</w:t>
      </w:r>
      <w:r w:rsidRPr="00354B6C">
        <w:rPr>
          <w:rStyle w:val="PlaceholderText"/>
          <w:rFonts w:eastAsiaTheme="majorEastAsia" w:hint="default"/>
          <w:color w:val="auto"/>
        </w:rPr>
        <w:t>vnický</w:t>
      </w:r>
      <w:r w:rsidRPr="00354B6C">
        <w:rPr>
          <w:rStyle w:val="PlaceholderText"/>
          <w:rFonts w:eastAsiaTheme="majorEastAsia" w:hint="default"/>
          <w:color w:val="auto"/>
        </w:rPr>
        <w:t>m osobá</w:t>
      </w:r>
      <w:r w:rsidRPr="00354B6C">
        <w:rPr>
          <w:rStyle w:val="PlaceholderText"/>
          <w:rFonts w:eastAsiaTheme="majorEastAsia" w:hint="default"/>
          <w:color w:val="auto"/>
        </w:rPr>
        <w:t>m s </w:t>
      </w:r>
      <w:r w:rsidRPr="00354B6C">
        <w:rPr>
          <w:rStyle w:val="PlaceholderText"/>
          <w:rFonts w:eastAsiaTheme="majorEastAsia" w:hint="default"/>
          <w:color w:val="auto"/>
        </w:rPr>
        <w:t>neobmedzenou daň</w:t>
      </w:r>
      <w:r w:rsidRPr="00354B6C">
        <w:rPr>
          <w:rStyle w:val="PlaceholderText"/>
          <w:rFonts w:eastAsiaTheme="majorEastAsia" w:hint="default"/>
          <w:color w:val="auto"/>
        </w:rPr>
        <w:t>ovou povinnosť</w:t>
      </w:r>
      <w:r w:rsidRPr="00354B6C">
        <w:rPr>
          <w:rStyle w:val="PlaceholderText"/>
          <w:rFonts w:eastAsiaTheme="majorEastAsia" w:hint="default"/>
          <w:color w:val="auto"/>
        </w:rPr>
        <w:t>ou na ú</w:t>
      </w:r>
      <w:r w:rsidRPr="00354B6C">
        <w:rPr>
          <w:rStyle w:val="PlaceholderText"/>
          <w:rFonts w:eastAsiaTheme="majorEastAsia" w:hint="default"/>
          <w:color w:val="auto"/>
        </w:rPr>
        <w:t>zemí</w:t>
      </w:r>
      <w:r w:rsidRPr="00354B6C">
        <w:rPr>
          <w:rStyle w:val="PlaceholderText"/>
          <w:rFonts w:eastAsiaTheme="majorEastAsia" w:hint="default"/>
          <w:color w:val="auto"/>
        </w:rPr>
        <w:t xml:space="preserve"> iný</w:t>
      </w:r>
      <w:r w:rsidRPr="00354B6C">
        <w:rPr>
          <w:rStyle w:val="PlaceholderText"/>
          <w:rFonts w:eastAsiaTheme="majorEastAsia" w:hint="default"/>
          <w:color w:val="auto"/>
        </w:rPr>
        <w:t>ch č</w:t>
      </w:r>
      <w:r w:rsidRPr="00354B6C">
        <w:rPr>
          <w:rStyle w:val="PlaceholderText"/>
          <w:rFonts w:eastAsiaTheme="majorEastAsia" w:hint="default"/>
          <w:color w:val="auto"/>
        </w:rPr>
        <w:t>lenský</w:t>
      </w:r>
      <w:r w:rsidRPr="00354B6C">
        <w:rPr>
          <w:rStyle w:val="PlaceholderText"/>
          <w:rFonts w:eastAsiaTheme="majorEastAsia" w:hint="default"/>
          <w:color w:val="auto"/>
        </w:rPr>
        <w:t>ch š</w:t>
      </w:r>
      <w:r w:rsidRPr="00354B6C">
        <w:rPr>
          <w:rStyle w:val="PlaceholderText"/>
          <w:rFonts w:eastAsiaTheme="majorEastAsia" w:hint="default"/>
          <w:color w:val="auto"/>
        </w:rPr>
        <w:t>tá</w:t>
      </w:r>
      <w:r w:rsidRPr="00354B6C">
        <w:rPr>
          <w:rStyle w:val="PlaceholderText"/>
          <w:rFonts w:eastAsiaTheme="majorEastAsia" w:hint="default"/>
          <w:color w:val="auto"/>
        </w:rPr>
        <w:t>tov Euró</w:t>
      </w:r>
      <w:r w:rsidRPr="00354B6C">
        <w:rPr>
          <w:rStyle w:val="PlaceholderText"/>
          <w:rFonts w:eastAsiaTheme="majorEastAsia" w:hint="default"/>
          <w:color w:val="auto"/>
        </w:rPr>
        <w:t>pskej ú</w:t>
      </w:r>
      <w:r w:rsidRPr="00354B6C">
        <w:rPr>
          <w:rStyle w:val="PlaceholderText"/>
          <w:rFonts w:eastAsiaTheme="majorEastAsia" w:hint="default"/>
          <w:color w:val="auto"/>
        </w:rPr>
        <w:t>nie alebo fyzický</w:t>
      </w:r>
      <w:r w:rsidRPr="00354B6C">
        <w:rPr>
          <w:rStyle w:val="PlaceholderText"/>
          <w:rFonts w:eastAsiaTheme="majorEastAsia" w:hint="default"/>
          <w:color w:val="auto"/>
        </w:rPr>
        <w:t>m a </w:t>
      </w:r>
      <w:r w:rsidRPr="00354B6C">
        <w:rPr>
          <w:rStyle w:val="PlaceholderText"/>
          <w:rFonts w:eastAsiaTheme="majorEastAsia" w:hint="default"/>
          <w:color w:val="auto"/>
        </w:rPr>
        <w:t>prá</w:t>
      </w:r>
      <w:r w:rsidRPr="00354B6C">
        <w:rPr>
          <w:rStyle w:val="PlaceholderText"/>
          <w:rFonts w:eastAsiaTheme="majorEastAsia" w:hint="default"/>
          <w:color w:val="auto"/>
        </w:rPr>
        <w:t>vnický</w:t>
      </w:r>
      <w:r w:rsidRPr="00354B6C">
        <w:rPr>
          <w:rStyle w:val="PlaceholderText"/>
          <w:rFonts w:eastAsiaTheme="majorEastAsia" w:hint="default"/>
          <w:color w:val="auto"/>
        </w:rPr>
        <w:t>m osobá</w:t>
      </w:r>
      <w:r w:rsidRPr="00354B6C">
        <w:rPr>
          <w:rStyle w:val="PlaceholderText"/>
          <w:rFonts w:eastAsiaTheme="majorEastAsia" w:hint="default"/>
          <w:color w:val="auto"/>
        </w:rPr>
        <w:t>m s </w:t>
      </w:r>
      <w:r w:rsidRPr="00354B6C">
        <w:rPr>
          <w:rStyle w:val="PlaceholderText"/>
          <w:rFonts w:eastAsiaTheme="majorEastAsia" w:hint="default"/>
          <w:color w:val="auto"/>
        </w:rPr>
        <w:t>neobmedzenou daň</w:t>
      </w:r>
      <w:r w:rsidRPr="00354B6C">
        <w:rPr>
          <w:rStyle w:val="PlaceholderText"/>
          <w:rFonts w:eastAsiaTheme="majorEastAsia" w:hint="default"/>
          <w:color w:val="auto"/>
        </w:rPr>
        <w:t>ovou povinnosť</w:t>
      </w:r>
      <w:r w:rsidRPr="00354B6C">
        <w:rPr>
          <w:rStyle w:val="PlaceholderText"/>
          <w:rFonts w:eastAsiaTheme="majorEastAsia" w:hint="default"/>
          <w:color w:val="auto"/>
        </w:rPr>
        <w:t>ou na ú</w:t>
      </w:r>
      <w:r w:rsidRPr="00354B6C">
        <w:rPr>
          <w:rStyle w:val="PlaceholderText"/>
          <w:rFonts w:eastAsiaTheme="majorEastAsia" w:hint="default"/>
          <w:color w:val="auto"/>
        </w:rPr>
        <w:t>zemí</w:t>
      </w:r>
      <w:r w:rsidRPr="00354B6C">
        <w:rPr>
          <w:rStyle w:val="PlaceholderText"/>
          <w:rFonts w:eastAsiaTheme="majorEastAsia" w:hint="default"/>
          <w:color w:val="auto"/>
        </w:rPr>
        <w:t xml:space="preserve"> ď</w:t>
      </w:r>
      <w:r w:rsidRPr="00354B6C">
        <w:rPr>
          <w:rStyle w:val="PlaceholderText"/>
          <w:rFonts w:eastAsiaTheme="majorEastAsia" w:hint="default"/>
          <w:color w:val="auto"/>
        </w:rPr>
        <w:t>alší</w:t>
      </w:r>
      <w:r w:rsidRPr="00354B6C">
        <w:rPr>
          <w:rStyle w:val="PlaceholderText"/>
          <w:rFonts w:eastAsiaTheme="majorEastAsia" w:hint="default"/>
          <w:color w:val="auto"/>
        </w:rPr>
        <w:t>ch š</w:t>
      </w:r>
      <w:r w:rsidRPr="00354B6C">
        <w:rPr>
          <w:rStyle w:val="PlaceholderText"/>
          <w:rFonts w:eastAsiaTheme="majorEastAsia" w:hint="default"/>
          <w:color w:val="auto"/>
        </w:rPr>
        <w:t>tá</w:t>
      </w:r>
      <w:r w:rsidRPr="00354B6C">
        <w:rPr>
          <w:rStyle w:val="PlaceholderText"/>
          <w:rFonts w:eastAsiaTheme="majorEastAsia" w:hint="default"/>
          <w:color w:val="auto"/>
        </w:rPr>
        <w:t>tov tvoriacich</w:t>
      </w:r>
      <w:r w:rsidRPr="00354B6C">
        <w:rPr>
          <w:rStyle w:val="PlaceholderText"/>
          <w:rFonts w:eastAsiaTheme="majorEastAsia" w:hint="default"/>
          <w:color w:val="auto"/>
        </w:rPr>
        <w:t xml:space="preserve"> </w:t>
      </w:r>
      <w:r w:rsidRPr="00354B6C">
        <w:rPr>
          <w:rStyle w:val="PlaceholderText"/>
          <w:rFonts w:eastAsiaTheme="majorEastAsia" w:hint="default"/>
          <w:color w:val="auto"/>
        </w:rPr>
        <w:t>Euró</w:t>
      </w:r>
      <w:r w:rsidRPr="00354B6C">
        <w:rPr>
          <w:rStyle w:val="PlaceholderText"/>
          <w:rFonts w:eastAsiaTheme="majorEastAsia" w:hint="default"/>
          <w:color w:val="auto"/>
        </w:rPr>
        <w:t>psky hospodá</w:t>
      </w:r>
      <w:r w:rsidRPr="00354B6C">
        <w:rPr>
          <w:rStyle w:val="PlaceholderText"/>
          <w:rFonts w:eastAsiaTheme="majorEastAsia" w:hint="default"/>
          <w:color w:val="auto"/>
        </w:rPr>
        <w:t>rsky priestor. V </w:t>
      </w:r>
      <w:r w:rsidRPr="00354B6C">
        <w:rPr>
          <w:rStyle w:val="PlaceholderText"/>
          <w:rFonts w:eastAsiaTheme="majorEastAsia" w:hint="default"/>
          <w:color w:val="auto"/>
        </w:rPr>
        <w:t>prí</w:t>
      </w:r>
      <w:r w:rsidRPr="00354B6C">
        <w:rPr>
          <w:rStyle w:val="PlaceholderText"/>
          <w:rFonts w:eastAsiaTheme="majorEastAsia" w:hint="default"/>
          <w:color w:val="auto"/>
        </w:rPr>
        <w:t>pade vý</w:t>
      </w:r>
      <w:r w:rsidRPr="00354B6C">
        <w:rPr>
          <w:rStyle w:val="PlaceholderText"/>
          <w:rFonts w:eastAsiaTheme="majorEastAsia" w:hint="default"/>
          <w:color w:val="auto"/>
        </w:rPr>
        <w:t>nosov z dlhopisov je mož</w:t>
      </w:r>
      <w:r w:rsidRPr="00354B6C">
        <w:rPr>
          <w:rStyle w:val="PlaceholderText"/>
          <w:rFonts w:eastAsiaTheme="majorEastAsia" w:hint="default"/>
          <w:color w:val="auto"/>
        </w:rPr>
        <w:t>né</w:t>
      </w:r>
      <w:r w:rsidRPr="00354B6C">
        <w:rPr>
          <w:rStyle w:val="PlaceholderText"/>
          <w:rFonts w:eastAsiaTheme="majorEastAsia" w:hint="default"/>
          <w:color w:val="auto"/>
        </w:rPr>
        <w:t xml:space="preserve"> daň</w:t>
      </w:r>
      <w:r w:rsidRPr="00354B6C">
        <w:rPr>
          <w:rStyle w:val="PlaceholderText"/>
          <w:rFonts w:eastAsiaTheme="majorEastAsia" w:hint="default"/>
          <w:color w:val="auto"/>
        </w:rPr>
        <w:t xml:space="preserve"> vyberanú</w:t>
      </w:r>
      <w:r w:rsidRPr="00354B6C">
        <w:rPr>
          <w:rStyle w:val="PlaceholderText"/>
          <w:rFonts w:eastAsiaTheme="majorEastAsia" w:hint="default"/>
          <w:color w:val="auto"/>
        </w:rPr>
        <w:t xml:space="preserve"> zráž</w:t>
      </w:r>
      <w:r w:rsidRPr="00354B6C">
        <w:rPr>
          <w:rStyle w:val="PlaceholderText"/>
          <w:rFonts w:eastAsiaTheme="majorEastAsia" w:hint="default"/>
          <w:color w:val="auto"/>
        </w:rPr>
        <w:t>kou považ</w:t>
      </w:r>
      <w:r w:rsidRPr="00354B6C">
        <w:rPr>
          <w:rStyle w:val="PlaceholderText"/>
          <w:rFonts w:eastAsiaTheme="majorEastAsia" w:hint="default"/>
          <w:color w:val="auto"/>
        </w:rPr>
        <w:t>ovať</w:t>
      </w:r>
      <w:r w:rsidRPr="00354B6C">
        <w:rPr>
          <w:rStyle w:val="PlaceholderText"/>
          <w:rFonts w:eastAsiaTheme="majorEastAsia" w:hint="default"/>
          <w:color w:val="auto"/>
        </w:rPr>
        <w:t xml:space="preserve"> za preddavok na daň</w:t>
      </w:r>
      <w:r w:rsidRPr="00354B6C">
        <w:rPr>
          <w:rStyle w:val="PlaceholderText"/>
          <w:rFonts w:eastAsiaTheme="majorEastAsia" w:hint="default"/>
          <w:color w:val="auto"/>
        </w:rPr>
        <w:t xml:space="preserve"> len, ak tieto vý</w:t>
      </w:r>
      <w:r w:rsidRPr="00354B6C">
        <w:rPr>
          <w:rStyle w:val="PlaceholderText"/>
          <w:rFonts w:eastAsiaTheme="majorEastAsia" w:hint="default"/>
          <w:color w:val="auto"/>
        </w:rPr>
        <w:t>nosy plynú</w:t>
      </w:r>
      <w:r w:rsidRPr="00354B6C">
        <w:rPr>
          <w:rStyle w:val="PlaceholderText"/>
          <w:rFonts w:eastAsiaTheme="majorEastAsia" w:hint="default"/>
          <w:color w:val="auto"/>
        </w:rPr>
        <w:t xml:space="preserve"> prá</w:t>
      </w:r>
      <w:r w:rsidRPr="00354B6C">
        <w:rPr>
          <w:rStyle w:val="PlaceholderText"/>
          <w:rFonts w:eastAsiaTheme="majorEastAsia" w:hint="default"/>
          <w:color w:val="auto"/>
        </w:rPr>
        <w:t>vnickej osobe s </w:t>
      </w:r>
      <w:r w:rsidRPr="00354B6C">
        <w:rPr>
          <w:rStyle w:val="PlaceholderText"/>
          <w:rFonts w:eastAsiaTheme="majorEastAsia" w:hint="default"/>
          <w:color w:val="auto"/>
        </w:rPr>
        <w:t>obmedzenou daň</w:t>
      </w:r>
      <w:r w:rsidRPr="00354B6C">
        <w:rPr>
          <w:rStyle w:val="PlaceholderText"/>
          <w:rFonts w:eastAsiaTheme="majorEastAsia" w:hint="default"/>
          <w:color w:val="auto"/>
        </w:rPr>
        <w:t>ovou povinnosť</w:t>
      </w:r>
      <w:r w:rsidRPr="00354B6C">
        <w:rPr>
          <w:rStyle w:val="PlaceholderText"/>
          <w:rFonts w:eastAsiaTheme="majorEastAsia" w:hint="default"/>
          <w:color w:val="auto"/>
        </w:rPr>
        <w:t>ou na ú</w:t>
      </w:r>
      <w:r w:rsidRPr="00354B6C">
        <w:rPr>
          <w:rStyle w:val="PlaceholderText"/>
          <w:rFonts w:eastAsiaTheme="majorEastAsia" w:hint="default"/>
          <w:color w:val="auto"/>
        </w:rPr>
        <w:t>zemí</w:t>
      </w:r>
      <w:r w:rsidRPr="00354B6C">
        <w:rPr>
          <w:rStyle w:val="PlaceholderText"/>
          <w:rFonts w:eastAsiaTheme="majorEastAsia" w:hint="default"/>
          <w:color w:val="auto"/>
        </w:rPr>
        <w:t xml:space="preserve"> Slovenskej republiky. U </w:t>
      </w:r>
      <w:r w:rsidRPr="00354B6C">
        <w:rPr>
          <w:rStyle w:val="PlaceholderText"/>
          <w:rFonts w:eastAsiaTheme="majorEastAsia" w:hint="default"/>
          <w:color w:val="auto"/>
        </w:rPr>
        <w:t>ostatný</w:t>
      </w:r>
      <w:r w:rsidRPr="00354B6C">
        <w:rPr>
          <w:rStyle w:val="PlaceholderText"/>
          <w:rFonts w:eastAsiaTheme="majorEastAsia" w:hint="default"/>
          <w:color w:val="auto"/>
        </w:rPr>
        <w:t>ch daň</w:t>
      </w:r>
      <w:r w:rsidRPr="00354B6C">
        <w:rPr>
          <w:rStyle w:val="PlaceholderText"/>
          <w:rFonts w:eastAsiaTheme="majorEastAsia" w:hint="default"/>
          <w:color w:val="auto"/>
        </w:rPr>
        <w:t>ovní</w:t>
      </w:r>
      <w:r w:rsidRPr="00354B6C">
        <w:rPr>
          <w:rStyle w:val="PlaceholderText"/>
          <w:rFonts w:eastAsiaTheme="majorEastAsia" w:hint="default"/>
          <w:color w:val="auto"/>
        </w:rPr>
        <w:t xml:space="preserve">kov sa </w:t>
      </w:r>
      <w:r w:rsidRPr="00354B6C">
        <w:rPr>
          <w:rStyle w:val="PlaceholderText"/>
          <w:rFonts w:eastAsiaTheme="majorEastAsia" w:hint="default"/>
          <w:color w:val="auto"/>
        </w:rPr>
        <w:t>v</w:t>
      </w:r>
      <w:r w:rsidRPr="00354B6C">
        <w:rPr>
          <w:rStyle w:val="PlaceholderText"/>
          <w:rFonts w:eastAsiaTheme="majorEastAsia" w:hint="default"/>
          <w:color w:val="auto"/>
        </w:rPr>
        <w:t>ybraní</w:t>
      </w:r>
      <w:r w:rsidRPr="00354B6C">
        <w:rPr>
          <w:rStyle w:val="PlaceholderText"/>
          <w:rFonts w:eastAsiaTheme="majorEastAsia" w:hint="default"/>
          <w:color w:val="auto"/>
        </w:rPr>
        <w:t>m dane zráž</w:t>
      </w:r>
      <w:r w:rsidRPr="00354B6C">
        <w:rPr>
          <w:rStyle w:val="PlaceholderText"/>
          <w:rFonts w:eastAsiaTheme="majorEastAsia" w:hint="default"/>
          <w:color w:val="auto"/>
        </w:rPr>
        <w:t>kou z </w:t>
      </w:r>
      <w:r w:rsidRPr="00354B6C">
        <w:rPr>
          <w:rStyle w:val="PlaceholderText"/>
          <w:rFonts w:eastAsiaTheme="majorEastAsia" w:hint="default"/>
          <w:color w:val="auto"/>
        </w:rPr>
        <w:t>vý</w:t>
      </w:r>
      <w:r w:rsidRPr="00354B6C">
        <w:rPr>
          <w:rStyle w:val="PlaceholderText"/>
          <w:rFonts w:eastAsiaTheme="majorEastAsia" w:hint="default"/>
          <w:color w:val="auto"/>
        </w:rPr>
        <w:t>nosov z dlhopisov a </w:t>
      </w:r>
      <w:r w:rsidRPr="00354B6C">
        <w:rPr>
          <w:rStyle w:val="PlaceholderText"/>
          <w:rFonts w:eastAsiaTheme="majorEastAsia" w:hint="default"/>
          <w:color w:val="auto"/>
        </w:rPr>
        <w:t>pokladnič</w:t>
      </w:r>
      <w:r w:rsidRPr="00354B6C">
        <w:rPr>
          <w:rStyle w:val="PlaceholderText"/>
          <w:rFonts w:eastAsiaTheme="majorEastAsia" w:hint="default"/>
          <w:color w:val="auto"/>
        </w:rPr>
        <w:t>ný</w:t>
      </w:r>
      <w:r w:rsidRPr="00354B6C">
        <w:rPr>
          <w:rStyle w:val="PlaceholderText"/>
          <w:rFonts w:eastAsiaTheme="majorEastAsia" w:hint="default"/>
          <w:color w:val="auto"/>
        </w:rPr>
        <w:t>ch poukáž</w:t>
      </w:r>
      <w:r w:rsidRPr="00354B6C">
        <w:rPr>
          <w:rStyle w:val="PlaceholderText"/>
          <w:rFonts w:eastAsiaTheme="majorEastAsia" w:hint="default"/>
          <w:color w:val="auto"/>
        </w:rPr>
        <w:t>ok považ</w:t>
      </w:r>
      <w:r w:rsidRPr="00354B6C">
        <w:rPr>
          <w:rStyle w:val="PlaceholderText"/>
          <w:rFonts w:eastAsiaTheme="majorEastAsia" w:hint="default"/>
          <w:color w:val="auto"/>
        </w:rPr>
        <w:t>uje daň</w:t>
      </w:r>
      <w:r w:rsidRPr="00354B6C">
        <w:rPr>
          <w:rStyle w:val="PlaceholderText"/>
          <w:rFonts w:eastAsiaTheme="majorEastAsia" w:hint="default"/>
          <w:color w:val="auto"/>
        </w:rPr>
        <w:t>ová</w:t>
      </w:r>
      <w:r w:rsidRPr="00354B6C">
        <w:rPr>
          <w:rStyle w:val="PlaceholderText"/>
          <w:rFonts w:eastAsiaTheme="majorEastAsia" w:hint="default"/>
          <w:color w:val="auto"/>
        </w:rPr>
        <w:t xml:space="preserve"> povinnosť</w:t>
      </w:r>
      <w:r w:rsidRPr="00354B6C">
        <w:rPr>
          <w:rStyle w:val="PlaceholderText"/>
          <w:rFonts w:eastAsiaTheme="majorEastAsia" w:hint="default"/>
          <w:color w:val="auto"/>
        </w:rPr>
        <w:t xml:space="preserve"> za splnenú</w:t>
      </w:r>
      <w:r w:rsidRPr="00354B6C">
        <w:rPr>
          <w:rStyle w:val="PlaceholderText"/>
          <w:rFonts w:eastAsiaTheme="majorEastAsia" w:hint="default"/>
          <w:color w:val="auto"/>
        </w:rPr>
        <w:t>. V </w:t>
      </w:r>
      <w:r w:rsidRPr="00354B6C">
        <w:rPr>
          <w:rStyle w:val="PlaceholderText"/>
          <w:rFonts w:eastAsiaTheme="majorEastAsia" w:hint="default"/>
          <w:color w:val="auto"/>
        </w:rPr>
        <w:t>prí</w:t>
      </w:r>
      <w:r w:rsidRPr="00354B6C">
        <w:rPr>
          <w:rStyle w:val="PlaceholderText"/>
          <w:rFonts w:eastAsiaTheme="majorEastAsia" w:hint="default"/>
          <w:color w:val="auto"/>
        </w:rPr>
        <w:t>pade prá</w:t>
      </w:r>
      <w:r w:rsidRPr="00354B6C">
        <w:rPr>
          <w:rStyle w:val="PlaceholderText"/>
          <w:rFonts w:eastAsiaTheme="majorEastAsia" w:hint="default"/>
          <w:color w:val="auto"/>
        </w:rPr>
        <w:t>vnický</w:t>
      </w:r>
      <w:r w:rsidRPr="00354B6C">
        <w:rPr>
          <w:rStyle w:val="PlaceholderText"/>
          <w:rFonts w:eastAsiaTheme="majorEastAsia" w:hint="default"/>
          <w:color w:val="auto"/>
        </w:rPr>
        <w:t>ch osô</w:t>
      </w:r>
      <w:r w:rsidRPr="00354B6C">
        <w:rPr>
          <w:rStyle w:val="PlaceholderText"/>
          <w:rFonts w:eastAsiaTheme="majorEastAsia" w:hint="default"/>
          <w:color w:val="auto"/>
        </w:rPr>
        <w:t>b s </w:t>
      </w:r>
      <w:r w:rsidRPr="00354B6C">
        <w:rPr>
          <w:rStyle w:val="PlaceholderText"/>
          <w:rFonts w:eastAsiaTheme="majorEastAsia" w:hint="default"/>
          <w:color w:val="auto"/>
        </w:rPr>
        <w:t>neobmedzenou daň</w:t>
      </w:r>
      <w:r w:rsidRPr="00354B6C">
        <w:rPr>
          <w:rStyle w:val="PlaceholderText"/>
          <w:rFonts w:eastAsiaTheme="majorEastAsia" w:hint="default"/>
          <w:color w:val="auto"/>
        </w:rPr>
        <w:t>ovou povinnosť</w:t>
      </w:r>
      <w:r w:rsidRPr="00354B6C">
        <w:rPr>
          <w:rStyle w:val="PlaceholderText"/>
          <w:rFonts w:eastAsiaTheme="majorEastAsia" w:hint="default"/>
          <w:color w:val="auto"/>
        </w:rPr>
        <w:t>ou na ú</w:t>
      </w:r>
      <w:r w:rsidRPr="00354B6C">
        <w:rPr>
          <w:rStyle w:val="PlaceholderText"/>
          <w:rFonts w:eastAsiaTheme="majorEastAsia" w:hint="default"/>
          <w:color w:val="auto"/>
        </w:rPr>
        <w:t>zemí</w:t>
      </w:r>
      <w:r w:rsidRPr="00354B6C">
        <w:rPr>
          <w:rStyle w:val="PlaceholderText"/>
          <w:rFonts w:eastAsiaTheme="majorEastAsia" w:hint="default"/>
          <w:color w:val="auto"/>
        </w:rPr>
        <w:t xml:space="preserve"> Slovenskej republiky sa vyplá</w:t>
      </w:r>
      <w:r w:rsidRPr="00354B6C">
        <w:rPr>
          <w:rStyle w:val="PlaceholderText"/>
          <w:rFonts w:eastAsiaTheme="majorEastAsia" w:hint="default"/>
          <w:color w:val="auto"/>
        </w:rPr>
        <w:t>ca hrubý</w:t>
      </w:r>
      <w:r w:rsidRPr="00354B6C">
        <w:rPr>
          <w:rStyle w:val="PlaceholderText"/>
          <w:rFonts w:eastAsiaTheme="majorEastAsia" w:hint="default"/>
          <w:color w:val="auto"/>
        </w:rPr>
        <w:t xml:space="preserve"> vý</w:t>
      </w:r>
      <w:r w:rsidRPr="00354B6C">
        <w:rPr>
          <w:rStyle w:val="PlaceholderText"/>
          <w:rFonts w:eastAsiaTheme="majorEastAsia" w:hint="default"/>
          <w:color w:val="auto"/>
        </w:rPr>
        <w:t>nos z dlhopisov, ktorý</w:t>
      </w:r>
      <w:r w:rsidRPr="00354B6C">
        <w:rPr>
          <w:rStyle w:val="PlaceholderText"/>
          <w:rFonts w:eastAsiaTheme="majorEastAsia" w:hint="default"/>
          <w:color w:val="auto"/>
        </w:rPr>
        <w:t xml:space="preserve"> tá</w:t>
      </w:r>
      <w:r w:rsidRPr="00354B6C">
        <w:rPr>
          <w:rStyle w:val="PlaceholderText"/>
          <w:rFonts w:eastAsiaTheme="majorEastAsia" w:hint="default"/>
          <w:color w:val="auto"/>
        </w:rPr>
        <w:t>to prá</w:t>
      </w:r>
      <w:r w:rsidRPr="00354B6C">
        <w:rPr>
          <w:rStyle w:val="PlaceholderText"/>
          <w:rFonts w:eastAsiaTheme="majorEastAsia" w:hint="default"/>
          <w:color w:val="auto"/>
        </w:rPr>
        <w:t>vnická</w:t>
      </w:r>
      <w:r w:rsidRPr="00354B6C">
        <w:rPr>
          <w:rStyle w:val="PlaceholderText"/>
          <w:rFonts w:eastAsiaTheme="majorEastAsia" w:hint="default"/>
          <w:color w:val="auto"/>
        </w:rPr>
        <w:t xml:space="preserve"> </w:t>
      </w:r>
      <w:r w:rsidRPr="00354B6C">
        <w:rPr>
          <w:rStyle w:val="PlaceholderText"/>
          <w:rFonts w:eastAsiaTheme="majorEastAsia" w:hint="default"/>
          <w:color w:val="auto"/>
        </w:rPr>
        <w:t>o</w:t>
      </w:r>
      <w:r w:rsidRPr="00354B6C">
        <w:rPr>
          <w:rStyle w:val="PlaceholderText"/>
          <w:rFonts w:eastAsiaTheme="majorEastAsia" w:hint="default"/>
          <w:color w:val="auto"/>
        </w:rPr>
        <w:t>soba zahrnuje do zá</w:t>
      </w:r>
      <w:r w:rsidRPr="00354B6C">
        <w:rPr>
          <w:rStyle w:val="PlaceholderText"/>
          <w:rFonts w:eastAsiaTheme="majorEastAsia" w:hint="default"/>
          <w:color w:val="auto"/>
        </w:rPr>
        <w:t>kladu dane podľ</w:t>
      </w:r>
      <w:r w:rsidRPr="00354B6C">
        <w:rPr>
          <w:rStyle w:val="PlaceholderText"/>
          <w:rFonts w:eastAsiaTheme="majorEastAsia" w:hint="default"/>
          <w:color w:val="auto"/>
        </w:rPr>
        <w:t>a §</w:t>
      </w:r>
      <w:r w:rsidRPr="00354B6C">
        <w:rPr>
          <w:rStyle w:val="PlaceholderText"/>
          <w:rFonts w:eastAsiaTheme="majorEastAsia" w:hint="default"/>
          <w:color w:val="auto"/>
        </w:rPr>
        <w:t xml:space="preserve"> 17 ods. 4, t.j. v </w:t>
      </w:r>
      <w:r w:rsidRPr="00354B6C">
        <w:rPr>
          <w:rStyle w:val="PlaceholderText"/>
          <w:rFonts w:eastAsiaTheme="majorEastAsia" w:hint="default"/>
          <w:color w:val="auto"/>
        </w:rPr>
        <w:t>sú</w:t>
      </w:r>
      <w:r w:rsidRPr="00354B6C">
        <w:rPr>
          <w:rStyle w:val="PlaceholderText"/>
          <w:rFonts w:eastAsiaTheme="majorEastAsia" w:hint="default"/>
          <w:color w:val="auto"/>
        </w:rPr>
        <w:t>lade s </w:t>
      </w:r>
      <w:r w:rsidRPr="00354B6C">
        <w:rPr>
          <w:rStyle w:val="PlaceholderText"/>
          <w:rFonts w:eastAsiaTheme="majorEastAsia" w:hint="default"/>
          <w:color w:val="auto"/>
        </w:rPr>
        <w:t>vý</w:t>
      </w:r>
      <w:r w:rsidRPr="00354B6C">
        <w:rPr>
          <w:rStyle w:val="PlaceholderText"/>
          <w:rFonts w:eastAsiaTheme="majorEastAsia" w:hint="default"/>
          <w:color w:val="auto"/>
        </w:rPr>
        <w:t>sledkom hospodá</w:t>
      </w:r>
      <w:r w:rsidRPr="00354B6C">
        <w:rPr>
          <w:rStyle w:val="PlaceholderText"/>
          <w:rFonts w:eastAsiaTheme="majorEastAsia" w:hint="default"/>
          <w:color w:val="auto"/>
        </w:rPr>
        <w:t>renia. Ak ide o </w:t>
      </w:r>
      <w:r w:rsidRPr="00354B6C">
        <w:rPr>
          <w:rStyle w:val="PlaceholderText"/>
          <w:rFonts w:eastAsiaTheme="majorEastAsia" w:hint="default"/>
          <w:color w:val="auto"/>
        </w:rPr>
        <w:t>prá</w:t>
      </w:r>
      <w:r w:rsidRPr="00354B6C">
        <w:rPr>
          <w:rStyle w:val="PlaceholderText"/>
          <w:rFonts w:eastAsiaTheme="majorEastAsia" w:hint="default"/>
          <w:color w:val="auto"/>
        </w:rPr>
        <w:t>vnickú</w:t>
      </w:r>
      <w:r w:rsidRPr="00354B6C">
        <w:rPr>
          <w:rStyle w:val="PlaceholderText"/>
          <w:rFonts w:eastAsiaTheme="majorEastAsia" w:hint="default"/>
          <w:color w:val="auto"/>
        </w:rPr>
        <w:t xml:space="preserve"> osobu s </w:t>
      </w:r>
      <w:r w:rsidRPr="00354B6C">
        <w:rPr>
          <w:rStyle w:val="PlaceholderText"/>
          <w:rFonts w:eastAsiaTheme="majorEastAsia" w:hint="default"/>
          <w:color w:val="auto"/>
        </w:rPr>
        <w:t>obmedzenou daň</w:t>
      </w:r>
      <w:r w:rsidRPr="00354B6C">
        <w:rPr>
          <w:rStyle w:val="PlaceholderText"/>
          <w:rFonts w:eastAsiaTheme="majorEastAsia" w:hint="default"/>
          <w:color w:val="auto"/>
        </w:rPr>
        <w:t>ovou povinnosť</w:t>
      </w:r>
      <w:r w:rsidRPr="00354B6C">
        <w:rPr>
          <w:rStyle w:val="PlaceholderText"/>
          <w:rFonts w:eastAsiaTheme="majorEastAsia" w:hint="default"/>
          <w:color w:val="auto"/>
        </w:rPr>
        <w:t>ou na ú</w:t>
      </w:r>
      <w:r w:rsidRPr="00354B6C">
        <w:rPr>
          <w:rStyle w:val="PlaceholderText"/>
          <w:rFonts w:eastAsiaTheme="majorEastAsia" w:hint="default"/>
          <w:color w:val="auto"/>
        </w:rPr>
        <w:t>zemí</w:t>
      </w:r>
      <w:r w:rsidRPr="00354B6C">
        <w:rPr>
          <w:rStyle w:val="PlaceholderText"/>
          <w:rFonts w:eastAsiaTheme="majorEastAsia" w:hint="default"/>
          <w:color w:val="auto"/>
        </w:rPr>
        <w:t xml:space="preserve"> Slovenskej republiky, ktorá</w:t>
      </w:r>
      <w:r w:rsidRPr="00354B6C">
        <w:rPr>
          <w:rStyle w:val="PlaceholderText"/>
          <w:rFonts w:eastAsiaTheme="majorEastAsia" w:hint="default"/>
          <w:color w:val="auto"/>
        </w:rPr>
        <w:t xml:space="preserve"> podniká</w:t>
      </w:r>
      <w:r w:rsidRPr="00354B6C">
        <w:rPr>
          <w:rStyle w:val="PlaceholderText"/>
          <w:rFonts w:eastAsiaTheme="majorEastAsia" w:hint="default"/>
          <w:color w:val="auto"/>
        </w:rPr>
        <w:t xml:space="preserve"> na ú</w:t>
      </w:r>
      <w:r w:rsidRPr="00354B6C">
        <w:rPr>
          <w:rStyle w:val="PlaceholderText"/>
          <w:rFonts w:eastAsiaTheme="majorEastAsia" w:hint="default"/>
          <w:color w:val="auto"/>
        </w:rPr>
        <w:t>zemí</w:t>
      </w:r>
      <w:r w:rsidRPr="00354B6C">
        <w:rPr>
          <w:rStyle w:val="PlaceholderText"/>
          <w:rFonts w:eastAsiaTheme="majorEastAsia" w:hint="default"/>
          <w:color w:val="auto"/>
        </w:rPr>
        <w:t xml:space="preserve"> Slovenskej republiky prostrední</w:t>
      </w:r>
      <w:r w:rsidRPr="00354B6C">
        <w:rPr>
          <w:rStyle w:val="PlaceholderText"/>
          <w:rFonts w:eastAsiaTheme="majorEastAsia" w:hint="default"/>
          <w:color w:val="auto"/>
        </w:rPr>
        <w:t>ctvom stá</w:t>
      </w:r>
      <w:r w:rsidRPr="00354B6C">
        <w:rPr>
          <w:rStyle w:val="PlaceholderText"/>
          <w:rFonts w:eastAsiaTheme="majorEastAsia" w:hint="default"/>
          <w:color w:val="auto"/>
        </w:rPr>
        <w:t>lej prevá</w:t>
      </w:r>
      <w:r w:rsidRPr="00354B6C">
        <w:rPr>
          <w:rStyle w:val="PlaceholderText"/>
          <w:rFonts w:eastAsiaTheme="majorEastAsia" w:hint="default"/>
          <w:color w:val="auto"/>
        </w:rPr>
        <w:t>dzkar</w:t>
      </w:r>
      <w:r w:rsidRPr="00354B6C">
        <w:rPr>
          <w:rStyle w:val="PlaceholderText"/>
          <w:rFonts w:eastAsiaTheme="majorEastAsia" w:hint="default"/>
          <w:color w:val="auto"/>
        </w:rPr>
        <w:t>n</w:t>
      </w:r>
      <w:r w:rsidRPr="00354B6C">
        <w:rPr>
          <w:rStyle w:val="PlaceholderText"/>
          <w:rFonts w:eastAsiaTheme="majorEastAsia" w:hint="default"/>
          <w:color w:val="auto"/>
        </w:rPr>
        <w:t>e a </w:t>
      </w:r>
      <w:r w:rsidRPr="00354B6C">
        <w:rPr>
          <w:rStyle w:val="PlaceholderText"/>
          <w:rFonts w:eastAsiaTheme="majorEastAsia" w:hint="default"/>
          <w:color w:val="auto"/>
        </w:rPr>
        <w:t>ú</w:t>
      </w:r>
      <w:r w:rsidRPr="00354B6C">
        <w:rPr>
          <w:rStyle w:val="PlaceholderText"/>
          <w:rFonts w:eastAsiaTheme="majorEastAsia" w:hint="default"/>
          <w:color w:val="auto"/>
        </w:rPr>
        <w:t>rokový</w:t>
      </w:r>
      <w:r w:rsidRPr="00354B6C">
        <w:rPr>
          <w:rStyle w:val="PlaceholderText"/>
          <w:rFonts w:eastAsiaTheme="majorEastAsia" w:hint="default"/>
          <w:color w:val="auto"/>
        </w:rPr>
        <w:t xml:space="preserve"> vý</w:t>
      </w:r>
      <w:r w:rsidRPr="00354B6C">
        <w:rPr>
          <w:rStyle w:val="PlaceholderText"/>
          <w:rFonts w:eastAsiaTheme="majorEastAsia" w:hint="default"/>
          <w:color w:val="auto"/>
        </w:rPr>
        <w:t>nos je mož</w:t>
      </w:r>
      <w:r w:rsidRPr="00354B6C">
        <w:rPr>
          <w:rStyle w:val="PlaceholderText"/>
          <w:rFonts w:eastAsiaTheme="majorEastAsia" w:hint="default"/>
          <w:color w:val="auto"/>
        </w:rPr>
        <w:t>né</w:t>
      </w:r>
      <w:r w:rsidRPr="00354B6C">
        <w:rPr>
          <w:rStyle w:val="PlaceholderText"/>
          <w:rFonts w:eastAsiaTheme="majorEastAsia" w:hint="default"/>
          <w:color w:val="auto"/>
        </w:rPr>
        <w:t xml:space="preserve"> priamo priradiť</w:t>
      </w:r>
      <w:r w:rsidRPr="00354B6C">
        <w:rPr>
          <w:rStyle w:val="PlaceholderText"/>
          <w:rFonts w:eastAsiaTheme="majorEastAsia" w:hint="default"/>
          <w:color w:val="auto"/>
        </w:rPr>
        <w:t xml:space="preserve"> k č</w:t>
      </w:r>
      <w:r w:rsidRPr="00354B6C">
        <w:rPr>
          <w:rStyle w:val="PlaceholderText"/>
          <w:rFonts w:eastAsiaTheme="majorEastAsia" w:hint="default"/>
          <w:color w:val="auto"/>
        </w:rPr>
        <w:t>innosti tejto stá</w:t>
      </w:r>
      <w:r w:rsidRPr="00354B6C">
        <w:rPr>
          <w:rStyle w:val="PlaceholderText"/>
          <w:rFonts w:eastAsiaTheme="majorEastAsia" w:hint="default"/>
          <w:color w:val="auto"/>
        </w:rPr>
        <w:t>lej prevá</w:t>
      </w:r>
      <w:r w:rsidRPr="00354B6C">
        <w:rPr>
          <w:rStyle w:val="PlaceholderText"/>
          <w:rFonts w:eastAsiaTheme="majorEastAsia" w:hint="default"/>
          <w:color w:val="auto"/>
        </w:rPr>
        <w:t>dzkarne, tento prí</w:t>
      </w:r>
      <w:r w:rsidRPr="00354B6C">
        <w:rPr>
          <w:rStyle w:val="PlaceholderText"/>
          <w:rFonts w:eastAsiaTheme="majorEastAsia" w:hint="default"/>
          <w:color w:val="auto"/>
        </w:rPr>
        <w:t>jem sa nezdaní</w:t>
      </w:r>
      <w:r w:rsidRPr="00354B6C">
        <w:rPr>
          <w:rStyle w:val="PlaceholderText"/>
          <w:rFonts w:eastAsiaTheme="majorEastAsia" w:hint="default"/>
          <w:color w:val="auto"/>
        </w:rPr>
        <w:t xml:space="preserve"> daň</w:t>
      </w:r>
      <w:r w:rsidRPr="00354B6C">
        <w:rPr>
          <w:rStyle w:val="PlaceholderText"/>
          <w:rFonts w:eastAsiaTheme="majorEastAsia" w:hint="default"/>
          <w:color w:val="auto"/>
        </w:rPr>
        <w:t>ou vyberanou zráž</w:t>
      </w:r>
      <w:r w:rsidRPr="00354B6C">
        <w:rPr>
          <w:rStyle w:val="PlaceholderText"/>
          <w:rFonts w:eastAsiaTheme="majorEastAsia" w:hint="default"/>
          <w:color w:val="auto"/>
        </w:rPr>
        <w:t>kou, ale stá</w:t>
      </w:r>
      <w:r w:rsidRPr="00354B6C">
        <w:rPr>
          <w:rStyle w:val="PlaceholderText"/>
          <w:rFonts w:eastAsiaTheme="majorEastAsia" w:hint="default"/>
          <w:color w:val="auto"/>
        </w:rPr>
        <w:t>va sa súč</w:t>
      </w:r>
      <w:r w:rsidRPr="00354B6C">
        <w:rPr>
          <w:rStyle w:val="PlaceholderText"/>
          <w:rFonts w:eastAsiaTheme="majorEastAsia" w:hint="default"/>
          <w:color w:val="auto"/>
        </w:rPr>
        <w:t>asť</w:t>
      </w:r>
      <w:r w:rsidRPr="00354B6C">
        <w:rPr>
          <w:rStyle w:val="PlaceholderText"/>
          <w:rFonts w:eastAsiaTheme="majorEastAsia" w:hint="default"/>
          <w:color w:val="auto"/>
        </w:rPr>
        <w:t>ou zá</w:t>
      </w:r>
      <w:r w:rsidRPr="00354B6C">
        <w:rPr>
          <w:rStyle w:val="PlaceholderText"/>
          <w:rFonts w:eastAsiaTheme="majorEastAsia" w:hint="default"/>
          <w:color w:val="auto"/>
        </w:rPr>
        <w:t>kladu dane stá</w:t>
      </w:r>
      <w:r w:rsidRPr="00354B6C">
        <w:rPr>
          <w:rStyle w:val="PlaceholderText"/>
          <w:rFonts w:eastAsiaTheme="majorEastAsia" w:hint="default"/>
          <w:color w:val="auto"/>
        </w:rPr>
        <w:t>lej prevá</w:t>
      </w:r>
      <w:r w:rsidRPr="00354B6C">
        <w:rPr>
          <w:rStyle w:val="PlaceholderText"/>
          <w:rFonts w:eastAsiaTheme="majorEastAsia" w:hint="default"/>
          <w:color w:val="auto"/>
        </w:rPr>
        <w:t xml:space="preserve">dzkarne. </w:t>
      </w:r>
    </w:p>
    <w:p w:rsidR="00354B6C" w:rsidRPr="00354B6C" w:rsidP="00354B6C">
      <w:pPr>
        <w:bidi w:val="0"/>
        <w:jc w:val="both"/>
        <w:rPr>
          <w:rStyle w:val="PlaceholderText"/>
          <w:rFonts w:eastAsiaTheme="majorEastAsia" w:hint="default"/>
          <w:color w:val="auto"/>
        </w:rPr>
      </w:pPr>
      <w:r w:rsidRPr="00354B6C">
        <w:rPr>
          <w:rStyle w:val="PlaceholderText"/>
          <w:rFonts w:eastAsiaTheme="majorEastAsia" w:hint="default"/>
          <w:color w:val="auto"/>
        </w:rPr>
        <w:t>Odsek 7 - Daň</w:t>
      </w:r>
      <w:r w:rsidRPr="00354B6C">
        <w:rPr>
          <w:rStyle w:val="PlaceholderText"/>
          <w:rFonts w:eastAsiaTheme="majorEastAsia" w:hint="default"/>
          <w:color w:val="auto"/>
        </w:rPr>
        <w:t>ovní</w:t>
      </w:r>
      <w:r w:rsidRPr="00354B6C">
        <w:rPr>
          <w:rStyle w:val="PlaceholderText"/>
          <w:rFonts w:eastAsiaTheme="majorEastAsia" w:hint="default"/>
          <w:color w:val="auto"/>
        </w:rPr>
        <w:t>k sa má</w:t>
      </w:r>
      <w:r w:rsidRPr="00354B6C">
        <w:rPr>
          <w:rStyle w:val="PlaceholderText"/>
          <w:rFonts w:eastAsiaTheme="majorEastAsia" w:hint="default"/>
          <w:color w:val="auto"/>
        </w:rPr>
        <w:t xml:space="preserve"> mož</w:t>
      </w:r>
      <w:r w:rsidRPr="00354B6C">
        <w:rPr>
          <w:rStyle w:val="PlaceholderText"/>
          <w:rFonts w:eastAsiaTheme="majorEastAsia" w:hint="default"/>
          <w:color w:val="auto"/>
        </w:rPr>
        <w:t>nosť </w:t>
      </w:r>
      <w:r w:rsidRPr="00354B6C">
        <w:rPr>
          <w:rStyle w:val="PlaceholderText"/>
          <w:rFonts w:eastAsiaTheme="majorEastAsia" w:hint="default"/>
          <w:color w:val="auto"/>
        </w:rPr>
        <w:t>pri prí</w:t>
      </w:r>
      <w:r w:rsidRPr="00354B6C">
        <w:rPr>
          <w:rStyle w:val="PlaceholderText"/>
          <w:rFonts w:eastAsiaTheme="majorEastAsia" w:hint="default"/>
          <w:color w:val="auto"/>
        </w:rPr>
        <w:t>jmoch, u </w:t>
      </w:r>
      <w:r w:rsidRPr="00354B6C">
        <w:rPr>
          <w:rStyle w:val="PlaceholderText"/>
          <w:rFonts w:eastAsiaTheme="majorEastAsia" w:hint="default"/>
          <w:color w:val="auto"/>
        </w:rPr>
        <w:t>ktorý</w:t>
      </w:r>
      <w:r w:rsidRPr="00354B6C">
        <w:rPr>
          <w:rStyle w:val="PlaceholderText"/>
          <w:rFonts w:eastAsiaTheme="majorEastAsia" w:hint="default"/>
          <w:color w:val="auto"/>
        </w:rPr>
        <w:t>ch je mož</w:t>
      </w:r>
      <w:r w:rsidRPr="00354B6C">
        <w:rPr>
          <w:rStyle w:val="PlaceholderText"/>
          <w:rFonts w:eastAsiaTheme="majorEastAsia" w:hint="default"/>
          <w:color w:val="auto"/>
        </w:rPr>
        <w:t>né</w:t>
      </w:r>
      <w:r w:rsidRPr="00354B6C">
        <w:rPr>
          <w:rStyle w:val="PlaceholderText"/>
          <w:rFonts w:eastAsiaTheme="majorEastAsia" w:hint="default"/>
          <w:color w:val="auto"/>
        </w:rPr>
        <w:t xml:space="preserve"> daň</w:t>
      </w:r>
      <w:r w:rsidRPr="00354B6C">
        <w:rPr>
          <w:rStyle w:val="PlaceholderText"/>
          <w:rFonts w:eastAsiaTheme="majorEastAsia" w:hint="default"/>
          <w:color w:val="auto"/>
        </w:rPr>
        <w:t xml:space="preserve"> vyberanú</w:t>
      </w:r>
      <w:r w:rsidRPr="00354B6C">
        <w:rPr>
          <w:rStyle w:val="PlaceholderText"/>
          <w:rFonts w:eastAsiaTheme="majorEastAsia" w:hint="default"/>
          <w:color w:val="auto"/>
        </w:rPr>
        <w:t xml:space="preserve"> zráž</w:t>
      </w:r>
      <w:r w:rsidRPr="00354B6C">
        <w:rPr>
          <w:rStyle w:val="PlaceholderText"/>
          <w:rFonts w:eastAsiaTheme="majorEastAsia" w:hint="default"/>
          <w:color w:val="auto"/>
        </w:rPr>
        <w:t>kou považ</w:t>
      </w:r>
      <w:r w:rsidRPr="00354B6C">
        <w:rPr>
          <w:rStyle w:val="PlaceholderText"/>
          <w:rFonts w:eastAsiaTheme="majorEastAsia" w:hint="default"/>
          <w:color w:val="auto"/>
        </w:rPr>
        <w:t>ovať</w:t>
      </w:r>
      <w:r w:rsidRPr="00354B6C">
        <w:rPr>
          <w:rStyle w:val="PlaceholderText"/>
          <w:rFonts w:eastAsiaTheme="majorEastAsia" w:hint="default"/>
          <w:color w:val="auto"/>
        </w:rPr>
        <w:t xml:space="preserve"> za preddavok na daň</w:t>
      </w:r>
      <w:r w:rsidRPr="00354B6C">
        <w:rPr>
          <w:rStyle w:val="PlaceholderText"/>
          <w:rFonts w:eastAsiaTheme="majorEastAsia" w:hint="default"/>
          <w:color w:val="auto"/>
        </w:rPr>
        <w:t>, rozhodnúť</w:t>
      </w:r>
      <w:r w:rsidRPr="00354B6C">
        <w:rPr>
          <w:rStyle w:val="PlaceholderText"/>
          <w:rFonts w:eastAsiaTheme="majorEastAsia" w:hint="default"/>
          <w:color w:val="auto"/>
        </w:rPr>
        <w:t>, č</w:t>
      </w:r>
      <w:r w:rsidRPr="00354B6C">
        <w:rPr>
          <w:rStyle w:val="PlaceholderText"/>
          <w:rFonts w:eastAsiaTheme="majorEastAsia" w:hint="default"/>
          <w:color w:val="auto"/>
        </w:rPr>
        <w:t>i vybraní</w:t>
      </w:r>
      <w:r w:rsidRPr="00354B6C">
        <w:rPr>
          <w:rStyle w:val="PlaceholderText"/>
          <w:rFonts w:eastAsiaTheme="majorEastAsia" w:hint="default"/>
          <w:color w:val="auto"/>
        </w:rPr>
        <w:t>m tejto dane bude považ</w:t>
      </w:r>
      <w:r w:rsidRPr="00354B6C">
        <w:rPr>
          <w:rStyle w:val="PlaceholderText"/>
          <w:rFonts w:eastAsiaTheme="majorEastAsia" w:hint="default"/>
          <w:color w:val="auto"/>
        </w:rPr>
        <w:t>ovať</w:t>
      </w:r>
      <w:r w:rsidRPr="00354B6C">
        <w:rPr>
          <w:rStyle w:val="PlaceholderText"/>
          <w:rFonts w:eastAsiaTheme="majorEastAsia" w:hint="default"/>
          <w:color w:val="auto"/>
        </w:rPr>
        <w:t xml:space="preserve"> daň</w:t>
      </w:r>
      <w:r w:rsidRPr="00354B6C">
        <w:rPr>
          <w:rStyle w:val="PlaceholderText"/>
          <w:rFonts w:eastAsiaTheme="majorEastAsia" w:hint="default"/>
          <w:color w:val="auto"/>
        </w:rPr>
        <w:t>ovú</w:t>
      </w:r>
      <w:r w:rsidRPr="00354B6C">
        <w:rPr>
          <w:rStyle w:val="PlaceholderText"/>
          <w:rFonts w:eastAsiaTheme="majorEastAsia" w:hint="default"/>
          <w:color w:val="auto"/>
        </w:rPr>
        <w:t xml:space="preserve"> povinnosť</w:t>
      </w:r>
      <w:r w:rsidRPr="00354B6C">
        <w:rPr>
          <w:rStyle w:val="PlaceholderText"/>
          <w:rFonts w:eastAsiaTheme="majorEastAsia" w:hint="default"/>
          <w:color w:val="auto"/>
        </w:rPr>
        <w:t xml:space="preserve"> za splnenú</w:t>
      </w:r>
      <w:r w:rsidRPr="00354B6C">
        <w:rPr>
          <w:rStyle w:val="PlaceholderText"/>
          <w:rFonts w:eastAsiaTheme="majorEastAsia" w:hint="default"/>
          <w:color w:val="auto"/>
        </w:rPr>
        <w:t>, alebo bude vybranú</w:t>
      </w:r>
      <w:r w:rsidRPr="00354B6C">
        <w:rPr>
          <w:rStyle w:val="PlaceholderText"/>
          <w:rFonts w:eastAsiaTheme="majorEastAsia" w:hint="default"/>
          <w:color w:val="auto"/>
        </w:rPr>
        <w:t xml:space="preserve"> daň</w:t>
      </w:r>
      <w:r w:rsidRPr="00354B6C">
        <w:rPr>
          <w:rStyle w:val="PlaceholderText"/>
          <w:rFonts w:eastAsiaTheme="majorEastAsia" w:hint="default"/>
          <w:color w:val="auto"/>
        </w:rPr>
        <w:t xml:space="preserve"> zráž</w:t>
      </w:r>
      <w:r w:rsidRPr="00354B6C">
        <w:rPr>
          <w:rStyle w:val="PlaceholderText"/>
          <w:rFonts w:eastAsiaTheme="majorEastAsia" w:hint="default"/>
          <w:color w:val="auto"/>
        </w:rPr>
        <w:t>kou považ</w:t>
      </w:r>
      <w:r w:rsidRPr="00354B6C">
        <w:rPr>
          <w:rStyle w:val="PlaceholderText"/>
          <w:rFonts w:eastAsiaTheme="majorEastAsia" w:hint="default"/>
          <w:color w:val="auto"/>
        </w:rPr>
        <w:t>ovať</w:t>
      </w:r>
      <w:r w:rsidRPr="00354B6C">
        <w:rPr>
          <w:rStyle w:val="PlaceholderText"/>
          <w:rFonts w:eastAsiaTheme="majorEastAsia" w:hint="default"/>
          <w:color w:val="auto"/>
        </w:rPr>
        <w:t xml:space="preserve"> za preddavok na daň</w:t>
      </w:r>
      <w:r w:rsidRPr="00354B6C">
        <w:rPr>
          <w:rStyle w:val="PlaceholderText"/>
          <w:rFonts w:eastAsiaTheme="majorEastAsia" w:hint="default"/>
          <w:color w:val="auto"/>
        </w:rPr>
        <w:t>. Z </w:t>
      </w:r>
      <w:r w:rsidRPr="00354B6C">
        <w:rPr>
          <w:rStyle w:val="PlaceholderText"/>
          <w:rFonts w:eastAsiaTheme="majorEastAsia" w:hint="default"/>
          <w:color w:val="auto"/>
        </w:rPr>
        <w:t>dô</w:t>
      </w:r>
      <w:r w:rsidRPr="00354B6C">
        <w:rPr>
          <w:rStyle w:val="PlaceholderText"/>
          <w:rFonts w:eastAsiaTheme="majorEastAsia" w:hint="default"/>
          <w:color w:val="auto"/>
        </w:rPr>
        <w:t>vodu vypustenia §</w:t>
      </w:r>
      <w:r w:rsidRPr="00354B6C">
        <w:rPr>
          <w:rStyle w:val="PlaceholderText"/>
          <w:rFonts w:eastAsiaTheme="majorEastAsia" w:hint="default"/>
          <w:color w:val="auto"/>
        </w:rPr>
        <w:t xml:space="preserve"> 43 ods. 3 </w:t>
      </w:r>
      <w:r w:rsidRPr="00354B6C">
        <w:rPr>
          <w:rStyle w:val="PlaceholderText"/>
          <w:rFonts w:eastAsiaTheme="majorEastAsia" w:hint="default"/>
          <w:color w:val="auto"/>
        </w:rPr>
        <w:t>pí</w:t>
      </w:r>
      <w:r w:rsidRPr="00354B6C">
        <w:rPr>
          <w:rStyle w:val="PlaceholderText"/>
          <w:rFonts w:eastAsiaTheme="majorEastAsia" w:hint="default"/>
          <w:color w:val="auto"/>
        </w:rPr>
        <w:t>sm. j), ktorý</w:t>
      </w:r>
      <w:r w:rsidRPr="00354B6C">
        <w:rPr>
          <w:rStyle w:val="PlaceholderText"/>
          <w:rFonts w:eastAsiaTheme="majorEastAsia" w:hint="default"/>
          <w:color w:val="auto"/>
        </w:rPr>
        <w:t>m sa daň</w:t>
      </w:r>
      <w:r w:rsidRPr="00354B6C">
        <w:rPr>
          <w:rStyle w:val="PlaceholderText"/>
          <w:rFonts w:eastAsiaTheme="majorEastAsia" w:hint="default"/>
          <w:color w:val="auto"/>
        </w:rPr>
        <w:t>ou vyberano</w:t>
      </w:r>
      <w:r w:rsidRPr="00354B6C">
        <w:rPr>
          <w:rStyle w:val="PlaceholderText"/>
          <w:rFonts w:eastAsiaTheme="majorEastAsia" w:hint="default"/>
          <w:color w:val="auto"/>
        </w:rPr>
        <w:t>u</w:t>
      </w:r>
      <w:r w:rsidRPr="00354B6C">
        <w:rPr>
          <w:rStyle w:val="PlaceholderText"/>
          <w:rFonts w:eastAsiaTheme="majorEastAsia" w:hint="default"/>
          <w:color w:val="auto"/>
        </w:rPr>
        <w:t xml:space="preserve"> zráž</w:t>
      </w:r>
      <w:r w:rsidRPr="00354B6C">
        <w:rPr>
          <w:rStyle w:val="PlaceholderText"/>
          <w:rFonts w:eastAsiaTheme="majorEastAsia" w:hint="default"/>
          <w:color w:val="auto"/>
        </w:rPr>
        <w:t>kou zdaň</w:t>
      </w:r>
      <w:r w:rsidRPr="00354B6C">
        <w:rPr>
          <w:rStyle w:val="PlaceholderText"/>
          <w:rFonts w:eastAsiaTheme="majorEastAsia" w:hint="default"/>
          <w:color w:val="auto"/>
        </w:rPr>
        <w:t>ovali prí</w:t>
      </w:r>
      <w:r w:rsidRPr="00354B6C">
        <w:rPr>
          <w:rStyle w:val="PlaceholderText"/>
          <w:rFonts w:eastAsiaTheme="majorEastAsia" w:hint="default"/>
          <w:color w:val="auto"/>
        </w:rPr>
        <w:t>jmy podľ</w:t>
      </w:r>
      <w:r w:rsidRPr="00354B6C">
        <w:rPr>
          <w:rStyle w:val="PlaceholderText"/>
          <w:rFonts w:eastAsiaTheme="majorEastAsia" w:hint="default"/>
          <w:color w:val="auto"/>
        </w:rPr>
        <w:t>a §</w:t>
      </w:r>
      <w:r w:rsidRPr="00354B6C">
        <w:rPr>
          <w:rStyle w:val="PlaceholderText"/>
          <w:rFonts w:eastAsiaTheme="majorEastAsia" w:hint="default"/>
          <w:color w:val="auto"/>
        </w:rPr>
        <w:t xml:space="preserve"> 5 ods. 1 pí</w:t>
      </w:r>
      <w:r w:rsidRPr="00354B6C">
        <w:rPr>
          <w:rStyle w:val="PlaceholderText"/>
          <w:rFonts w:eastAsiaTheme="majorEastAsia" w:hint="default"/>
          <w:color w:val="auto"/>
        </w:rPr>
        <w:t>sm. a) až</w:t>
      </w:r>
      <w:r w:rsidRPr="00354B6C">
        <w:rPr>
          <w:rStyle w:val="PlaceholderText"/>
          <w:rFonts w:eastAsiaTheme="majorEastAsia" w:hint="default"/>
          <w:color w:val="auto"/>
        </w:rPr>
        <w:t xml:space="preserve"> g) nepresahujú</w:t>
      </w:r>
      <w:r w:rsidRPr="00354B6C">
        <w:rPr>
          <w:rStyle w:val="PlaceholderText"/>
          <w:rFonts w:eastAsiaTheme="majorEastAsia" w:hint="default"/>
          <w:color w:val="auto"/>
        </w:rPr>
        <w:t>ce sumu 165,97 eura v </w:t>
      </w:r>
      <w:r w:rsidRPr="00354B6C">
        <w:rPr>
          <w:rStyle w:val="PlaceholderText"/>
          <w:rFonts w:eastAsiaTheme="majorEastAsia" w:hint="default"/>
          <w:color w:val="auto"/>
        </w:rPr>
        <w:t>ú</w:t>
      </w:r>
      <w:r w:rsidRPr="00354B6C">
        <w:rPr>
          <w:rStyle w:val="PlaceholderText"/>
          <w:rFonts w:eastAsiaTheme="majorEastAsia" w:hint="default"/>
          <w:color w:val="auto"/>
        </w:rPr>
        <w:t>hrne za kalendá</w:t>
      </w:r>
      <w:r w:rsidRPr="00354B6C">
        <w:rPr>
          <w:rStyle w:val="PlaceholderText"/>
          <w:rFonts w:eastAsiaTheme="majorEastAsia" w:hint="default"/>
          <w:color w:val="auto"/>
        </w:rPr>
        <w:t>rny mesiac, sa z §</w:t>
      </w:r>
      <w:r w:rsidRPr="00354B6C">
        <w:rPr>
          <w:rStyle w:val="PlaceholderText"/>
          <w:rFonts w:eastAsiaTheme="majorEastAsia" w:hint="default"/>
          <w:color w:val="auto"/>
        </w:rPr>
        <w:t xml:space="preserve"> 43 ods. 7 vypustila mož</w:t>
      </w:r>
      <w:r w:rsidRPr="00354B6C">
        <w:rPr>
          <w:rStyle w:val="PlaceholderText"/>
          <w:rFonts w:eastAsiaTheme="majorEastAsia" w:hint="default"/>
          <w:color w:val="auto"/>
        </w:rPr>
        <w:t>nosť</w:t>
      </w:r>
      <w:r w:rsidRPr="00354B6C">
        <w:rPr>
          <w:rStyle w:val="PlaceholderText"/>
          <w:rFonts w:eastAsiaTheme="majorEastAsia" w:hint="default"/>
          <w:color w:val="auto"/>
        </w:rPr>
        <w:t xml:space="preserve"> zamestná</w:t>
      </w:r>
      <w:r w:rsidRPr="00354B6C">
        <w:rPr>
          <w:rStyle w:val="PlaceholderText"/>
          <w:rFonts w:eastAsiaTheme="majorEastAsia" w:hint="default"/>
          <w:color w:val="auto"/>
        </w:rPr>
        <w:t>vateľ</w:t>
      </w:r>
      <w:r w:rsidRPr="00354B6C">
        <w:rPr>
          <w:rStyle w:val="PlaceholderText"/>
          <w:rFonts w:eastAsiaTheme="majorEastAsia" w:hint="default"/>
          <w:color w:val="auto"/>
        </w:rPr>
        <w:t>a odpočí</w:t>
      </w:r>
      <w:r w:rsidRPr="00354B6C">
        <w:rPr>
          <w:rStyle w:val="PlaceholderText"/>
          <w:rFonts w:eastAsiaTheme="majorEastAsia" w:hint="default"/>
          <w:color w:val="auto"/>
        </w:rPr>
        <w:t>tať</w:t>
      </w:r>
      <w:r w:rsidRPr="00354B6C">
        <w:rPr>
          <w:rStyle w:val="PlaceholderText"/>
          <w:rFonts w:eastAsiaTheme="majorEastAsia" w:hint="default"/>
          <w:color w:val="auto"/>
        </w:rPr>
        <w:t xml:space="preserve"> daň</w:t>
      </w:r>
      <w:r w:rsidRPr="00354B6C">
        <w:rPr>
          <w:rStyle w:val="PlaceholderText"/>
          <w:rFonts w:eastAsiaTheme="majorEastAsia" w:hint="default"/>
          <w:color w:val="auto"/>
        </w:rPr>
        <w:t xml:space="preserve"> vybranú</w:t>
      </w:r>
      <w:r w:rsidRPr="00354B6C">
        <w:rPr>
          <w:rStyle w:val="PlaceholderText"/>
          <w:rFonts w:eastAsiaTheme="majorEastAsia" w:hint="default"/>
          <w:color w:val="auto"/>
        </w:rPr>
        <w:t xml:space="preserve"> zráž</w:t>
      </w:r>
      <w:r w:rsidRPr="00354B6C">
        <w:rPr>
          <w:rStyle w:val="PlaceholderText"/>
          <w:rFonts w:eastAsiaTheme="majorEastAsia" w:hint="default"/>
          <w:color w:val="auto"/>
        </w:rPr>
        <w:t>kou ako preddavok na daň</w:t>
      </w:r>
      <w:r w:rsidRPr="00354B6C">
        <w:rPr>
          <w:rStyle w:val="PlaceholderText"/>
          <w:rFonts w:eastAsiaTheme="majorEastAsia" w:hint="default"/>
          <w:color w:val="auto"/>
        </w:rPr>
        <w:t xml:space="preserve"> pri vykonaní</w:t>
      </w:r>
      <w:r w:rsidRPr="00354B6C">
        <w:rPr>
          <w:rStyle w:val="PlaceholderText"/>
          <w:rFonts w:eastAsiaTheme="majorEastAsia" w:hint="default"/>
          <w:color w:val="auto"/>
        </w:rPr>
        <w:t xml:space="preserve"> roč</w:t>
      </w:r>
      <w:r w:rsidRPr="00354B6C">
        <w:rPr>
          <w:rStyle w:val="PlaceholderText"/>
          <w:rFonts w:eastAsiaTheme="majorEastAsia" w:hint="default"/>
          <w:color w:val="auto"/>
        </w:rPr>
        <w:t>né</w:t>
      </w:r>
      <w:r w:rsidRPr="00354B6C">
        <w:rPr>
          <w:rStyle w:val="PlaceholderText"/>
          <w:rFonts w:eastAsiaTheme="majorEastAsia" w:hint="default"/>
          <w:color w:val="auto"/>
        </w:rPr>
        <w:t>ho zúč</w:t>
      </w:r>
      <w:r w:rsidRPr="00354B6C">
        <w:rPr>
          <w:rStyle w:val="PlaceholderText"/>
          <w:rFonts w:eastAsiaTheme="majorEastAsia" w:hint="default"/>
          <w:color w:val="auto"/>
        </w:rPr>
        <w:t>tovania.</w:t>
      </w:r>
    </w:p>
    <w:p w:rsidR="00354B6C" w:rsidRPr="00354B6C" w:rsidP="00354B6C">
      <w:pPr>
        <w:bidi w:val="0"/>
        <w:jc w:val="both"/>
        <w:rPr>
          <w:rFonts w:ascii="Calibri" w:hAnsi="Calibri" w:eastAsiaTheme="majorEastAsia"/>
          <w:u w:val="single"/>
          <w:lang w:val="en-US"/>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91</w:t>
      </w:r>
      <w:r w:rsidRPr="000862AD">
        <w:rPr>
          <w:rFonts w:ascii="Times New Roman" w:hAnsi="Times New Roman"/>
          <w:b/>
        </w:rPr>
        <w:t xml:space="preserve"> - § 43 ods. 9</w:t>
      </w:r>
    </w:p>
    <w:p w:rsidR="00354B6C" w:rsidRPr="000862AD" w:rsidP="00354B6C">
      <w:pPr>
        <w:bidi w:val="0"/>
        <w:jc w:val="both"/>
        <w:rPr>
          <w:rFonts w:ascii="Times New Roman" w:hAnsi="Times New Roman"/>
        </w:rPr>
      </w:pPr>
      <w:r w:rsidRPr="000862AD">
        <w:rPr>
          <w:rFonts w:ascii="Times New Roman" w:hAnsi="Times New Roman"/>
        </w:rPr>
        <w:t xml:space="preserve">Navrhuje sa spresnenie v nadväznosti na zákon č. 594/2003 Z. z. o kolektívnom investovaní a o zmene a doplnení niektorých zákonov v znení neskorších predpisov. </w:t>
      </w:r>
    </w:p>
    <w:p w:rsidR="00354B6C" w:rsidP="00354B6C">
      <w:pPr>
        <w:bidi w:val="0"/>
        <w:jc w:val="both"/>
        <w:rPr>
          <w:rFonts w:ascii="Times New Roman" w:hAnsi="Times New Roman"/>
          <w:b/>
        </w:rPr>
      </w:pPr>
    </w:p>
    <w:p w:rsidR="006651EE" w:rsidRPr="000862AD" w:rsidP="00354B6C">
      <w:pPr>
        <w:bidi w:val="0"/>
        <w:jc w:val="both"/>
        <w:rPr>
          <w:rFonts w:ascii="Times New Roman" w:hAnsi="Times New Roman"/>
          <w:b/>
        </w:rPr>
      </w:pPr>
    </w:p>
    <w:p w:rsidR="00354B6C" w:rsidRPr="000862AD" w:rsidP="00354B6C">
      <w:pPr>
        <w:bidi w:val="0"/>
        <w:rPr>
          <w:rFonts w:ascii="Times New Roman" w:hAnsi="Times New Roman"/>
          <w:b/>
        </w:rPr>
      </w:pPr>
      <w:r w:rsidRPr="000862AD">
        <w:rPr>
          <w:rFonts w:ascii="Times New Roman" w:hAnsi="Times New Roman"/>
          <w:b/>
        </w:rPr>
        <w:t xml:space="preserve">K bodu </w:t>
      </w:r>
      <w:r w:rsidR="00D13F9C">
        <w:rPr>
          <w:rFonts w:ascii="Times New Roman" w:hAnsi="Times New Roman"/>
          <w:b/>
        </w:rPr>
        <w:t>92</w:t>
      </w:r>
      <w:r w:rsidRPr="000862AD">
        <w:rPr>
          <w:rFonts w:ascii="Times New Roman" w:hAnsi="Times New Roman"/>
          <w:b/>
        </w:rPr>
        <w:t xml:space="preserve"> - § 43 ods. 11</w:t>
      </w:r>
    </w:p>
    <w:p w:rsidR="00354B6C" w:rsidP="00354B6C">
      <w:pPr>
        <w:bidi w:val="0"/>
        <w:jc w:val="both"/>
        <w:rPr>
          <w:rFonts w:ascii="Times New Roman" w:hAnsi="Times New Roman"/>
        </w:rPr>
      </w:pPr>
      <w:r w:rsidRPr="0059564E">
        <w:rPr>
          <w:rFonts w:ascii="Times New Roman" w:hAnsi="Times New Roman"/>
        </w:rPr>
        <w:t xml:space="preserve">Ustanovením sa spresňuje, že platiteľ dane je povinný oznámiť správcovi dane vykonanie zrážky </w:t>
      </w:r>
      <w:r w:rsidRPr="009E35F6">
        <w:rPr>
          <w:rFonts w:ascii="Times New Roman" w:hAnsi="Times New Roman"/>
        </w:rPr>
        <w:t>a</w:t>
      </w:r>
      <w:r>
        <w:rPr>
          <w:rFonts w:ascii="Times New Roman" w:hAnsi="Times New Roman"/>
        </w:rPr>
        <w:t xml:space="preserve"> </w:t>
      </w:r>
      <w:r w:rsidRPr="0059564E">
        <w:rPr>
          <w:rFonts w:ascii="Times New Roman" w:hAnsi="Times New Roman"/>
        </w:rPr>
        <w:t>odvedenie dane vyberanej zrážkou. Ustanovenie bolo upravené aj v nadväznosti na zmenu § 43 ods. 3 písm. j) - všetky príjmy zo závislej činnosti už budú zdaňované len preddavkovým spôsobom.</w:t>
      </w:r>
    </w:p>
    <w:p w:rsidR="006651EE" w:rsidRPr="0059564E"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93</w:t>
      </w:r>
      <w:r w:rsidRPr="000862AD">
        <w:rPr>
          <w:rFonts w:ascii="Times New Roman" w:hAnsi="Times New Roman"/>
          <w:b/>
        </w:rPr>
        <w:t xml:space="preserve"> - § 43 ods. 13  </w:t>
      </w:r>
    </w:p>
    <w:p w:rsidR="00354B6C" w:rsidP="00354B6C">
      <w:pPr>
        <w:bidi w:val="0"/>
        <w:jc w:val="both"/>
        <w:rPr>
          <w:rFonts w:ascii="Times New Roman" w:hAnsi="Times New Roman"/>
        </w:rPr>
      </w:pPr>
      <w:r w:rsidRPr="000862AD">
        <w:rPr>
          <w:rFonts w:ascii="Times New Roman" w:hAnsi="Times New Roman"/>
        </w:rPr>
        <w:t>Ustanovenie vypustené v nadväznosti na úpravu § 43 ods. 6</w:t>
      </w:r>
      <w:r>
        <w:rPr>
          <w:rFonts w:ascii="Times New Roman" w:hAnsi="Times New Roman"/>
        </w:rPr>
        <w:t>.</w:t>
      </w:r>
      <w:r w:rsidRPr="000862AD">
        <w:rPr>
          <w:rFonts w:ascii="Times New Roman" w:hAnsi="Times New Roman"/>
        </w:rPr>
        <w:t xml:space="preserve"> </w:t>
      </w:r>
      <w:r>
        <w:rPr>
          <w:rFonts w:ascii="Times New Roman" w:hAnsi="Times New Roman"/>
        </w:rPr>
        <w:t xml:space="preserve">Zostávajúce odseky sa prečíslujú. </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00D13F9C">
        <w:rPr>
          <w:rFonts w:ascii="Times New Roman" w:hAnsi="Times New Roman"/>
          <w:b/>
        </w:rPr>
        <w:t>K bodu 94</w:t>
      </w:r>
      <w:r w:rsidRPr="000862AD">
        <w:rPr>
          <w:rFonts w:ascii="Times New Roman" w:hAnsi="Times New Roman"/>
          <w:b/>
        </w:rPr>
        <w:t xml:space="preserve"> - § 43 ods. 14</w:t>
      </w:r>
    </w:p>
    <w:p w:rsidR="00354B6C" w:rsidRPr="0059564E" w:rsidP="00354B6C">
      <w:pPr>
        <w:tabs>
          <w:tab w:val="left" w:pos="142"/>
        </w:tabs>
        <w:bidi w:val="0"/>
        <w:jc w:val="both"/>
        <w:rPr>
          <w:rFonts w:ascii="Times New Roman" w:hAnsi="Times New Roman"/>
        </w:rPr>
      </w:pPr>
      <w:r w:rsidRPr="0059564E">
        <w:rPr>
          <w:rFonts w:ascii="Times New Roman" w:hAnsi="Times New Roman"/>
        </w:rPr>
        <w:t xml:space="preserve">Úprava je vykonaná v nadväznosti na zmenu § 43 ods. 6. Ak úrokový výnos z dlhopisov a pokladničných poukážok </w:t>
      </w:r>
      <w:r w:rsidRPr="009E35F6">
        <w:rPr>
          <w:rFonts w:ascii="Times New Roman" w:hAnsi="Times New Roman"/>
        </w:rPr>
        <w:t>plynie fyzickej osobe s obmedzenou alebo neobmedzenou daňovou povinnosťou na území Slovenskej republiky</w:t>
      </w:r>
      <w:r>
        <w:rPr>
          <w:rFonts w:ascii="Times New Roman" w:hAnsi="Times New Roman"/>
        </w:rPr>
        <w:t xml:space="preserve"> </w:t>
      </w:r>
      <w:r w:rsidRPr="009E35F6">
        <w:rPr>
          <w:rFonts w:ascii="Times New Roman" w:hAnsi="Times New Roman"/>
        </w:rPr>
        <w:t>daňovníkovi nezaloženému</w:t>
      </w:r>
      <w:r w:rsidRPr="0059564E">
        <w:rPr>
          <w:rFonts w:ascii="Times New Roman" w:hAnsi="Times New Roman"/>
        </w:rPr>
        <w:t xml:space="preserve"> alebo </w:t>
      </w:r>
      <w:r w:rsidRPr="009E35F6">
        <w:rPr>
          <w:rFonts w:ascii="Times New Roman" w:hAnsi="Times New Roman"/>
        </w:rPr>
        <w:t>nezriadenému n</w:t>
      </w:r>
      <w:r w:rsidRPr="0059564E">
        <w:rPr>
          <w:rFonts w:ascii="Times New Roman" w:hAnsi="Times New Roman"/>
        </w:rPr>
        <w:t xml:space="preserve">a podnikanie, Fondu národného majetku Slovenskej republiky, Národnej banke Slovenska a právnickej osobe daňovníkovi s obmedzenou daňovou povinnosťou, ktorý na území Slovenskej republiky nepodniká prostredníctvom stálej prevádzkarne, zdaňuje sa daňou vyberanou zrážkou podľa § 43 ods. 3 písm. i), pričom za vykonanie zrážky je zodpovedný ako platiteľ dane obchodník s cennými papiermi, ktorý </w:t>
      </w:r>
      <w:r w:rsidRPr="009E35F6">
        <w:rPr>
          <w:rFonts w:ascii="Times New Roman" w:hAnsi="Times New Roman"/>
        </w:rPr>
        <w:t>drží</w:t>
      </w:r>
      <w:r w:rsidRPr="0059564E">
        <w:rPr>
          <w:rFonts w:ascii="Times New Roman" w:hAnsi="Times New Roman"/>
        </w:rPr>
        <w:t xml:space="preserve"> finančné nástroje a peňažné prostriedky klientov, z ktorých tieto príjmy plynú.</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Pr>
          <w:rFonts w:ascii="Times New Roman" w:hAnsi="Times New Roman"/>
          <w:b/>
        </w:rPr>
        <w:t>K bodom 9</w:t>
      </w:r>
      <w:r w:rsidR="00D13F9C">
        <w:rPr>
          <w:rFonts w:ascii="Times New Roman" w:hAnsi="Times New Roman"/>
          <w:b/>
        </w:rPr>
        <w:t>5</w:t>
      </w:r>
      <w:r w:rsidRPr="000862AD">
        <w:rPr>
          <w:rFonts w:ascii="Times New Roman" w:hAnsi="Times New Roman"/>
          <w:b/>
        </w:rPr>
        <w:t xml:space="preserve"> a </w:t>
      </w:r>
      <w:r>
        <w:rPr>
          <w:rFonts w:ascii="Times New Roman" w:hAnsi="Times New Roman"/>
          <w:b/>
        </w:rPr>
        <w:t>9</w:t>
      </w:r>
      <w:r w:rsidR="00D13F9C">
        <w:rPr>
          <w:rFonts w:ascii="Times New Roman" w:hAnsi="Times New Roman"/>
          <w:b/>
        </w:rPr>
        <w:t>6</w:t>
      </w:r>
      <w:r w:rsidRPr="000862AD">
        <w:rPr>
          <w:rFonts w:ascii="Times New Roman" w:hAnsi="Times New Roman"/>
          <w:b/>
        </w:rPr>
        <w:t xml:space="preserve"> - § 45 ods. 3 písm. a) a ods. 4</w:t>
      </w:r>
    </w:p>
    <w:p w:rsidR="00354B6C" w:rsidRPr="000862AD" w:rsidP="00354B6C">
      <w:pPr>
        <w:bidi w:val="0"/>
        <w:jc w:val="both"/>
        <w:rPr>
          <w:rFonts w:ascii="Times New Roman" w:hAnsi="Times New Roman"/>
        </w:rPr>
      </w:pPr>
      <w:r w:rsidRPr="000862AD">
        <w:rPr>
          <w:rFonts w:ascii="Times New Roman" w:hAnsi="Times New Roman"/>
        </w:rPr>
        <w:t>Úprava je vykonaná v nadväznosti na Lisabonskú zmluvu, ktorou sa mení a dopĺňa zmluva o Európskej únii a zmluva o založení Európskeho spoločenstva (oznámenie č. 486/2009 Z. z.), ktorou Európska únia nahrádza Európske spoločenstvo a stáva sa jeho právnym nástupcom.</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sidR="00D13F9C">
        <w:rPr>
          <w:rFonts w:ascii="Times New Roman" w:hAnsi="Times New Roman"/>
          <w:b/>
        </w:rPr>
        <w:t>97</w:t>
      </w:r>
      <w:r w:rsidRPr="000862AD">
        <w:rPr>
          <w:rFonts w:ascii="Times New Roman" w:hAnsi="Times New Roman"/>
          <w:b/>
        </w:rPr>
        <w:t xml:space="preserve"> - § 46</w:t>
      </w:r>
    </w:p>
    <w:p w:rsidR="00354B6C" w:rsidRPr="000862AD" w:rsidP="00354B6C">
      <w:pPr>
        <w:bidi w:val="0"/>
        <w:jc w:val="both"/>
        <w:rPr>
          <w:rFonts w:ascii="Times New Roman" w:hAnsi="Times New Roman"/>
          <w:vertAlign w:val="superscript"/>
        </w:rPr>
      </w:pPr>
      <w:r w:rsidRPr="000862AD">
        <w:rPr>
          <w:rFonts w:ascii="Times New Roman" w:hAnsi="Times New Roman"/>
        </w:rPr>
        <w:t>Úprava je vykonaná v súvislosti so zmenou § 11 (nezdaniteľné časti základu dane).</w:t>
      </w:r>
    </w:p>
    <w:p w:rsidR="00354B6C" w:rsidRPr="000862AD" w:rsidP="00354B6C">
      <w:pPr>
        <w:bidi w:val="0"/>
        <w:jc w:val="both"/>
        <w:rPr>
          <w:rFonts w:ascii="Times New Roman" w:hAnsi="Times New Roman"/>
        </w:rPr>
      </w:pPr>
    </w:p>
    <w:p w:rsidR="00354B6C" w:rsidRPr="000862AD" w:rsidP="00354B6C">
      <w:pPr>
        <w:pStyle w:val="ListParagraph"/>
        <w:bidi w:val="0"/>
        <w:ind w:left="0"/>
        <w:jc w:val="both"/>
        <w:rPr>
          <w:rFonts w:ascii="Times New Roman" w:hAnsi="Times New Roman"/>
          <w:b/>
          <w:sz w:val="24"/>
          <w:szCs w:val="24"/>
        </w:rPr>
      </w:pPr>
      <w:r w:rsidRPr="000862AD">
        <w:rPr>
          <w:rFonts w:ascii="Times New Roman" w:hAnsi="Times New Roman"/>
          <w:b/>
          <w:sz w:val="24"/>
          <w:szCs w:val="24"/>
        </w:rPr>
        <w:t xml:space="preserve">K bodu </w:t>
      </w:r>
      <w:r w:rsidR="00D13F9C">
        <w:rPr>
          <w:rFonts w:ascii="Times New Roman" w:hAnsi="Times New Roman"/>
          <w:b/>
          <w:sz w:val="24"/>
          <w:szCs w:val="24"/>
        </w:rPr>
        <w:t>98</w:t>
      </w:r>
      <w:r w:rsidRPr="000862AD">
        <w:rPr>
          <w:rFonts w:ascii="Times New Roman" w:hAnsi="Times New Roman"/>
          <w:b/>
          <w:sz w:val="24"/>
          <w:szCs w:val="24"/>
        </w:rPr>
        <w:t xml:space="preserve"> - § 50 nový odsek 15</w:t>
      </w:r>
    </w:p>
    <w:p w:rsidR="00354B6C" w:rsidRPr="000862AD" w:rsidP="00354B6C">
      <w:pPr>
        <w:tabs>
          <w:tab w:val="left" w:pos="142"/>
        </w:tabs>
        <w:bidi w:val="0"/>
        <w:jc w:val="both"/>
        <w:rPr>
          <w:rFonts w:ascii="Times New Roman" w:hAnsi="Times New Roman"/>
        </w:rPr>
      </w:pPr>
      <w:r w:rsidRPr="000862AD">
        <w:rPr>
          <w:rFonts w:ascii="Times New Roman" w:hAnsi="Times New Roman"/>
        </w:rPr>
        <w:t>S účinnosťou od 1. januára 2011 sa výška poukázaného podielu zaplatenej dane daňovníkom (právnickou osobou) odvíja od poskytnutia finančného daru na verejnoprospešné účely. Keďže ide o prostriedky štátneho rozpočtu odvedené vo forme dane</w:t>
      </w:r>
      <w:r>
        <w:rPr>
          <w:rFonts w:ascii="Times New Roman" w:hAnsi="Times New Roman"/>
        </w:rPr>
        <w:t>,</w:t>
      </w:r>
      <w:r w:rsidRPr="000862AD">
        <w:rPr>
          <w:rFonts w:ascii="Times New Roman" w:hAnsi="Times New Roman"/>
        </w:rPr>
        <w:t xml:space="preserve"> navrhuje sa kontrola alebo miestne zisťovanie </w:t>
      </w:r>
      <w:r w:rsidRPr="0004616D">
        <w:rPr>
          <w:rFonts w:ascii="Times New Roman" w:hAnsi="Times New Roman"/>
        </w:rPr>
        <w:t>v súvislosti s týmito prostriedkami</w:t>
      </w:r>
      <w:r>
        <w:rPr>
          <w:rFonts w:ascii="Times New Roman" w:hAnsi="Times New Roman"/>
        </w:rPr>
        <w:t xml:space="preserve"> </w:t>
      </w:r>
      <w:r w:rsidRPr="000862AD">
        <w:rPr>
          <w:rFonts w:ascii="Times New Roman" w:hAnsi="Times New Roman"/>
        </w:rPr>
        <w:t>podľa zákona SNR č. 511/1992 Zb. o správe daní a poplatkov a o zmenách v sústave územných finančných orgánov v znení neskorších predpisov. Pri zistení porušenia zákonom ustanovených podmienok správca dane uloží daňovníkovi rozhodnutím zaplatiť sumu vo výške rozdielu, o ktorý neoprávnene poukázal vyššiu sumu podielu zaplatenej dane a vyrubí mu sankčný úrok v zákonom určenej výške. V prípade, ak daňovník zistí porušenie podmienok sám, je povinný rozdiel vrátiť miestne príslušnému správcovi dane a tento mu rozhodnutím vyrubí sankčný úrok v polovičnej výške.</w:t>
      </w:r>
    </w:p>
    <w:p w:rsidR="00354B6C" w:rsidP="00354B6C">
      <w:pPr>
        <w:bidi w:val="0"/>
        <w:jc w:val="both"/>
        <w:rPr>
          <w:rFonts w:ascii="Times New Roman" w:hAnsi="Times New Roman"/>
          <w:b/>
        </w:rPr>
      </w:pPr>
    </w:p>
    <w:p w:rsidR="00354B6C" w:rsidRPr="000862AD" w:rsidP="00354B6C">
      <w:pPr>
        <w:bidi w:val="0"/>
        <w:jc w:val="both"/>
        <w:rPr>
          <w:rFonts w:ascii="Times New Roman" w:hAnsi="Times New Roman"/>
          <w:b/>
        </w:rPr>
      </w:pPr>
      <w:r w:rsidRPr="000862AD">
        <w:rPr>
          <w:rFonts w:ascii="Times New Roman" w:hAnsi="Times New Roman"/>
          <w:b/>
        </w:rPr>
        <w:t xml:space="preserve">K bodom </w:t>
      </w:r>
      <w:r>
        <w:rPr>
          <w:rFonts w:ascii="Times New Roman" w:hAnsi="Times New Roman"/>
          <w:b/>
        </w:rPr>
        <w:t>9</w:t>
      </w:r>
      <w:r w:rsidR="00D13F9C">
        <w:rPr>
          <w:rFonts w:ascii="Times New Roman" w:hAnsi="Times New Roman"/>
          <w:b/>
        </w:rPr>
        <w:t>9</w:t>
      </w:r>
      <w:r>
        <w:rPr>
          <w:rFonts w:ascii="Times New Roman" w:hAnsi="Times New Roman"/>
          <w:b/>
        </w:rPr>
        <w:t xml:space="preserve"> </w:t>
      </w:r>
      <w:r w:rsidRPr="000862AD">
        <w:rPr>
          <w:rFonts w:ascii="Times New Roman" w:hAnsi="Times New Roman"/>
          <w:b/>
        </w:rPr>
        <w:t>a </w:t>
      </w:r>
      <w:r>
        <w:rPr>
          <w:rFonts w:ascii="Times New Roman" w:hAnsi="Times New Roman"/>
          <w:b/>
        </w:rPr>
        <w:t>10</w:t>
      </w:r>
      <w:r w:rsidR="00D13F9C">
        <w:rPr>
          <w:rFonts w:ascii="Times New Roman" w:hAnsi="Times New Roman"/>
          <w:b/>
        </w:rPr>
        <w:t>1</w:t>
      </w:r>
      <w:r w:rsidRPr="000862AD">
        <w:rPr>
          <w:rFonts w:ascii="Times New Roman" w:hAnsi="Times New Roman"/>
          <w:b/>
        </w:rPr>
        <w:t xml:space="preserve"> - § 52a a príloha č. 2</w:t>
      </w:r>
    </w:p>
    <w:p w:rsidR="00354B6C" w:rsidRPr="000862AD" w:rsidP="00354B6C">
      <w:pPr>
        <w:bidi w:val="0"/>
        <w:jc w:val="both"/>
        <w:rPr>
          <w:rFonts w:ascii="Times New Roman" w:hAnsi="Times New Roman"/>
        </w:rPr>
      </w:pPr>
      <w:r w:rsidRPr="000862AD">
        <w:rPr>
          <w:rFonts w:ascii="Times New Roman" w:hAnsi="Times New Roman"/>
        </w:rPr>
        <w:t>Úprava je vykonaná v nadväznosti na Lisabonskú zmluvu, ktorou sa mení a dopĺňa zmluva o Európskej únii a zmluva o založení Európskeho spoločenstva (oznámenie č. 486/2009 Z. z.), ktorou Európska únia nahrádza Európske spoločenstvo a stáva sa jeho právnym nástupcom.</w:t>
      </w:r>
    </w:p>
    <w:p w:rsidR="00354B6C" w:rsidRPr="000862AD" w:rsidP="00354B6C">
      <w:pPr>
        <w:bidi w:val="0"/>
        <w:jc w:val="both"/>
        <w:rPr>
          <w:rFonts w:ascii="Times New Roman" w:hAnsi="Times New Roman"/>
        </w:rPr>
      </w:pPr>
    </w:p>
    <w:p w:rsidR="00354B6C" w:rsidRPr="000862AD" w:rsidP="00354B6C">
      <w:pPr>
        <w:bidi w:val="0"/>
        <w:jc w:val="both"/>
        <w:rPr>
          <w:rFonts w:ascii="Times New Roman" w:hAnsi="Times New Roman"/>
          <w:b/>
          <w:bCs/>
        </w:rPr>
      </w:pPr>
      <w:r w:rsidRPr="000862AD">
        <w:rPr>
          <w:rFonts w:ascii="Times New Roman" w:hAnsi="Times New Roman"/>
          <w:b/>
          <w:bCs/>
        </w:rPr>
        <w:t xml:space="preserve">K bodu </w:t>
      </w:r>
      <w:r w:rsidR="00D13F9C">
        <w:rPr>
          <w:rFonts w:ascii="Times New Roman" w:hAnsi="Times New Roman"/>
          <w:b/>
          <w:bCs/>
        </w:rPr>
        <w:t>100</w:t>
      </w:r>
      <w:r w:rsidRPr="000862AD">
        <w:rPr>
          <w:rFonts w:ascii="Times New Roman" w:hAnsi="Times New Roman"/>
          <w:b/>
          <w:bCs/>
        </w:rPr>
        <w:t xml:space="preserve"> – § 52j - </w:t>
      </w:r>
      <w:r w:rsidRPr="000862AD">
        <w:rPr>
          <w:rFonts w:ascii="Times New Roman" w:hAnsi="Times New Roman"/>
          <w:b/>
        </w:rPr>
        <w:t>prechodné ustanovenia k úpravám účinným od 1. januára 2011</w:t>
      </w:r>
    </w:p>
    <w:p w:rsidR="00354B6C" w:rsidRPr="0059564E" w:rsidP="00354B6C">
      <w:pPr>
        <w:bidi w:val="0"/>
        <w:jc w:val="both"/>
        <w:rPr>
          <w:rFonts w:ascii="Times New Roman" w:hAnsi="Times New Roman"/>
          <w:szCs w:val="20"/>
        </w:rPr>
      </w:pPr>
      <w:r w:rsidRPr="000862AD">
        <w:rPr>
          <w:rFonts w:ascii="Times New Roman" w:hAnsi="Times New Roman"/>
        </w:rPr>
        <w:t xml:space="preserve">Odsek 1 – </w:t>
      </w:r>
      <w:r w:rsidRPr="0059564E">
        <w:rPr>
          <w:rFonts w:ascii="Times New Roman" w:hAnsi="Times New Roman"/>
          <w:szCs w:val="20"/>
        </w:rPr>
        <w:t>vreckové pri zahraničnej pracovnej ceste, na ktorú bol zamestnanec vyslaný po 31. decembri 2010 sa považuje za zdaniteľný príjem.</w:t>
      </w:r>
    </w:p>
    <w:p w:rsidR="00354B6C" w:rsidRPr="000862AD" w:rsidP="00354B6C">
      <w:pPr>
        <w:bidi w:val="0"/>
        <w:jc w:val="both"/>
        <w:rPr>
          <w:rFonts w:ascii="Times New Roman" w:hAnsi="Times New Roman"/>
        </w:rPr>
      </w:pPr>
      <w:r>
        <w:rPr>
          <w:rFonts w:ascii="Times New Roman" w:hAnsi="Times New Roman"/>
        </w:rPr>
        <w:t xml:space="preserve">Odsek 2 - </w:t>
      </w:r>
      <w:r w:rsidRPr="000862AD">
        <w:rPr>
          <w:rFonts w:ascii="Times New Roman" w:hAnsi="Times New Roman"/>
        </w:rPr>
        <w:t>podľa navrhovaného ustanovenia sa oslobodenie príjmov z predaja nehnuteľnosti, v ktorej mal daňovník trvalý pobyt najmenej po dobu dvoch rokov bezprostredne pred predajom a oslobodenie do výšky 5-násobku životného minima pri príjmoch z predaja opcií, cenných papierov a prevodu účasti (podielu) bude naďalej vzťahovať na príjmy z ich predaja, ak boli tieto nehnuteľnosti, opcie, cenné papiere a obchodné podiely nadobudnuté do 31. decembra 2010.</w:t>
      </w:r>
    </w:p>
    <w:p w:rsidR="00354B6C" w:rsidP="00354B6C">
      <w:pPr>
        <w:bidi w:val="0"/>
        <w:jc w:val="both"/>
        <w:rPr>
          <w:rFonts w:ascii="Times New Roman" w:hAnsi="Times New Roman"/>
        </w:rPr>
      </w:pPr>
      <w:r w:rsidRPr="000862AD">
        <w:rPr>
          <w:rFonts w:ascii="Times New Roman" w:hAnsi="Times New Roman"/>
        </w:rPr>
        <w:t xml:space="preserve">Odsek </w:t>
      </w:r>
      <w:r>
        <w:rPr>
          <w:rFonts w:ascii="Times New Roman" w:hAnsi="Times New Roman"/>
        </w:rPr>
        <w:t>3</w:t>
      </w:r>
      <w:r w:rsidRPr="000862AD">
        <w:rPr>
          <w:rFonts w:ascii="Times New Roman" w:hAnsi="Times New Roman"/>
        </w:rPr>
        <w:t xml:space="preserve"> – nezdaniteľné časti základu dane za zdaňovacie obdobie roka 2010 a predchádzajúce roky sa uplatnia v súlade s ustanoveniami zákona v znení účinnom do 31. decembra 2010</w:t>
      </w:r>
      <w:r>
        <w:rPr>
          <w:rFonts w:ascii="Times New Roman" w:hAnsi="Times New Roman"/>
        </w:rPr>
        <w:t>.</w:t>
      </w:r>
      <w:r w:rsidRPr="000862AD">
        <w:rPr>
          <w:rFonts w:ascii="Times New Roman" w:hAnsi="Times New Roman"/>
        </w:rPr>
        <w:t xml:space="preserve"> </w:t>
      </w:r>
    </w:p>
    <w:p w:rsidR="00354B6C" w:rsidRPr="000862AD" w:rsidP="00354B6C">
      <w:pPr>
        <w:bidi w:val="0"/>
        <w:jc w:val="both"/>
        <w:rPr>
          <w:rFonts w:ascii="Times New Roman" w:hAnsi="Times New Roman"/>
        </w:rPr>
      </w:pPr>
      <w:r>
        <w:rPr>
          <w:rFonts w:ascii="Times New Roman" w:hAnsi="Times New Roman"/>
        </w:rPr>
        <w:t xml:space="preserve">Odsek 4 - </w:t>
      </w:r>
      <w:r w:rsidRPr="000862AD">
        <w:rPr>
          <w:rFonts w:ascii="Times New Roman" w:hAnsi="Times New Roman"/>
        </w:rPr>
        <w:t xml:space="preserve">ustanovenia  o porušení podmienok na uplatnenie nezdaniteľných častí základu dane podľa </w:t>
      </w:r>
      <w:r>
        <w:rPr>
          <w:rFonts w:ascii="Times New Roman" w:hAnsi="Times New Roman"/>
        </w:rPr>
        <w:t xml:space="preserve">§ 5 ods. 9 a </w:t>
      </w:r>
      <w:r w:rsidRPr="000862AD">
        <w:rPr>
          <w:rFonts w:ascii="Times New Roman" w:hAnsi="Times New Roman"/>
        </w:rPr>
        <w:t>§ 11 ods. 10 až 14  v znení účinnom do 31. decembra 2010 sa použijú aj pri porušení podmienok po 31. decembri 2010.</w:t>
      </w:r>
    </w:p>
    <w:p w:rsidR="00354B6C" w:rsidRPr="000862AD" w:rsidP="00354B6C">
      <w:pPr>
        <w:bidi w:val="0"/>
        <w:jc w:val="both"/>
        <w:rPr>
          <w:rFonts w:ascii="Times New Roman" w:hAnsi="Times New Roman"/>
        </w:rPr>
      </w:pPr>
      <w:r w:rsidRPr="000862AD">
        <w:rPr>
          <w:rFonts w:ascii="Times New Roman" w:hAnsi="Times New Roman"/>
        </w:rPr>
        <w:t xml:space="preserve">Odsek </w:t>
      </w:r>
      <w:r>
        <w:rPr>
          <w:rFonts w:ascii="Times New Roman" w:hAnsi="Times New Roman"/>
        </w:rPr>
        <w:t>5</w:t>
      </w:r>
      <w:r w:rsidRPr="000862AD">
        <w:rPr>
          <w:rFonts w:ascii="Times New Roman" w:hAnsi="Times New Roman"/>
        </w:rPr>
        <w:t xml:space="preserve"> – zmeny zákona o dani z príjmov týkajúce sa finančného prenájmu sa uplatňujú na zmluvy s dojednaným právom kúpy prenajatej veci uzatvorené po 31. decembri 2010. Na zmluvy s dojednaným právom kúpy prenajatej veci uzatvorené do 31. decembra 2010 sa použijú ustanovenia zákona platného do 31. decembra 2010.</w:t>
      </w:r>
    </w:p>
    <w:p w:rsidR="00354B6C" w:rsidP="00354B6C">
      <w:pPr>
        <w:bidi w:val="0"/>
        <w:jc w:val="both"/>
        <w:rPr>
          <w:rFonts w:ascii="Times New Roman" w:hAnsi="Times New Roman"/>
          <w:szCs w:val="20"/>
        </w:rPr>
      </w:pPr>
      <w:r w:rsidRPr="000862AD">
        <w:rPr>
          <w:rFonts w:ascii="Times New Roman" w:hAnsi="Times New Roman"/>
        </w:rPr>
        <w:t xml:space="preserve">Odsek </w:t>
      </w:r>
      <w:r>
        <w:rPr>
          <w:rFonts w:ascii="Times New Roman" w:hAnsi="Times New Roman"/>
        </w:rPr>
        <w:t>6</w:t>
      </w:r>
      <w:r w:rsidRPr="000862AD">
        <w:rPr>
          <w:rFonts w:ascii="Times New Roman" w:hAnsi="Times New Roman"/>
        </w:rPr>
        <w:t xml:space="preserve"> – </w:t>
      </w:r>
      <w:r w:rsidRPr="0059564E">
        <w:rPr>
          <w:rFonts w:ascii="Times New Roman" w:hAnsi="Times New Roman"/>
        </w:rPr>
        <w:t>l</w:t>
      </w:r>
      <w:r w:rsidRPr="0059564E">
        <w:rPr>
          <w:rFonts w:ascii="Times New Roman" w:hAnsi="Times New Roman"/>
          <w:szCs w:val="20"/>
        </w:rPr>
        <w:t>en goodwill alebo záporný goodwill vykázaný počnúc 1. januárom 2011 (rozhodný deň nastal počnúc 1. januárom 2011) bude možné zahrnovať do základu dane  podľa upraveného ustanovenia § 17c ods. 3 písm. c). Goodwill alebo záporný goodwill vykázaný do tohto dátumu sa do základu dane nezahrnuje.</w:t>
      </w:r>
    </w:p>
    <w:p w:rsidR="00354B6C" w:rsidRPr="000862AD" w:rsidP="00354B6C">
      <w:pPr>
        <w:bidi w:val="0"/>
        <w:jc w:val="both"/>
        <w:rPr>
          <w:rFonts w:ascii="Times New Roman" w:hAnsi="Times New Roman"/>
        </w:rPr>
      </w:pPr>
      <w:r>
        <w:rPr>
          <w:rFonts w:ascii="Times New Roman" w:hAnsi="Times New Roman"/>
          <w:szCs w:val="20"/>
        </w:rPr>
        <w:t xml:space="preserve">Odsek 7 - </w:t>
      </w:r>
      <w:r w:rsidRPr="000862AD">
        <w:rPr>
          <w:rFonts w:ascii="Times New Roman" w:hAnsi="Times New Roman"/>
        </w:rPr>
        <w:t xml:space="preserve">vymedzenie nehmotného majetku podľa § 22 ods. </w:t>
      </w:r>
      <w:r>
        <w:rPr>
          <w:rFonts w:ascii="Times New Roman" w:hAnsi="Times New Roman"/>
        </w:rPr>
        <w:t>7</w:t>
      </w:r>
      <w:r w:rsidRPr="000862AD">
        <w:rPr>
          <w:rFonts w:ascii="Times New Roman" w:hAnsi="Times New Roman"/>
        </w:rPr>
        <w:t xml:space="preserve"> platné od 1. januára 2011 sa použije na nehmotný majetok  uvedený do užívania po 31. decembri 2010.</w:t>
      </w:r>
    </w:p>
    <w:p w:rsidR="00354B6C" w:rsidP="00354B6C">
      <w:pPr>
        <w:bidi w:val="0"/>
        <w:jc w:val="both"/>
        <w:rPr>
          <w:rFonts w:ascii="Times New Roman" w:hAnsi="Times New Roman"/>
        </w:rPr>
      </w:pPr>
      <w:r w:rsidRPr="000862AD">
        <w:rPr>
          <w:rFonts w:ascii="Times New Roman" w:hAnsi="Times New Roman"/>
        </w:rPr>
        <w:t xml:space="preserve">Odsek </w:t>
      </w:r>
      <w:r>
        <w:rPr>
          <w:rFonts w:ascii="Times New Roman" w:hAnsi="Times New Roman"/>
        </w:rPr>
        <w:t>8</w:t>
      </w:r>
      <w:r w:rsidRPr="000862AD">
        <w:rPr>
          <w:rFonts w:ascii="Times New Roman" w:hAnsi="Times New Roman"/>
        </w:rPr>
        <w:t xml:space="preserve"> – prechodné ustanovenie zabezpečuje</w:t>
      </w:r>
      <w:r>
        <w:rPr>
          <w:rFonts w:ascii="Times New Roman" w:hAnsi="Times New Roman"/>
        </w:rPr>
        <w:t>,</w:t>
      </w:r>
      <w:r w:rsidRPr="000862AD">
        <w:rPr>
          <w:rFonts w:ascii="Times New Roman" w:hAnsi="Times New Roman"/>
        </w:rPr>
        <w:t xml:space="preserve"> aby sa príjmy zo závislej činnosti napr. za mesiac december 2010 vyplatené do 31. januára 2011 zdaňovali podľa znenia zákona platného do 31. decembra 2010.</w:t>
      </w:r>
    </w:p>
    <w:p w:rsidR="00354B6C" w:rsidRPr="00187627" w:rsidP="00354B6C">
      <w:pPr>
        <w:bidi w:val="0"/>
        <w:jc w:val="both"/>
        <w:rPr>
          <w:rFonts w:ascii="Times New Roman" w:hAnsi="Times New Roman"/>
          <w:color w:val="FF0000"/>
          <w:szCs w:val="20"/>
        </w:rPr>
      </w:pPr>
    </w:p>
    <w:p w:rsidR="00354B6C" w:rsidRPr="000862AD" w:rsidP="00354B6C">
      <w:pPr>
        <w:bidi w:val="0"/>
        <w:jc w:val="both"/>
        <w:rPr>
          <w:rFonts w:ascii="Times New Roman" w:hAnsi="Times New Roman"/>
          <w:b/>
        </w:rPr>
      </w:pPr>
      <w:r w:rsidRPr="000862AD">
        <w:rPr>
          <w:rFonts w:ascii="Times New Roman" w:hAnsi="Times New Roman"/>
          <w:b/>
        </w:rPr>
        <w:t xml:space="preserve">K bodu </w:t>
      </w:r>
      <w:r>
        <w:rPr>
          <w:rFonts w:ascii="Times New Roman" w:hAnsi="Times New Roman"/>
          <w:b/>
        </w:rPr>
        <w:t>10</w:t>
      </w:r>
      <w:r w:rsidR="00D13F9C">
        <w:rPr>
          <w:rFonts w:ascii="Times New Roman" w:hAnsi="Times New Roman"/>
          <w:b/>
        </w:rPr>
        <w:t>2</w:t>
      </w:r>
      <w:r w:rsidRPr="000862AD">
        <w:rPr>
          <w:rFonts w:ascii="Times New Roman" w:hAnsi="Times New Roman"/>
          <w:b/>
        </w:rPr>
        <w:t xml:space="preserve"> – príloha č. 2 </w:t>
      </w:r>
      <w:r>
        <w:rPr>
          <w:rFonts w:ascii="Times New Roman" w:hAnsi="Times New Roman"/>
          <w:b/>
        </w:rPr>
        <w:t xml:space="preserve">prvý a </w:t>
      </w:r>
      <w:r w:rsidRPr="000862AD">
        <w:rPr>
          <w:rFonts w:ascii="Times New Roman" w:hAnsi="Times New Roman"/>
          <w:b/>
        </w:rPr>
        <w:t>druhý bod</w:t>
      </w:r>
    </w:p>
    <w:p w:rsidR="00354B6C" w:rsidRPr="000862AD" w:rsidP="00354B6C">
      <w:pPr>
        <w:bidi w:val="0"/>
        <w:jc w:val="both"/>
        <w:rPr>
          <w:rFonts w:ascii="Times New Roman" w:hAnsi="Times New Roman"/>
        </w:rPr>
      </w:pPr>
      <w:r>
        <w:rPr>
          <w:rFonts w:ascii="Times New Roman" w:hAnsi="Times New Roman"/>
        </w:rPr>
        <w:t>Smernicou</w:t>
      </w:r>
      <w:r w:rsidRPr="00251B6B">
        <w:rPr>
          <w:rFonts w:ascii="Times New Roman" w:hAnsi="Times New Roman"/>
        </w:rPr>
        <w:t xml:space="preserve"> Rady 2008/7/ES z 12. februára 2008 o nepriamych daniach z navyšovania kapitálu (Ú. v. EÚ L 46, 21.</w:t>
      </w:r>
      <w:r>
        <w:rPr>
          <w:rFonts w:ascii="Times New Roman" w:hAnsi="Times New Roman"/>
        </w:rPr>
        <w:t xml:space="preserve"> </w:t>
      </w:r>
      <w:r w:rsidRPr="00251B6B">
        <w:rPr>
          <w:rFonts w:ascii="Times New Roman" w:hAnsi="Times New Roman"/>
        </w:rPr>
        <w:t>2. 2008)</w:t>
      </w:r>
      <w:r>
        <w:rPr>
          <w:rFonts w:ascii="Times New Roman" w:hAnsi="Times New Roman"/>
        </w:rPr>
        <w:t xml:space="preserve"> bola zrušená smernica Rady 69/335EHS zo 17. júla 1969 o nepriamych daniach z tvorby a navyšovania základného imania v znení smernice Rady 74/553/EHS zo 7. novembra 1974, smernice Rady 85/303/EHS z 10. júna 1985 a v znení smernice Rady 2006/98/ES z 20. novembra 2006, ktorá bola uvedená v prvom bode prílohy č. 2. </w:t>
      </w:r>
      <w:r w:rsidRPr="000862AD">
        <w:rPr>
          <w:rFonts w:ascii="Times New Roman" w:hAnsi="Times New Roman"/>
        </w:rPr>
        <w:t xml:space="preserve">Smernica Rady 90/434/EHS z 23. júla 1990 o spoločnom systéme zdaňovania obchodných spoločností rôznych členských štátov pri zlučovaní, rozdeľovaní a prevode aktív a výmene akcií týkajúcich sa spoločností rôznych členských štátov v znení smernice Rady 2005/19/ES zo 17. februára 2005 a v znení smernice Rady 2006/98/ES z 20. novembra 2006 bola kodifikovaná. Z tohto dôvodu </w:t>
      </w:r>
      <w:r>
        <w:rPr>
          <w:rFonts w:ascii="Times New Roman" w:hAnsi="Times New Roman"/>
        </w:rPr>
        <w:t>v druhom bode prílohy</w:t>
      </w:r>
      <w:r w:rsidRPr="000862AD">
        <w:rPr>
          <w:rFonts w:ascii="Times New Roman" w:hAnsi="Times New Roman"/>
        </w:rPr>
        <w:t xml:space="preserve"> č. 2</w:t>
      </w:r>
      <w:r>
        <w:rPr>
          <w:rFonts w:ascii="Times New Roman" w:hAnsi="Times New Roman"/>
        </w:rPr>
        <w:t xml:space="preserve"> sa uvádza</w:t>
      </w:r>
      <w:r w:rsidRPr="000862AD">
        <w:rPr>
          <w:rFonts w:ascii="Times New Roman" w:hAnsi="Times New Roman"/>
        </w:rPr>
        <w:t xml:space="preserve"> Smernica Rady 2009/133/ES z 19. októbra 2009 o spoločnom systéme zdaňovania, uplatniteľnom pri zlučovaní, rozdeľovaní, čiastočnom rozdeľovaní, prevode aktív a výmene akcií spoločností rôznych členských štátov a pri premiestnení sídla SE alebo SCE medzi členskými štátmi (Ú. v. EÚ L 310, 25.</w:t>
      </w:r>
      <w:r>
        <w:rPr>
          <w:rFonts w:ascii="Times New Roman" w:hAnsi="Times New Roman"/>
        </w:rPr>
        <w:t xml:space="preserve"> </w:t>
      </w:r>
      <w:r w:rsidRPr="000862AD">
        <w:rPr>
          <w:rFonts w:ascii="Times New Roman" w:hAnsi="Times New Roman"/>
        </w:rPr>
        <w:t>11.</w:t>
      </w:r>
      <w:r>
        <w:rPr>
          <w:rFonts w:ascii="Times New Roman" w:hAnsi="Times New Roman"/>
        </w:rPr>
        <w:t xml:space="preserve"> </w:t>
      </w:r>
      <w:r w:rsidRPr="000862AD">
        <w:rPr>
          <w:rFonts w:ascii="Times New Roman" w:hAnsi="Times New Roman"/>
        </w:rPr>
        <w:t>2009).</w:t>
      </w:r>
    </w:p>
    <w:p w:rsidR="00354B6C" w:rsidRPr="000862AD" w:rsidP="00354B6C">
      <w:pPr>
        <w:bidi w:val="0"/>
        <w:jc w:val="both"/>
        <w:rPr>
          <w:rFonts w:ascii="Times New Roman" w:hAnsi="Times New Roman"/>
        </w:rPr>
      </w:pPr>
    </w:p>
    <w:p w:rsidR="00354B6C" w:rsidRPr="000862AD" w:rsidP="00354B6C">
      <w:pPr>
        <w:bidi w:val="0"/>
        <w:rPr>
          <w:rFonts w:ascii="Times New Roman" w:hAnsi="Times New Roman"/>
          <w:b/>
        </w:rPr>
      </w:pPr>
      <w:r w:rsidRPr="000862AD">
        <w:rPr>
          <w:rFonts w:ascii="Times New Roman" w:hAnsi="Times New Roman"/>
          <w:b/>
        </w:rPr>
        <w:t>K Čl. II</w:t>
      </w:r>
    </w:p>
    <w:p w:rsidR="00354B6C" w:rsidRPr="000862AD" w:rsidP="00354B6C">
      <w:pPr>
        <w:bidi w:val="0"/>
        <w:rPr>
          <w:rFonts w:ascii="Times New Roman" w:hAnsi="Times New Roman"/>
          <w:b/>
        </w:rPr>
      </w:pPr>
    </w:p>
    <w:p w:rsidR="00354B6C" w:rsidRPr="000862AD" w:rsidP="00354B6C">
      <w:pPr>
        <w:bidi w:val="0"/>
        <w:rPr>
          <w:rFonts w:ascii="Times New Roman" w:hAnsi="Times New Roman"/>
          <w:b/>
        </w:rPr>
      </w:pPr>
      <w:r w:rsidRPr="000862AD">
        <w:rPr>
          <w:rFonts w:ascii="Times New Roman" w:hAnsi="Times New Roman"/>
          <w:b/>
        </w:rPr>
        <w:t>K bodu 1 - § 14</w:t>
      </w:r>
    </w:p>
    <w:p w:rsidR="00354B6C" w:rsidRPr="000862AD" w:rsidP="00354B6C">
      <w:pPr>
        <w:bidi w:val="0"/>
        <w:jc w:val="both"/>
        <w:rPr>
          <w:rFonts w:ascii="Times New Roman" w:hAnsi="Times New Roman"/>
        </w:rPr>
      </w:pPr>
      <w:r w:rsidRPr="000862AD">
        <w:rPr>
          <w:rFonts w:ascii="Times New Roman" w:hAnsi="Times New Roman"/>
        </w:rPr>
        <w:t xml:space="preserve">Z ustanovenia § 14 sa vypúšťa dolná hranica na poskytnutie vreckového pri zahraničných služobných cestách a  povinnosť zamestnávateľa na poskytnutie vreckového sa upravuje na jeho možnosť. </w:t>
      </w:r>
    </w:p>
    <w:p w:rsidR="00354B6C" w:rsidP="00354B6C">
      <w:pPr>
        <w:bidi w:val="0"/>
        <w:rPr>
          <w:rFonts w:ascii="Times New Roman" w:hAnsi="Times New Roman"/>
          <w:b/>
        </w:rPr>
      </w:pPr>
    </w:p>
    <w:p w:rsidR="006E105F" w:rsidP="00354B6C">
      <w:pPr>
        <w:bidi w:val="0"/>
        <w:rPr>
          <w:rFonts w:ascii="Times New Roman" w:hAnsi="Times New Roman"/>
          <w:b/>
        </w:rPr>
      </w:pPr>
    </w:p>
    <w:p w:rsidR="006E105F" w:rsidRPr="000862AD" w:rsidP="00354B6C">
      <w:pPr>
        <w:bidi w:val="0"/>
        <w:rPr>
          <w:rFonts w:ascii="Times New Roman" w:hAnsi="Times New Roman"/>
          <w:b/>
        </w:rPr>
      </w:pPr>
    </w:p>
    <w:p w:rsidR="00354B6C" w:rsidP="00354B6C">
      <w:pPr>
        <w:bidi w:val="0"/>
        <w:rPr>
          <w:rFonts w:ascii="Times New Roman" w:hAnsi="Times New Roman"/>
          <w:b/>
        </w:rPr>
      </w:pPr>
      <w:r w:rsidRPr="000862AD">
        <w:rPr>
          <w:rFonts w:ascii="Times New Roman" w:hAnsi="Times New Roman"/>
          <w:b/>
        </w:rPr>
        <w:t>K Čl. I</w:t>
      </w:r>
      <w:r>
        <w:rPr>
          <w:rFonts w:ascii="Times New Roman" w:hAnsi="Times New Roman"/>
          <w:b/>
        </w:rPr>
        <w:t>II</w:t>
      </w:r>
    </w:p>
    <w:p w:rsidR="00354B6C" w:rsidP="00354B6C">
      <w:pPr>
        <w:pStyle w:val="BodyText2"/>
        <w:bidi w:val="0"/>
        <w:spacing w:after="0"/>
        <w:jc w:val="both"/>
        <w:rPr>
          <w:rFonts w:ascii="Times New Roman" w:hAnsi="Times New Roman"/>
        </w:rPr>
      </w:pPr>
      <w:r w:rsidRPr="000862AD">
        <w:rPr>
          <w:rFonts w:ascii="Times New Roman" w:hAnsi="Times New Roman"/>
        </w:rPr>
        <w:t xml:space="preserve">Tento zákon nadobúda účinnosť 1. januára 2011. </w:t>
      </w:r>
    </w:p>
    <w:p w:rsidR="006E105F" w:rsidRPr="000862AD" w:rsidP="00354B6C">
      <w:pPr>
        <w:pStyle w:val="BodyText2"/>
        <w:bidi w:val="0"/>
        <w:spacing w:after="0"/>
        <w:jc w:val="both"/>
        <w:rPr>
          <w:rFonts w:ascii="Times New Roman" w:hAnsi="Times New Roman"/>
          <w:b/>
        </w:rPr>
      </w:pPr>
    </w:p>
    <w:p w:rsidR="000A4918" w:rsidP="000A4918">
      <w:pPr>
        <w:bidi w:val="0"/>
        <w:rPr>
          <w:rFonts w:ascii="Times New Roman" w:hAnsi="Times New Roman"/>
        </w:rPr>
      </w:pPr>
      <w:r w:rsidRPr="00C22376">
        <w:rPr>
          <w:rFonts w:ascii="Times New Roman" w:hAnsi="Times New Roman"/>
        </w:rPr>
        <w:t xml:space="preserve">Schválené uznesením vlády Slovenskej republiky dňa </w:t>
      </w:r>
      <w:r>
        <w:rPr>
          <w:rFonts w:ascii="Times New Roman" w:hAnsi="Times New Roman"/>
        </w:rPr>
        <w:t>22</w:t>
      </w:r>
      <w:r w:rsidRPr="00C22376">
        <w:rPr>
          <w:rFonts w:ascii="Times New Roman" w:hAnsi="Times New Roman"/>
        </w:rPr>
        <w:t xml:space="preserve">. </w:t>
      </w:r>
      <w:r>
        <w:rPr>
          <w:rFonts w:ascii="Times New Roman" w:hAnsi="Times New Roman"/>
        </w:rPr>
        <w:t>septembra</w:t>
      </w:r>
      <w:r w:rsidRPr="00C22376">
        <w:rPr>
          <w:rFonts w:ascii="Times New Roman" w:hAnsi="Times New Roman"/>
        </w:rPr>
        <w:t xml:space="preserve"> 20</w:t>
      </w:r>
      <w:r>
        <w:rPr>
          <w:rFonts w:ascii="Times New Roman" w:hAnsi="Times New Roman"/>
        </w:rPr>
        <w:t>10</w:t>
      </w:r>
      <w:r w:rsidRPr="00C22376">
        <w:rPr>
          <w:rFonts w:ascii="Times New Roman" w:hAnsi="Times New Roman"/>
        </w:rPr>
        <w:t>.</w:t>
      </w:r>
    </w:p>
    <w:p w:rsidR="006E105F" w:rsidP="000A4918">
      <w:pPr>
        <w:bidi w:val="0"/>
        <w:rPr>
          <w:rFonts w:ascii="Times New Roman" w:hAnsi="Times New Roman"/>
        </w:rPr>
      </w:pPr>
    </w:p>
    <w:p w:rsidR="000A4918" w:rsidP="000A4918">
      <w:pPr>
        <w:bidi w:val="0"/>
        <w:rPr>
          <w:rFonts w:ascii="Times New Roman" w:hAnsi="Times New Roman"/>
        </w:rPr>
      </w:pPr>
    </w:p>
    <w:p w:rsidR="000A4918" w:rsidP="000A4918">
      <w:pPr>
        <w:bidi w:val="0"/>
        <w:jc w:val="center"/>
        <w:rPr>
          <w:rFonts w:ascii="Times New Roman" w:hAnsi="Times New Roman"/>
        </w:rPr>
      </w:pPr>
      <w:r>
        <w:rPr>
          <w:rFonts w:ascii="Times New Roman" w:hAnsi="Times New Roman"/>
        </w:rPr>
        <w:t>Predsedníčka vlády</w:t>
      </w:r>
    </w:p>
    <w:p w:rsidR="000A4918" w:rsidP="000A4918">
      <w:pPr>
        <w:bidi w:val="0"/>
        <w:jc w:val="center"/>
        <w:rPr>
          <w:rFonts w:ascii="Times New Roman" w:hAnsi="Times New Roman"/>
        </w:rPr>
      </w:pPr>
      <w:r>
        <w:rPr>
          <w:rFonts w:ascii="Times New Roman" w:hAnsi="Times New Roman"/>
        </w:rPr>
        <w:t>Slovenskej republiky</w:t>
      </w:r>
    </w:p>
    <w:p w:rsidR="000A4918" w:rsidP="000A4918">
      <w:pPr>
        <w:bidi w:val="0"/>
        <w:jc w:val="center"/>
        <w:rPr>
          <w:rFonts w:ascii="Times New Roman" w:hAnsi="Times New Roman"/>
        </w:rPr>
      </w:pPr>
    </w:p>
    <w:p w:rsidR="000A4918" w:rsidP="000A4918">
      <w:pPr>
        <w:bidi w:val="0"/>
        <w:jc w:val="center"/>
        <w:rPr>
          <w:rFonts w:ascii="Times New Roman" w:hAnsi="Times New Roman"/>
        </w:rPr>
      </w:pPr>
      <w:r>
        <w:rPr>
          <w:rFonts w:ascii="Times New Roman" w:hAnsi="Times New Roman"/>
        </w:rPr>
        <w:t>Iveta  R a d i č o v</w:t>
      </w:r>
      <w:r w:rsidR="00551478">
        <w:rPr>
          <w:rFonts w:ascii="Times New Roman" w:hAnsi="Times New Roman"/>
        </w:rPr>
        <w:t> </w:t>
      </w:r>
      <w:r>
        <w:rPr>
          <w:rFonts w:ascii="Times New Roman" w:hAnsi="Times New Roman"/>
        </w:rPr>
        <w:t>á</w:t>
      </w:r>
      <w:r w:rsidR="00551478">
        <w:rPr>
          <w:rFonts w:ascii="Times New Roman" w:hAnsi="Times New Roman"/>
        </w:rPr>
        <w:t>, v. r.</w:t>
      </w:r>
      <w:r w:rsidR="007F4EDB">
        <w:rPr>
          <w:rFonts w:ascii="Times New Roman" w:hAnsi="Times New Roman"/>
        </w:rPr>
        <w:t xml:space="preserve"> </w:t>
      </w:r>
    </w:p>
    <w:p w:rsidR="006E105F" w:rsidP="000A4918">
      <w:pPr>
        <w:bidi w:val="0"/>
        <w:jc w:val="center"/>
        <w:rPr>
          <w:rFonts w:ascii="Times New Roman" w:hAnsi="Times New Roman"/>
        </w:rPr>
      </w:pPr>
    </w:p>
    <w:p w:rsidR="000A4918" w:rsidP="000A4918">
      <w:pPr>
        <w:bidi w:val="0"/>
        <w:jc w:val="center"/>
        <w:rPr>
          <w:rFonts w:ascii="Times New Roman" w:hAnsi="Times New Roman"/>
        </w:rPr>
      </w:pPr>
    </w:p>
    <w:p w:rsidR="000A4918" w:rsidP="000A4918">
      <w:pPr>
        <w:bidi w:val="0"/>
        <w:jc w:val="center"/>
        <w:rPr>
          <w:rFonts w:ascii="Times New Roman" w:hAnsi="Times New Roman"/>
        </w:rPr>
      </w:pPr>
    </w:p>
    <w:p w:rsidR="000A4918" w:rsidP="000A4918">
      <w:pPr>
        <w:bidi w:val="0"/>
        <w:jc w:val="center"/>
        <w:rPr>
          <w:rFonts w:ascii="Times New Roman" w:hAnsi="Times New Roman"/>
        </w:rPr>
      </w:pPr>
      <w:r>
        <w:rPr>
          <w:rFonts w:ascii="Times New Roman" w:hAnsi="Times New Roman"/>
        </w:rPr>
        <w:t>Podpredseda vlády a minister financií</w:t>
      </w:r>
    </w:p>
    <w:p w:rsidR="000A4918" w:rsidP="000A4918">
      <w:pPr>
        <w:bidi w:val="0"/>
        <w:jc w:val="center"/>
        <w:rPr>
          <w:rFonts w:ascii="Times New Roman" w:hAnsi="Times New Roman"/>
        </w:rPr>
      </w:pPr>
      <w:r>
        <w:rPr>
          <w:rFonts w:ascii="Times New Roman" w:hAnsi="Times New Roman"/>
        </w:rPr>
        <w:t>Slovenskej republiky</w:t>
      </w:r>
    </w:p>
    <w:p w:rsidR="000A4918" w:rsidP="000A4918">
      <w:pPr>
        <w:bidi w:val="0"/>
        <w:jc w:val="center"/>
        <w:rPr>
          <w:rFonts w:ascii="Times New Roman" w:hAnsi="Times New Roman"/>
        </w:rPr>
      </w:pPr>
    </w:p>
    <w:p w:rsidR="000A4918" w:rsidRPr="00C22376" w:rsidP="000A4918">
      <w:pPr>
        <w:bidi w:val="0"/>
        <w:jc w:val="center"/>
        <w:rPr>
          <w:rFonts w:ascii="Times New Roman" w:hAnsi="Times New Roman"/>
        </w:rPr>
      </w:pPr>
      <w:r>
        <w:rPr>
          <w:rFonts w:ascii="Times New Roman" w:hAnsi="Times New Roman"/>
        </w:rPr>
        <w:t>Ivan  M i k l o</w:t>
      </w:r>
      <w:r w:rsidR="00551478">
        <w:rPr>
          <w:rFonts w:ascii="Times New Roman" w:hAnsi="Times New Roman"/>
        </w:rPr>
        <w:t> </w:t>
      </w:r>
      <w:r>
        <w:rPr>
          <w:rFonts w:ascii="Times New Roman" w:hAnsi="Times New Roman"/>
        </w:rPr>
        <w:t>š</w:t>
      </w:r>
      <w:r w:rsidR="00551478">
        <w:rPr>
          <w:rFonts w:ascii="Times New Roman" w:hAnsi="Times New Roman"/>
        </w:rPr>
        <w:t>, v. r.</w:t>
      </w:r>
    </w:p>
    <w:p w:rsidR="00811E35">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pPr>
        <w:bidi w:val="0"/>
        <w:rPr>
          <w:rFonts w:ascii="Times New Roman" w:hAnsi="Times New Roman"/>
        </w:rPr>
      </w:pPr>
    </w:p>
    <w:p w:rsidR="0000155A" w:rsidRPr="00F172DC">
      <w:pPr>
        <w:bidi w:val="0"/>
        <w:rPr>
          <w:rFonts w:ascii="Times New Roman" w:hAnsi="Times New Roman"/>
        </w:rPr>
      </w:pPr>
    </w:p>
    <w:sectPr w:rsidSect="00CA4E5B">
      <w:footerReference w:type="default" r:id="rId4"/>
      <w:pgSz w:w="11906" w:h="16838"/>
      <w:pgMar w:top="1417" w:right="1417" w:bottom="1276"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Garamond">
    <w:panose1 w:val="00000000000000000000"/>
    <w:charset w:val="EE"/>
    <w:family w:val="roman"/>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30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32701">
      <w:rPr>
        <w:rFonts w:ascii="Times New Roman" w:hAnsi="Times New Roman"/>
        <w:noProof/>
      </w:rPr>
      <w:t>36</w:t>
    </w:r>
    <w:r>
      <w:rPr>
        <w:rFonts w:ascii="Times New Roman" w:hAnsi="Times New Roman"/>
      </w:rPr>
      <w:fldChar w:fldCharType="end"/>
    </w:r>
  </w:p>
  <w:p w:rsidR="0047430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1">
    <w:nsid w:val="0A0478F4"/>
    <w:multiLevelType w:val="hybridMultilevel"/>
    <w:tmpl w:val="20BA00AA"/>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762CCF"/>
    <w:multiLevelType w:val="hybridMultilevel"/>
    <w:tmpl w:val="93D6DD58"/>
    <w:lvl w:ilvl="0">
      <w:start w:val="1"/>
      <w:numFmt w:val="decimal"/>
      <w:lvlText w:val="%1."/>
      <w:lvlJc w:val="left"/>
      <w:pPr>
        <w:ind w:left="1146" w:hanging="360"/>
      </w:pPr>
      <w:rPr>
        <w:rFonts w:cs="Times New Roman" w:hint="default"/>
        <w:b w:val="0"/>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
    <w:nsid w:val="13A83C25"/>
    <w:multiLevelType w:val="hybridMultilevel"/>
    <w:tmpl w:val="A32A2824"/>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4">
    <w:nsid w:val="168D476F"/>
    <w:multiLevelType w:val="hybridMultilevel"/>
    <w:tmpl w:val="08504DF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9E0DA8"/>
    <w:multiLevelType w:val="hybridMultilevel"/>
    <w:tmpl w:val="39EC8EEA"/>
    <w:lvl w:ilvl="0">
      <w:start w:val="1"/>
      <w:numFmt w:val="decimal"/>
      <w:lvlText w:val="%1."/>
      <w:lvlJc w:val="left"/>
      <w:pPr>
        <w:ind w:left="360" w:hanging="360"/>
      </w:pPr>
      <w:rPr>
        <w:rFonts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43961C3F"/>
    <w:multiLevelType w:val="hybridMultilevel"/>
    <w:tmpl w:val="A056762A"/>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hint="default"/>
      </w:rPr>
    </w:lvl>
    <w:lvl w:ilvl="8">
      <w:start w:val="1"/>
      <w:numFmt w:val="bullet"/>
      <w:lvlText w:val=""/>
      <w:lvlJc w:val="left"/>
      <w:pPr>
        <w:ind w:left="6300" w:hanging="360"/>
      </w:pPr>
      <w:rPr>
        <w:rFonts w:ascii="Wingdings" w:hAnsi="Wingdings" w:hint="default"/>
      </w:rPr>
    </w:lvl>
  </w:abstractNum>
  <w:abstractNum w:abstractNumId="7">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9">
    <w:nsid w:val="4A196664"/>
    <w:multiLevelType w:val="hybridMultilevel"/>
    <w:tmpl w:val="B63A8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4F4D70F9"/>
    <w:multiLevelType w:val="hybridMultilevel"/>
    <w:tmpl w:val="C2D4D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FA361AF"/>
    <w:multiLevelType w:val="hybridMultilevel"/>
    <w:tmpl w:val="677EE5BC"/>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53B0264"/>
    <w:multiLevelType w:val="hybridMultilevel"/>
    <w:tmpl w:val="EBE2DA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92E7D8B"/>
    <w:multiLevelType w:val="hybridMultilevel"/>
    <w:tmpl w:val="29E822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7">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BCE7C5A"/>
    <w:multiLevelType w:val="hybridMultilevel"/>
    <w:tmpl w:val="B31CD52C"/>
    <w:lvl w:ilvl="0">
      <w:start w:val="1"/>
      <w:numFmt w:val="lowerLetter"/>
      <w:lvlText w:val="%1)"/>
      <w:lvlJc w:val="left"/>
      <w:pPr>
        <w:ind w:left="1080" w:hanging="360"/>
      </w:pPr>
      <w:rPr>
        <w:rFonts w:cs="Times New Roman" w:hint="default"/>
        <w:i/>
        <w:rtl w:val="0"/>
        <w:cs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6E29576C"/>
    <w:multiLevelType w:val="hybridMultilevel"/>
    <w:tmpl w:val="3D28BC90"/>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2">
    <w:nsid w:val="703452AE"/>
    <w:multiLevelType w:val="hybridMultilevel"/>
    <w:tmpl w:val="E1D6945A"/>
    <w:lvl w:ilvl="0">
      <w:start w:val="0"/>
      <w:numFmt w:val="bullet"/>
      <w:lvlText w:val="-"/>
      <w:lvlJc w:val="left"/>
      <w:pPr>
        <w:ind w:left="405" w:hanging="360"/>
      </w:pPr>
      <w:rPr>
        <w:rFonts w:ascii="Arial Narrow" w:eastAsia="Times New Roman" w:hAnsi="Arial Narrow"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23">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nsid w:val="77F7039D"/>
    <w:multiLevelType w:val="hybridMultilevel"/>
    <w:tmpl w:val="C6846712"/>
    <w:lvl w:ilvl="0">
      <w:start w:val="1"/>
      <w:numFmt w:val="decimal"/>
      <w:lvlText w:val="%1."/>
      <w:lvlJc w:val="left"/>
      <w:pPr>
        <w:ind w:left="786" w:hanging="360"/>
      </w:pPr>
      <w:rPr>
        <w:rFonts w:cs="Times New Roman" w:hint="default"/>
        <w:b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7E071FF0"/>
    <w:multiLevelType w:val="hybridMultilevel"/>
    <w:tmpl w:val="C6846712"/>
    <w:lvl w:ilvl="0">
      <w:start w:val="1"/>
      <w:numFmt w:val="decimal"/>
      <w:lvlText w:val="%1."/>
      <w:lvlJc w:val="left"/>
      <w:pPr>
        <w:ind w:left="786" w:hanging="360"/>
      </w:pPr>
      <w:rPr>
        <w:rFonts w:cs="Times New Roman" w:hint="default"/>
        <w:b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6">
    <w:nsid w:val="7FDE315A"/>
    <w:multiLevelType w:val="hybridMultilevel"/>
    <w:tmpl w:val="8CE6FD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8"/>
    <w:lvlOverride w:ilvl="0"/>
    <w:lvlOverride w:ilvl="1"/>
    <w:lvlOverride w:ilvl="2"/>
    <w:lvlOverride w:ilvl="3"/>
    <w:lvlOverride w:ilvl="4"/>
    <w:lvlOverride w:ilvl="5"/>
    <w:lvlOverride w:ilvl="6"/>
    <w:lvlOverride w:ilvl="7"/>
    <w:lvlOverride w:ilvl="8"/>
  </w:num>
  <w:num w:numId="5">
    <w:abstractNumId w:val="12"/>
  </w:num>
  <w:num w:numId="6">
    <w:abstractNumId w:val="20"/>
  </w:num>
  <w:num w:numId="7">
    <w:abstractNumId w:val="1"/>
  </w:num>
  <w:num w:numId="8">
    <w:abstractNumId w:val="2"/>
  </w:num>
  <w:num w:numId="9">
    <w:abstractNumId w:val="24"/>
  </w:num>
  <w:num w:numId="10">
    <w:abstractNumId w:val="25"/>
  </w:num>
  <w:num w:numId="11">
    <w:abstractNumId w:val="11"/>
  </w:num>
  <w:num w:numId="12">
    <w:abstractNumId w:val="3"/>
  </w:num>
  <w:num w:numId="13">
    <w:abstractNumId w:val="0"/>
  </w:num>
  <w:num w:numId="14">
    <w:abstractNumId w:val="6"/>
  </w:num>
  <w:num w:numId="15">
    <w:abstractNumId w:val="9"/>
  </w:num>
  <w:num w:numId="16">
    <w:abstractNumId w:val="4"/>
  </w:num>
  <w:num w:numId="17">
    <w:abstractNumId w:val="26"/>
  </w:num>
  <w:num w:numId="18">
    <w:abstractNumId w:val="22"/>
  </w:num>
  <w:num w:numId="19">
    <w:abstractNumId w:val="13"/>
  </w:num>
  <w:num w:numId="20">
    <w:abstractNumId w:val="16"/>
  </w:num>
  <w:num w:numId="21">
    <w:abstractNumId w:val="19"/>
    <w:lvlOverride w:ilvl="0"/>
    <w:lvlOverride w:ilvl="1"/>
    <w:lvlOverride w:ilvl="2"/>
    <w:lvlOverride w:ilvl="3"/>
    <w:lvlOverride w:ilvl="4"/>
    <w:lvlOverride w:ilvl="5"/>
    <w:lvlOverride w:ilvl="6"/>
    <w:lvlOverride w:ilvl="7"/>
    <w:lvlOverride w:ilvl="8"/>
  </w:num>
  <w:num w:numId="22">
    <w:abstractNumId w:val="10"/>
    <w:lvlOverride w:ilvl="0"/>
    <w:lvlOverride w:ilvl="1"/>
    <w:lvlOverride w:ilvl="2"/>
    <w:lvlOverride w:ilvl="3"/>
    <w:lvlOverride w:ilvl="4"/>
    <w:lvlOverride w:ilvl="5"/>
    <w:lvlOverride w:ilvl="6"/>
    <w:lvlOverride w:ilvl="7"/>
    <w:lvlOverride w:ilvl="8"/>
  </w:num>
  <w:num w:numId="23">
    <w:abstractNumId w:val="15"/>
    <w:lvlOverride w:ilvl="0"/>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17"/>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11AF5"/>
    <w:rsid w:val="0000155A"/>
    <w:rsid w:val="00024DAC"/>
    <w:rsid w:val="0004616D"/>
    <w:rsid w:val="00060D3B"/>
    <w:rsid w:val="0008127B"/>
    <w:rsid w:val="000862AD"/>
    <w:rsid w:val="000871F5"/>
    <w:rsid w:val="000A4918"/>
    <w:rsid w:val="000B7AB7"/>
    <w:rsid w:val="00112BAF"/>
    <w:rsid w:val="00134324"/>
    <w:rsid w:val="00180E9B"/>
    <w:rsid w:val="00187627"/>
    <w:rsid w:val="001B5864"/>
    <w:rsid w:val="00205EE1"/>
    <w:rsid w:val="00243500"/>
    <w:rsid w:val="00251B6B"/>
    <w:rsid w:val="002A0DDB"/>
    <w:rsid w:val="002E0A87"/>
    <w:rsid w:val="002E52F8"/>
    <w:rsid w:val="00310D0E"/>
    <w:rsid w:val="00323053"/>
    <w:rsid w:val="00332590"/>
    <w:rsid w:val="00346273"/>
    <w:rsid w:val="00347508"/>
    <w:rsid w:val="00354B6C"/>
    <w:rsid w:val="00380518"/>
    <w:rsid w:val="003A1DD6"/>
    <w:rsid w:val="003B37B7"/>
    <w:rsid w:val="00443305"/>
    <w:rsid w:val="00452C30"/>
    <w:rsid w:val="0047032D"/>
    <w:rsid w:val="00474302"/>
    <w:rsid w:val="00483276"/>
    <w:rsid w:val="00495317"/>
    <w:rsid w:val="004B6378"/>
    <w:rsid w:val="004C431B"/>
    <w:rsid w:val="004D737C"/>
    <w:rsid w:val="004E6222"/>
    <w:rsid w:val="00501694"/>
    <w:rsid w:val="00511AF5"/>
    <w:rsid w:val="00544223"/>
    <w:rsid w:val="00551478"/>
    <w:rsid w:val="0059564E"/>
    <w:rsid w:val="005B22DC"/>
    <w:rsid w:val="00662FF4"/>
    <w:rsid w:val="006651EE"/>
    <w:rsid w:val="0068290D"/>
    <w:rsid w:val="006D74E2"/>
    <w:rsid w:val="006E105F"/>
    <w:rsid w:val="007264D7"/>
    <w:rsid w:val="00752B46"/>
    <w:rsid w:val="007602F8"/>
    <w:rsid w:val="007A03C8"/>
    <w:rsid w:val="007B45F7"/>
    <w:rsid w:val="007F4EDB"/>
    <w:rsid w:val="00811E35"/>
    <w:rsid w:val="0081696A"/>
    <w:rsid w:val="00833BC3"/>
    <w:rsid w:val="0083646A"/>
    <w:rsid w:val="00853B65"/>
    <w:rsid w:val="00876829"/>
    <w:rsid w:val="0089637D"/>
    <w:rsid w:val="009242EC"/>
    <w:rsid w:val="00964C25"/>
    <w:rsid w:val="009848C2"/>
    <w:rsid w:val="009901D6"/>
    <w:rsid w:val="009955AD"/>
    <w:rsid w:val="009B32AE"/>
    <w:rsid w:val="009C60F8"/>
    <w:rsid w:val="009E35F6"/>
    <w:rsid w:val="00A054D3"/>
    <w:rsid w:val="00A22027"/>
    <w:rsid w:val="00A67124"/>
    <w:rsid w:val="00A85981"/>
    <w:rsid w:val="00A9342C"/>
    <w:rsid w:val="00AA3179"/>
    <w:rsid w:val="00AB6C70"/>
    <w:rsid w:val="00AB7803"/>
    <w:rsid w:val="00B032FB"/>
    <w:rsid w:val="00B15546"/>
    <w:rsid w:val="00B743BF"/>
    <w:rsid w:val="00B962A2"/>
    <w:rsid w:val="00BE164D"/>
    <w:rsid w:val="00C21563"/>
    <w:rsid w:val="00C22376"/>
    <w:rsid w:val="00C31AEF"/>
    <w:rsid w:val="00C33E13"/>
    <w:rsid w:val="00C34A4B"/>
    <w:rsid w:val="00C436C4"/>
    <w:rsid w:val="00C44462"/>
    <w:rsid w:val="00C8120D"/>
    <w:rsid w:val="00CA4E5B"/>
    <w:rsid w:val="00CB17C8"/>
    <w:rsid w:val="00CD0710"/>
    <w:rsid w:val="00CF443F"/>
    <w:rsid w:val="00D00473"/>
    <w:rsid w:val="00D13F9C"/>
    <w:rsid w:val="00D173EA"/>
    <w:rsid w:val="00D241A7"/>
    <w:rsid w:val="00D326EC"/>
    <w:rsid w:val="00D45F18"/>
    <w:rsid w:val="00D466AA"/>
    <w:rsid w:val="00D50BC2"/>
    <w:rsid w:val="00D53502"/>
    <w:rsid w:val="00D540B1"/>
    <w:rsid w:val="00DA6C2B"/>
    <w:rsid w:val="00DE744E"/>
    <w:rsid w:val="00E21770"/>
    <w:rsid w:val="00E2488F"/>
    <w:rsid w:val="00E32701"/>
    <w:rsid w:val="00E45298"/>
    <w:rsid w:val="00E92A80"/>
    <w:rsid w:val="00EA2B7D"/>
    <w:rsid w:val="00F172DC"/>
    <w:rsid w:val="00F43C4C"/>
    <w:rsid w:val="00F444B8"/>
    <w:rsid w:val="00F475D2"/>
    <w:rsid w:val="00FD0E4A"/>
    <w:rsid w:val="00FE2CC5"/>
    <w:rsid w:val="00FF512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A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54B6C"/>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Nadpis2Char"/>
    <w:uiPriority w:val="99"/>
    <w:qFormat/>
    <w:rsid w:val="00060D3B"/>
    <w:pPr>
      <w:keepNext/>
      <w:keepLines/>
      <w:widowControl w:val="0"/>
      <w:adjustRightInd w:val="0"/>
      <w:spacing w:before="200"/>
      <w:jc w:val="left"/>
      <w:outlineLvl w:val="1"/>
    </w:pPr>
    <w:rPr>
      <w:rFonts w:ascii="Cambria" w:hAnsi="Cambria"/>
      <w:b/>
      <w:bCs/>
      <w:color w:val="4F81BD"/>
      <w:sz w:val="26"/>
      <w:szCs w:val="26"/>
    </w:rPr>
  </w:style>
  <w:style w:type="paragraph" w:styleId="Heading4">
    <w:name w:val="heading 4"/>
    <w:basedOn w:val="Normal"/>
    <w:next w:val="Normal"/>
    <w:link w:val="Nadpis4Char"/>
    <w:uiPriority w:val="99"/>
    <w:qFormat/>
    <w:rsid w:val="007264D7"/>
    <w:pPr>
      <w:keepNext/>
      <w:spacing w:before="240" w:after="60"/>
      <w:jc w:val="left"/>
      <w:outlineLvl w:val="3"/>
    </w:pPr>
    <w:rPr>
      <w:b/>
      <w:bCs/>
      <w:sz w:val="28"/>
      <w:szCs w:val="28"/>
      <w:lang w:val="en-US"/>
    </w:rPr>
  </w:style>
  <w:style w:type="paragraph" w:styleId="Heading5">
    <w:name w:val="heading 5"/>
    <w:basedOn w:val="Normal"/>
    <w:next w:val="Normal"/>
    <w:link w:val="Nadpis5Char"/>
    <w:uiPriority w:val="9"/>
    <w:semiHidden/>
    <w:unhideWhenUsed/>
    <w:qFormat/>
    <w:rsid w:val="00354B6C"/>
    <w:pPr>
      <w:keepNext/>
      <w:keepLines/>
      <w:spacing w:before="200"/>
      <w:jc w:val="left"/>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54B6C"/>
    <w:rPr>
      <w:rFonts w:asciiTheme="majorHAnsi" w:eastAsiaTheme="majorEastAsia" w:hAnsiTheme="majorHAnsi" w:cstheme="majorBidi"/>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9"/>
    <w:locked/>
    <w:rsid w:val="00060D3B"/>
    <w:rPr>
      <w:rFonts w:ascii="Cambria" w:hAnsi="Cambria" w:cs="Times New Roman"/>
      <w:b/>
      <w:bCs/>
      <w:color w:val="4F81BD"/>
      <w:sz w:val="26"/>
      <w:szCs w:val="26"/>
      <w:rtl w:val="0"/>
      <w:cs w:val="0"/>
      <w:lang w:val="x-none" w:eastAsia="sk-SK"/>
    </w:rPr>
  </w:style>
  <w:style w:type="character" w:customStyle="1" w:styleId="Nadpis4Char">
    <w:name w:val="Nadpis 4 Char"/>
    <w:basedOn w:val="DefaultParagraphFont"/>
    <w:link w:val="Heading4"/>
    <w:uiPriority w:val="99"/>
    <w:locked/>
    <w:rsid w:val="007264D7"/>
    <w:rPr>
      <w:rFonts w:ascii="Times New Roman" w:hAnsi="Times New Roman" w:cs="Times New Roman"/>
      <w:b/>
      <w:bCs/>
      <w:sz w:val="28"/>
      <w:szCs w:val="28"/>
      <w:rtl w:val="0"/>
      <w:cs w:val="0"/>
      <w:lang w:val="en-US" w:eastAsia="sk-SK"/>
    </w:rPr>
  </w:style>
  <w:style w:type="character" w:customStyle="1" w:styleId="Nadpis5Char">
    <w:name w:val="Nadpis 5 Char"/>
    <w:basedOn w:val="DefaultParagraphFont"/>
    <w:link w:val="Heading5"/>
    <w:uiPriority w:val="9"/>
    <w:semiHidden/>
    <w:locked/>
    <w:rsid w:val="00354B6C"/>
    <w:rPr>
      <w:rFonts w:asciiTheme="majorHAnsi" w:eastAsiaTheme="majorEastAsia" w:hAnsiTheme="majorHAnsi" w:cstheme="majorBidi"/>
      <w:color w:val="243F60" w:themeColor="accent1" w:themeShade="7F"/>
      <w:sz w:val="24"/>
      <w:szCs w:val="24"/>
      <w:rtl w:val="0"/>
      <w:cs w:val="0"/>
      <w:lang w:val="x-none" w:eastAsia="sk-SK"/>
    </w:rPr>
  </w:style>
  <w:style w:type="paragraph" w:customStyle="1" w:styleId="CharChar">
    <w:name w:val="Char Char"/>
    <w:basedOn w:val="Normal"/>
    <w:rsid w:val="00511AF5"/>
    <w:pPr>
      <w:spacing w:after="160" w:line="240" w:lineRule="exact"/>
      <w:jc w:val="left"/>
    </w:pPr>
    <w:rPr>
      <w:rFonts w:ascii="Tahoma" w:hAnsi="Tahoma" w:cs="Tahoma"/>
      <w:sz w:val="20"/>
      <w:szCs w:val="20"/>
      <w:lang w:val="en-US" w:eastAsia="en-US"/>
    </w:rPr>
  </w:style>
  <w:style w:type="paragraph" w:styleId="BodyTextIndent">
    <w:name w:val="Body Text Indent"/>
    <w:basedOn w:val="Normal"/>
    <w:link w:val="ZarkazkladnhotextuChar"/>
    <w:uiPriority w:val="99"/>
    <w:rsid w:val="00511AF5"/>
    <w:pPr>
      <w:spacing w:after="120"/>
      <w:ind w:left="283"/>
      <w:jc w:val="left"/>
    </w:pPr>
  </w:style>
  <w:style w:type="character" w:customStyle="1" w:styleId="ZarkazkladnhotextuChar">
    <w:name w:val="Zarážka základného textu Char"/>
    <w:basedOn w:val="DefaultParagraphFont"/>
    <w:link w:val="BodyTextIndent"/>
    <w:uiPriority w:val="99"/>
    <w:locked/>
    <w:rsid w:val="00511AF5"/>
    <w:rPr>
      <w:rFonts w:ascii="Times New Roman" w:hAnsi="Times New Roman" w:cs="Times New Roman"/>
      <w:sz w:val="24"/>
      <w:szCs w:val="24"/>
      <w:rtl w:val="0"/>
      <w:cs w:val="0"/>
      <w:lang w:val="x-none" w:eastAsia="sk-SK"/>
    </w:rPr>
  </w:style>
  <w:style w:type="character" w:styleId="PlaceholderText">
    <w:name w:val="Placeholder Text"/>
    <w:basedOn w:val="DefaultParagraphFont"/>
    <w:uiPriority w:val="99"/>
    <w:semiHidden/>
    <w:rsid w:val="00060D3B"/>
    <w:rPr>
      <w:rFonts w:ascii="Times New Roman" w:hAnsi="Times New Roman" w:cs="Times New Roman"/>
      <w:color w:val="808080"/>
      <w:rtl w:val="0"/>
      <w:cs w:val="0"/>
    </w:rPr>
  </w:style>
  <w:style w:type="paragraph" w:styleId="CommentText">
    <w:name w:val="annotation text"/>
    <w:basedOn w:val="Normal"/>
    <w:link w:val="TextkomentraChar"/>
    <w:uiPriority w:val="99"/>
    <w:semiHidden/>
    <w:rsid w:val="00060D3B"/>
    <w:pPr>
      <w:widowControl w:val="0"/>
      <w:adjustRightInd w:val="0"/>
      <w:jc w:val="left"/>
    </w:pPr>
    <w:rPr>
      <w:sz w:val="20"/>
      <w:szCs w:val="20"/>
    </w:rPr>
  </w:style>
  <w:style w:type="character" w:customStyle="1" w:styleId="TextkomentraChar">
    <w:name w:val="Text komentára Char"/>
    <w:basedOn w:val="DefaultParagraphFont"/>
    <w:link w:val="CommentText"/>
    <w:uiPriority w:val="99"/>
    <w:locked/>
    <w:rsid w:val="00060D3B"/>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BE164D"/>
    <w:pPr>
      <w:ind w:left="720"/>
      <w:contextualSpacing/>
      <w:jc w:val="left"/>
    </w:pPr>
    <w:rPr>
      <w:rFonts w:asciiTheme="minorHAnsi" w:hAnsiTheme="minorHAnsi" w:cstheme="minorBidi"/>
      <w:sz w:val="22"/>
      <w:szCs w:val="22"/>
      <w:lang w:eastAsia="en-US"/>
    </w:rPr>
  </w:style>
  <w:style w:type="paragraph" w:styleId="BalloonText">
    <w:name w:val="Balloon Text"/>
    <w:basedOn w:val="Normal"/>
    <w:link w:val="TextbublinyChar"/>
    <w:uiPriority w:val="99"/>
    <w:semiHidden/>
    <w:unhideWhenUsed/>
    <w:rsid w:val="00964C2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64C25"/>
    <w:rPr>
      <w:rFonts w:ascii="Tahoma" w:hAnsi="Tahoma" w:cs="Tahoma"/>
      <w:sz w:val="16"/>
      <w:szCs w:val="16"/>
      <w:rtl w:val="0"/>
      <w:cs w:val="0"/>
      <w:lang w:val="x-none" w:eastAsia="sk-SK"/>
    </w:rPr>
  </w:style>
  <w:style w:type="paragraph" w:styleId="NormalWeb">
    <w:name w:val="Normal (Web)"/>
    <w:aliases w:val="webb"/>
    <w:basedOn w:val="Normal"/>
    <w:uiPriority w:val="99"/>
    <w:rsid w:val="007264D7"/>
    <w:pPr>
      <w:spacing w:before="100" w:beforeAutospacing="1" w:after="100" w:afterAutospacing="1"/>
      <w:jc w:val="left"/>
    </w:pPr>
  </w:style>
  <w:style w:type="paragraph" w:styleId="Footer">
    <w:name w:val="footer"/>
    <w:basedOn w:val="Normal"/>
    <w:link w:val="PtaChar"/>
    <w:uiPriority w:val="99"/>
    <w:rsid w:val="007264D7"/>
    <w:pPr>
      <w:tabs>
        <w:tab w:val="center" w:pos="4536"/>
        <w:tab w:val="right" w:pos="9072"/>
      </w:tabs>
      <w:jc w:val="left"/>
    </w:pPr>
  </w:style>
  <w:style w:type="character" w:customStyle="1" w:styleId="PtaChar">
    <w:name w:val="Päta Char"/>
    <w:basedOn w:val="DefaultParagraphFont"/>
    <w:link w:val="Footer"/>
    <w:uiPriority w:val="99"/>
    <w:locked/>
    <w:rsid w:val="007264D7"/>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7264D7"/>
    <w:rPr>
      <w:rFonts w:cs="Times New Roman"/>
      <w:rtl w:val="0"/>
      <w:cs w:val="0"/>
    </w:rPr>
  </w:style>
  <w:style w:type="paragraph" w:styleId="BodyText">
    <w:name w:val="Body Text"/>
    <w:basedOn w:val="Normal"/>
    <w:link w:val="ZkladntextChar"/>
    <w:uiPriority w:val="99"/>
    <w:rsid w:val="007264D7"/>
    <w:pPr>
      <w:spacing w:after="120"/>
      <w:jc w:val="left"/>
    </w:pPr>
  </w:style>
  <w:style w:type="character" w:customStyle="1" w:styleId="ZkladntextChar">
    <w:name w:val="Základný text Char"/>
    <w:basedOn w:val="DefaultParagraphFont"/>
    <w:link w:val="BodyText"/>
    <w:uiPriority w:val="99"/>
    <w:locked/>
    <w:rsid w:val="007264D7"/>
    <w:rPr>
      <w:rFonts w:ascii="Times New Roman" w:hAnsi="Times New Roman" w:cs="Times New Roman"/>
      <w:sz w:val="24"/>
      <w:szCs w:val="24"/>
      <w:rtl w:val="0"/>
      <w:cs w:val="0"/>
      <w:lang w:val="x-none" w:eastAsia="sk-SK"/>
    </w:rPr>
  </w:style>
  <w:style w:type="paragraph" w:styleId="Title">
    <w:name w:val="Title"/>
    <w:basedOn w:val="Normal"/>
    <w:link w:val="NzovChar"/>
    <w:uiPriority w:val="99"/>
    <w:qFormat/>
    <w:rsid w:val="007264D7"/>
    <w:pPr>
      <w:jc w:val="center"/>
    </w:pPr>
    <w:rPr>
      <w:sz w:val="28"/>
      <w:szCs w:val="20"/>
    </w:rPr>
  </w:style>
  <w:style w:type="character" w:customStyle="1" w:styleId="NzovChar">
    <w:name w:val="Názov Char"/>
    <w:basedOn w:val="DefaultParagraphFont"/>
    <w:link w:val="Title"/>
    <w:uiPriority w:val="99"/>
    <w:locked/>
    <w:rsid w:val="007264D7"/>
    <w:rPr>
      <w:rFonts w:ascii="Times New Roman" w:hAnsi="Times New Roman" w:cs="Times New Roman"/>
      <w:sz w:val="20"/>
      <w:szCs w:val="20"/>
      <w:rtl w:val="0"/>
      <w:cs w:val="0"/>
      <w:lang w:val="x-none" w:eastAsia="sk-SK"/>
    </w:rPr>
  </w:style>
  <w:style w:type="paragraph" w:styleId="BodyTextIndent3">
    <w:name w:val="Body Text Indent 3"/>
    <w:basedOn w:val="Normal"/>
    <w:link w:val="Zarkazkladnhotextu3Char"/>
    <w:uiPriority w:val="99"/>
    <w:rsid w:val="007264D7"/>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7264D7"/>
    <w:rPr>
      <w:rFonts w:ascii="Times New Roman" w:hAnsi="Times New Roman" w:cs="Times New Roman"/>
      <w:sz w:val="16"/>
      <w:szCs w:val="16"/>
      <w:rtl w:val="0"/>
      <w:cs w:val="0"/>
      <w:lang w:val="x-none" w:eastAsia="sk-SK"/>
    </w:rPr>
  </w:style>
  <w:style w:type="paragraph" w:customStyle="1" w:styleId="Action">
    <w:name w:val="Action"/>
    <w:basedOn w:val="BodyText"/>
    <w:uiPriority w:val="99"/>
    <w:rsid w:val="007264D7"/>
    <w:pPr>
      <w:numPr>
        <w:numId w:val="4"/>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basedOn w:val="DefaultParagraphFont"/>
    <w:uiPriority w:val="99"/>
    <w:rsid w:val="007264D7"/>
    <w:rPr>
      <w:rFonts w:ascii="Verdana" w:hAnsi="Verdana" w:cs="Verdana"/>
      <w:kern w:val="20"/>
      <w:sz w:val="22"/>
      <w:szCs w:val="22"/>
      <w:u w:val="single"/>
      <w:rtl w:val="0"/>
      <w:cs w:val="0"/>
      <w:lang w:val="en-US" w:eastAsia="en-US"/>
    </w:rPr>
  </w:style>
  <w:style w:type="paragraph" w:styleId="Header">
    <w:name w:val="header"/>
    <w:basedOn w:val="Normal"/>
    <w:link w:val="HlavikaChar"/>
    <w:uiPriority w:val="99"/>
    <w:rsid w:val="007264D7"/>
    <w:pPr>
      <w:tabs>
        <w:tab w:val="center" w:pos="4536"/>
        <w:tab w:val="right" w:pos="9072"/>
      </w:tabs>
      <w:jc w:val="left"/>
    </w:pPr>
  </w:style>
  <w:style w:type="character" w:customStyle="1" w:styleId="HlavikaChar">
    <w:name w:val="Hlavička Char"/>
    <w:basedOn w:val="DefaultParagraphFont"/>
    <w:link w:val="Header"/>
    <w:uiPriority w:val="99"/>
    <w:locked/>
    <w:rsid w:val="007264D7"/>
    <w:rPr>
      <w:rFonts w:ascii="Times New Roman" w:hAnsi="Times New Roman" w:cs="Times New Roman"/>
      <w:sz w:val="24"/>
      <w:szCs w:val="24"/>
      <w:rtl w:val="0"/>
      <w:cs w:val="0"/>
      <w:lang w:val="x-none" w:eastAsia="sk-SK"/>
    </w:rPr>
  </w:style>
  <w:style w:type="character" w:styleId="Hyperlink">
    <w:name w:val="Hyperlink"/>
    <w:basedOn w:val="DefaultParagraphFont"/>
    <w:uiPriority w:val="99"/>
    <w:rsid w:val="007264D7"/>
    <w:rPr>
      <w:rFonts w:cs="Times New Roman"/>
      <w:color w:val="0000FF"/>
      <w:u w:val="single"/>
      <w:rtl w:val="0"/>
      <w:cs w:val="0"/>
    </w:rPr>
  </w:style>
  <w:style w:type="paragraph" w:styleId="BodyText2">
    <w:name w:val="Body Text 2"/>
    <w:basedOn w:val="Normal"/>
    <w:link w:val="Zkladntext2Char"/>
    <w:uiPriority w:val="99"/>
    <w:semiHidden/>
    <w:unhideWhenUsed/>
    <w:rsid w:val="00354B6C"/>
    <w:pPr>
      <w:spacing w:after="120" w:line="480" w:lineRule="auto"/>
      <w:jc w:val="left"/>
    </w:pPr>
  </w:style>
  <w:style w:type="character" w:customStyle="1" w:styleId="Zkladntext2Char">
    <w:name w:val="Základný text 2 Char"/>
    <w:basedOn w:val="DefaultParagraphFont"/>
    <w:link w:val="BodyText2"/>
    <w:uiPriority w:val="99"/>
    <w:semiHidden/>
    <w:locked/>
    <w:rsid w:val="00354B6C"/>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134</TotalTime>
  <Pages>36</Pages>
  <Words>12886</Words>
  <Characters>69196</Characters>
  <Application>Microsoft Office Word</Application>
  <DocSecurity>0</DocSecurity>
  <Lines>0</Lines>
  <Paragraphs>0</Paragraphs>
  <ScaleCrop>false</ScaleCrop>
  <Company>MF SR</Company>
  <LinksUpToDate>false</LinksUpToDate>
  <CharactersWithSpaces>81919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lstofanova</dc:creator>
  <cp:lastModifiedBy>mvidova</cp:lastModifiedBy>
  <cp:revision>8</cp:revision>
  <cp:lastPrinted>2010-09-23T13:43:00Z</cp:lastPrinted>
  <dcterms:created xsi:type="dcterms:W3CDTF">2010-09-20T13:40:00Z</dcterms:created>
  <dcterms:modified xsi:type="dcterms:W3CDTF">2010-09-24T08:36:00Z</dcterms:modified>
</cp:coreProperties>
</file>