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84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040"/>
        <w:gridCol w:w="540"/>
        <w:gridCol w:w="850"/>
        <w:gridCol w:w="709"/>
        <w:gridCol w:w="5821"/>
        <w:gridCol w:w="500"/>
        <w:gridCol w:w="760"/>
      </w:tblGrid>
      <w:tr>
        <w:tblPrEx>
          <w:tblW w:w="15840" w:type="dxa"/>
          <w:tblInd w:w="-3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58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F0BD0" w:rsidRPr="00F120D1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TABUĽKA  ZHODY</w:t>
            </w:r>
          </w:p>
          <w:p w:rsidR="003F0BD0" w:rsidRPr="00F120D1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F120D1" w:rsidR="00FA63A2">
              <w:rPr>
                <w:rFonts w:ascii="Times New Roman" w:hAnsi="Times New Roman"/>
              </w:rPr>
              <w:t xml:space="preserve">k návrhu zákona, ktorým sa mení a dopĺňa zákon č. 431/2002 Z. z. o účtovníctve v znení neskorších predpisov s právom ES/EÚ </w:t>
            </w: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F0BD0" w:rsidRPr="00F120D1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F0BD0" w:rsidRPr="00F120D1" w:rsidP="00E37B1B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D1" w:rsidR="00A42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Smernica Európskeho parlamentu a Rady  2009/49/ES z 18. júna 2009, ktorou sa menia a dopĺňajú smernice Rady 78/660/EHS a 83/349/EHS, pokiaľ ide o určité požiadavky na zverejnenie pre stredné spoločnosti a povinnosť zostavovať konsolidovanú účtovnú závierku </w:t>
            </w: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F0BD0" w:rsidRPr="00F120D1" w:rsidP="00170C52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u w:val="single"/>
              </w:rPr>
              <w:t>Smernica ES/EÚ</w:t>
            </w:r>
          </w:p>
          <w:p w:rsidR="00E03651" w:rsidRPr="00F120D1" w:rsidP="00E03651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0BD0" w:rsidRPr="00F120D1" w:rsidP="007B1457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D1" w:rsidR="00E0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Smernica Európskeho parlamentu a Rady  2009/49/ES z 18. júna 2009, ktorou sa menia a dopĺňajú smernice Rady 78/660/EHS a 83/349/EHS, pokiaľ ide o určité požiadavky na zverejnenie pre stredné spoločnosti a povinnosť zostavovať konsolidovanú účtovnú závierku 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F0BD0" w:rsidRPr="00F120D1" w:rsidP="00170C52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u w:val="single"/>
              </w:rPr>
              <w:t>Všeobecne záväzné právne predpisy Slovenskej republiky</w:t>
            </w:r>
          </w:p>
          <w:p w:rsidR="007B1457" w:rsidRPr="00F120D1" w:rsidP="009731F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B1457" w:rsidRPr="00F120D1" w:rsidP="007B14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120D1">
              <w:rPr>
                <w:rFonts w:ascii="Times New Roman" w:hAnsi="Times New Roman"/>
                <w:b/>
                <w:bCs/>
              </w:rPr>
              <w:t>Zákon č. 431/2002 Z. z. o účtovníctve v znení neskorších predpisov (ďalej len „</w:t>
            </w:r>
            <w:r w:rsidRPr="00F120D1" w:rsidR="00000B8C">
              <w:rPr>
                <w:rFonts w:ascii="Times New Roman" w:hAnsi="Times New Roman"/>
                <w:b/>
                <w:bCs/>
              </w:rPr>
              <w:t xml:space="preserve">zákon č. </w:t>
            </w:r>
            <w:r w:rsidRPr="00F120D1">
              <w:rPr>
                <w:rFonts w:ascii="Times New Roman" w:hAnsi="Times New Roman"/>
                <w:b/>
                <w:bCs/>
              </w:rPr>
              <w:t>431/2002 Z.z.“)</w:t>
            </w:r>
          </w:p>
          <w:p w:rsidR="007B1457" w:rsidRPr="00F120D1" w:rsidP="009731F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9731F6" w:rsidRPr="00F120D1" w:rsidP="009731F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120D1" w:rsidR="0019758C">
              <w:rPr>
                <w:rFonts w:ascii="Times New Roman" w:hAnsi="Times New Roman"/>
                <w:b/>
                <w:bCs/>
              </w:rPr>
              <w:t>N</w:t>
            </w:r>
            <w:r w:rsidRPr="00F120D1" w:rsidR="00FA63A2">
              <w:rPr>
                <w:rFonts w:ascii="Times New Roman" w:hAnsi="Times New Roman"/>
                <w:b/>
                <w:bCs/>
              </w:rPr>
              <w:t>ávrh</w:t>
            </w:r>
            <w:r w:rsidRPr="00F120D1" w:rsidR="0019758C">
              <w:rPr>
                <w:rFonts w:ascii="Times New Roman" w:hAnsi="Times New Roman"/>
                <w:b/>
                <w:bCs/>
              </w:rPr>
              <w:t xml:space="preserve"> z</w:t>
            </w:r>
            <w:r w:rsidRPr="00F120D1">
              <w:rPr>
                <w:rFonts w:ascii="Times New Roman" w:hAnsi="Times New Roman"/>
                <w:b/>
                <w:bCs/>
              </w:rPr>
              <w:t>ákon</w:t>
            </w:r>
            <w:r w:rsidRPr="00F120D1" w:rsidR="00FA63A2">
              <w:rPr>
                <w:rFonts w:ascii="Times New Roman" w:hAnsi="Times New Roman"/>
                <w:b/>
                <w:bCs/>
              </w:rPr>
              <w:t>a, ktorým sa mení a dopĺňa zákon</w:t>
            </w:r>
            <w:r w:rsidRPr="00F120D1">
              <w:rPr>
                <w:rFonts w:ascii="Times New Roman" w:hAnsi="Times New Roman"/>
                <w:b/>
                <w:bCs/>
              </w:rPr>
              <w:t xml:space="preserve"> č. 431/2002 Z. z. o účtovníctve v znení neskorších predpisov (ďalej len „</w:t>
            </w:r>
            <w:r w:rsidRPr="00F120D1" w:rsidR="0019758C">
              <w:rPr>
                <w:rFonts w:ascii="Times New Roman" w:hAnsi="Times New Roman"/>
                <w:b/>
                <w:bCs/>
              </w:rPr>
              <w:t>n</w:t>
            </w:r>
            <w:r w:rsidRPr="00F120D1" w:rsidR="00FA63A2">
              <w:rPr>
                <w:rFonts w:ascii="Times New Roman" w:hAnsi="Times New Roman"/>
                <w:b/>
                <w:bCs/>
              </w:rPr>
              <w:t>ávrh</w:t>
            </w:r>
            <w:r w:rsidRPr="00F120D1" w:rsidR="0019758C">
              <w:rPr>
                <w:rFonts w:ascii="Times New Roman" w:hAnsi="Times New Roman"/>
                <w:b/>
                <w:bCs/>
              </w:rPr>
              <w:t xml:space="preserve"> </w:t>
            </w:r>
            <w:r w:rsidRPr="00F120D1">
              <w:rPr>
                <w:rFonts w:ascii="Times New Roman" w:hAnsi="Times New Roman"/>
                <w:b/>
                <w:bCs/>
              </w:rPr>
              <w:t>zákon</w:t>
            </w:r>
            <w:r w:rsidRPr="00F120D1" w:rsidR="007B1457">
              <w:rPr>
                <w:rFonts w:ascii="Times New Roman" w:hAnsi="Times New Roman"/>
                <w:b/>
                <w:bCs/>
              </w:rPr>
              <w:t>a</w:t>
            </w:r>
            <w:r w:rsidRPr="00F120D1">
              <w:rPr>
                <w:rFonts w:ascii="Times New Roman" w:hAnsi="Times New Roman"/>
                <w:b/>
                <w:bCs/>
              </w:rPr>
              <w:t>“)</w:t>
            </w:r>
          </w:p>
          <w:p w:rsidR="003F0BD0" w:rsidRPr="00F120D1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8</w:t>
            </w:r>
          </w:p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D829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Článok (Č, O,</w:t>
            </w:r>
          </w:p>
          <w:p w:rsidR="00D82982" w:rsidRPr="00F120D1" w:rsidP="00D829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V, P)</w:t>
            </w:r>
          </w:p>
          <w:p w:rsidR="00D82982" w:rsidRPr="00F120D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Poznámky</w:t>
            </w:r>
          </w:p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E0365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Čl. 1</w:t>
            </w:r>
          </w:p>
          <w:p w:rsidR="00D82982" w:rsidRPr="00F120D1" w:rsidP="00E0365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982" w:rsidRPr="00F120D1" w:rsidP="00E0365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u w:val="single"/>
              </w:rPr>
              <w:t>Zmena a doplnenie smernice 78/660/EHS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V článku 45 ods. 2 smernice 78/660/EHS sa prvá veta druhého pododseku nahrádza takto: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"Členské štáty môžu spoločnostiam uvedeným v článku 27 povoliť, aby sa údaje požadované v článku 34 ods. 2 a článku 43 ods. 1 bod 8 neuvádzali."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A3265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A3265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A32658">
            <w:pPr>
              <w:autoSpaceDE/>
              <w:autoSpaceDN/>
              <w:bidi w:val="0"/>
              <w:spacing w:after="0" w:line="240" w:lineRule="auto"/>
              <w:ind w:left="284" w:right="-2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Ćl. 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u w:val="single"/>
              </w:rPr>
              <w:t>Zmena a doplnenie smernice 83/349/EHS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Do článku 13 smernice 83/349/EHS sa vkladá tento odsek: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"2a. Bez toho, aby bol dotknutý článok 4 ods. 2 a články 5 a 6, na každý materský podnik, ktorý sa riadi vnútroštátnym právom členského štátu a ktorý má len nevýznamné dcérske podniky zo zreteľom na ciele uvedené v článku 16 ods. 3, jednotlivo a ako celok, sa vzťahuje výnimka z povinnosti uloženej článkom 1 ods. 1."</w:t>
            </w:r>
          </w:p>
          <w:p w:rsidR="00D82982" w:rsidRPr="00F120D1" w:rsidP="0025019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  <w:b/>
                <w:bCs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§ 22</w:t>
            </w: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ods. 12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0617" w:rsidRPr="00F120D1" w:rsidP="002C06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0D1" w:rsidR="00EA05F5">
              <w:rPr>
                <w:rFonts w:ascii="Times New Roman" w:hAnsi="Times New Roman"/>
                <w:b/>
                <w:bCs/>
                <w:sz w:val="24"/>
                <w:szCs w:val="24"/>
              </w:rPr>
              <w:t>Povinnosť zostaviť konsolidovanú účtovnú závierku a konsolidovanú výročnú správu nemá materská účtovná jednotka,</w:t>
            </w:r>
            <w:r w:rsidRPr="00F120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ak zostavením len </w:t>
            </w:r>
            <w:r w:rsidRPr="00F120D1" w:rsidR="00EA0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20D1">
              <w:rPr>
                <w:rFonts w:ascii="Times New Roman" w:hAnsi="Times New Roman"/>
                <w:b/>
                <w:bCs/>
                <w:sz w:val="24"/>
                <w:szCs w:val="24"/>
              </w:rPr>
              <w:t>individuálnej účtovnej závierky materskej účtovnej jednotky sa významne neovplyvní úsudok o finančnej situácii, nákladoch, výnosoch a výsledku hospodárenia   za konsolidovaný celok; ustanovenia odsekov 10 a 11 sa v takomto prípade nepoužijú.“.</w:t>
            </w:r>
          </w:p>
          <w:p w:rsidR="00EA05F5" w:rsidRPr="00F120D1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2982" w:rsidRPr="00F120D1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0D1">
              <w:rPr>
                <w:rFonts w:ascii="Times New Roman" w:hAnsi="Times New Roman"/>
                <w:b/>
                <w:bCs/>
                <w:sz w:val="24"/>
                <w:szCs w:val="24"/>
              </w:rPr>
              <w:t>Doterajšie odseky 12  až 16 sa označujú ako odseky 13 až 17.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U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Čl. 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u w:val="single"/>
              </w:rPr>
              <w:t>Transpozícia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1. Členské štáty uvedú do účinnosti zákony, iné právne predpisy a správne opatrenia potrebné na dosiahnutie súladu s touto smernicou do 1. januára 2011. Bezodkladne o tom informujú Komisiu.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Členské štáty uvedú priamo v prijatých opatreniach alebo pri ich úradnom uverejnení odkaz na túto smernicu. Podrobnosti o odkaze upravia členské štáty.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2. Členské štáty oznámia Komisii znenie hlavných ustanovení vnútroštátnych právnych predpisov, ktoré prijmú v oblasti pôsobnosti tejto smernice.</w:t>
            </w:r>
          </w:p>
          <w:p w:rsidR="00D82982" w:rsidRPr="00F120D1" w:rsidP="0025019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263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20263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  <w:b/>
                <w:bCs/>
              </w:rPr>
              <w:t>Návrh zákona</w:t>
            </w:r>
            <w:r w:rsidRPr="00F120D1">
              <w:rPr>
                <w:rFonts w:ascii="Times New Roman" w:hAnsi="Times New Roman"/>
              </w:rPr>
              <w:t xml:space="preserve"> </w:t>
            </w:r>
          </w:p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120D1">
              <w:rPr>
                <w:rFonts w:ascii="Times New Roman" w:hAnsi="Times New Roman"/>
              </w:rPr>
              <w:t>zákon č. 431/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263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263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Čl. II</w:t>
            </w: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§ 39c</w:t>
            </w: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Príloha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263" w:rsidRPr="00F120D1" w:rsidP="00A34112">
            <w:pPr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B20263" w:rsidRPr="00F120D1" w:rsidP="00A34112">
            <w:pPr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82982" w:rsidRPr="00F120D1" w:rsidP="00A34112">
            <w:pPr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120D1">
              <w:rPr>
                <w:rFonts w:ascii="Times New Roman" w:hAnsi="Times New Roman"/>
                <w:b/>
                <w:bCs/>
              </w:rPr>
              <w:t>Tento zákon nadobúda účinnosť 31.decembra 2010.</w:t>
            </w:r>
          </w:p>
          <w:p w:rsidR="00D82982" w:rsidRPr="00F120D1" w:rsidP="00A3411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A3411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A3411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Týmto zákonom sa preberajú právne akty  Európskej únie uvedené v prílohe.</w:t>
            </w:r>
          </w:p>
          <w:p w:rsidR="00D82982" w:rsidRPr="00F120D1" w:rsidP="00A3411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982" w:rsidRPr="00F120D1" w:rsidP="00A3411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0D1">
              <w:rPr>
                <w:rFonts w:ascii="Times New Roman" w:hAnsi="Times New Roman"/>
                <w:b/>
                <w:bCs/>
                <w:sz w:val="24"/>
                <w:szCs w:val="24"/>
              </w:rPr>
              <w:t>ZOZNAM PREBERANÝCH PRÁVNYCH AKTOV EURÓPSKEJ ÚNIE</w:t>
            </w:r>
          </w:p>
          <w:p w:rsidR="00D82982" w:rsidRPr="00F120D1" w:rsidP="00A34112">
            <w:pPr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982" w:rsidRPr="00F120D1" w:rsidP="00A3411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20D1" w:rsidR="0010296D">
              <w:rPr>
                <w:rFonts w:ascii="Times New Roman" w:hAnsi="Times New Roman"/>
              </w:rPr>
              <w:t>8</w:t>
            </w:r>
            <w:r w:rsidRPr="00F120D1">
              <w:rPr>
                <w:rFonts w:ascii="Times New Roman" w:hAnsi="Times New Roman"/>
              </w:rPr>
              <w:t xml:space="preserve">. </w:t>
            </w:r>
            <w:r w:rsidRPr="00F120D1" w:rsidR="0010296D">
              <w:rPr>
                <w:rFonts w:ascii="Times New Roman" w:hAnsi="Times New Roman"/>
              </w:rPr>
              <w:t>S</w:t>
            </w:r>
            <w:r w:rsidRPr="00F120D1">
              <w:rPr>
                <w:rFonts w:ascii="Times New Roman" w:hAnsi="Times New Roman"/>
              </w:rPr>
              <w:t>mernice Európskeho parlamentu a Rady 2009/49/ES z 18. júna 2009</w:t>
            </w:r>
            <w:r w:rsidRPr="00F120D1" w:rsidR="0010296D">
              <w:rPr>
                <w:rFonts w:ascii="Times New Roman" w:hAnsi="Times New Roman"/>
              </w:rPr>
              <w:t>, ktorou sa menia a dopĺňajú smernice Rady 78/660/EHS a 83/349/EHS, pokiaľ ide o určité požiadavky na zverejnenie pre stredné spoločnosti a povinnosť zostavovať konsolidovanú účtovnú závierku</w:t>
            </w:r>
            <w:r w:rsidRPr="00F120D1">
              <w:rPr>
                <w:rFonts w:ascii="Times New Roman" w:hAnsi="Times New Roman"/>
              </w:rPr>
              <w:t xml:space="preserve"> (Ú. v. EÚ L 164, 26.6.2009).</w:t>
            </w:r>
          </w:p>
          <w:p w:rsidR="00D82982" w:rsidRPr="00F120D1" w:rsidP="00A3411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2982" w:rsidRPr="00F120D1" w:rsidP="0010296D">
            <w:pPr>
              <w:tabs>
                <w:tab w:val="left" w:pos="426"/>
              </w:tabs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U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 w:rsidP="00D82982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F120D1">
              <w:rPr>
                <w:rFonts w:ascii="Times New Roman" w:hAnsi="Times New Roman"/>
                <w:b w:val="0"/>
                <w:bCs w:val="0"/>
              </w:rPr>
              <w:t>§ 35 ods.7 zákona č. 575/ 2001 Z.z. o organizácii činnosti vlády a organizácii ústrednej štátnej správy v znení neskorších predpisov</w:t>
            </w: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Čl. 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Nadobudnutie účinnosti</w:t>
            </w:r>
          </w:p>
          <w:p w:rsidR="00D82982" w:rsidRPr="00F120D1" w:rsidP="00F66E10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0D1">
              <w:rPr>
                <w:rFonts w:ascii="Times New Roman" w:hAnsi="Times New Roman"/>
                <w:sz w:val="24"/>
                <w:szCs w:val="24"/>
              </w:rPr>
              <w:t>Táto smernica nadobúda účinnosť dvadsiatym dňom po jej uverejnení v Úradnom vestníku Európskej únie.</w:t>
            </w:r>
          </w:p>
          <w:p w:rsidR="00D82982" w:rsidRPr="00F120D1" w:rsidP="0025019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5840" w:type="dxa"/>
          <w:tblInd w:w="-31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Čl. 5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F66E10">
            <w:pPr>
              <w:pStyle w:val="CM4"/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20D1">
              <w:rPr>
                <w:rFonts w:ascii="Times New Roman" w:hAnsi="Times New Roman" w:cs="Times New Roman"/>
                <w:color w:val="000000"/>
              </w:rPr>
              <w:t xml:space="preserve">Adresáti </w:t>
            </w:r>
          </w:p>
          <w:p w:rsidR="00D82982" w:rsidRPr="00F120D1" w:rsidP="00F66E10">
            <w:pPr>
              <w:pStyle w:val="CM4"/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20D1">
              <w:rPr>
                <w:rFonts w:ascii="Times New Roman" w:hAnsi="Times New Roman" w:cs="Times New Roman"/>
                <w:color w:val="000000"/>
              </w:rPr>
              <w:t xml:space="preserve">Táto smernica je určená členským štátom. </w:t>
            </w:r>
          </w:p>
          <w:p w:rsidR="00D82982" w:rsidRPr="00F120D1" w:rsidP="00F66E10">
            <w:pPr>
              <w:pStyle w:val="CM4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20D1">
              <w:rPr>
                <w:rFonts w:ascii="Times New Roman" w:hAnsi="Times New Roman" w:cs="Times New Roman"/>
                <w:color w:val="000000"/>
              </w:rPr>
              <w:t xml:space="preserve">V Bruseli 18. júna 2009 </w:t>
            </w:r>
          </w:p>
          <w:p w:rsidR="00D82982" w:rsidRPr="00F120D1" w:rsidP="00F66E10">
            <w:pPr>
              <w:pStyle w:val="CM4"/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20D1">
              <w:rPr>
                <w:rFonts w:ascii="Times New Roman" w:hAnsi="Times New Roman" w:cs="Times New Roman"/>
                <w:color w:val="000000"/>
              </w:rPr>
              <w:t>Za Európsky parlament predseda H.-G. PÖTTERING</w:t>
            </w:r>
          </w:p>
          <w:p w:rsidR="00D82982" w:rsidRPr="00F120D1" w:rsidP="00F66E1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Za Radu predseda Š. FÜLE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E0365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3F0BD0" w:rsidRPr="00F120D1">
      <w:pPr>
        <w:autoSpaceDE/>
        <w:autoSpaceDN/>
        <w:bidi w:val="0"/>
        <w:ind w:left="360"/>
        <w:rPr>
          <w:rFonts w:ascii="Times New Roman" w:hAnsi="Times New Roman"/>
        </w:rPr>
      </w:pPr>
    </w:p>
    <w:p w:rsidR="00D82982" w:rsidRPr="00F120D1" w:rsidP="00D82982">
      <w:pPr>
        <w:autoSpaceDE/>
        <w:autoSpaceDN/>
        <w:bidi w:val="0"/>
        <w:jc w:val="both"/>
        <w:rPr>
          <w:rFonts w:ascii="Times New Roman" w:hAnsi="Times New Roman"/>
        </w:rPr>
      </w:pPr>
    </w:p>
    <w:p w:rsidR="00D82982" w:rsidRPr="00F120D1" w:rsidP="00D82982">
      <w:pPr>
        <w:autoSpaceDE/>
        <w:autoSpaceDN/>
        <w:bidi w:val="0"/>
        <w:rPr>
          <w:rFonts w:ascii="Times New Roman" w:hAnsi="Times New Roman"/>
        </w:rPr>
      </w:pPr>
      <w:r w:rsidRPr="00F120D1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82982" w:rsidRPr="00F120D1" w:rsidP="004E2EC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 – článok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O – odsek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V – veta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P – písmeno (číslo)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82982" w:rsidRPr="00F120D1" w:rsidP="004E2EC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 – bežná transpozícia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O – transpozícia s možnosťou voľby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D – transpozícia podľa úvahy (dobrovoľná)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82982" w:rsidRPr="00F120D1" w:rsidP="004E2EC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 – článok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§ – paragraf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O – odsek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V – veta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82982" w:rsidRPr="00F120D1" w:rsidP="004E2EC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Ú – úplná zhoda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Č – čiastočná zhoda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R – rozpor (v príp., že zatiaľ nedošlo k transp., ale príde k nej v budúcnosti</w:t>
            </w:r>
          </w:p>
          <w:p w:rsidR="00D82982" w:rsidRPr="00F120D1" w:rsidP="004E2EC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n.a. – neaplikovateľné</w:t>
            </w:r>
          </w:p>
        </w:tc>
      </w:tr>
    </w:tbl>
    <w:p w:rsidR="00D82982" w:rsidRPr="00F120D1" w:rsidP="00D82982">
      <w:pPr>
        <w:autoSpaceDE/>
        <w:autoSpaceDN/>
        <w:bidi w:val="0"/>
        <w:rPr>
          <w:rFonts w:ascii="Times New Roman" w:hAnsi="Times New Roman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 w:rsidP="004E2E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 xml:space="preserve">Zoznam všeobecne záväzných právnych predpisov preberajúcich smernicu: </w:t>
            </w:r>
            <w:r w:rsidRPr="00F120D1" w:rsidR="005333E6">
              <w:rPr>
                <w:rFonts w:ascii="Times New Roman" w:hAnsi="Times New Roman"/>
                <w:b/>
                <w:bCs/>
              </w:rPr>
              <w:t xml:space="preserve">2009/49/ES 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4E2EC6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F120D1">
              <w:rPr>
                <w:rFonts w:ascii="Times New Roman" w:hAnsi="Times New Roman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 w:rsidP="004E2EC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>
              <w:rPr>
                <w:rFonts w:ascii="Times New Roman" w:hAnsi="Times New Roman"/>
                <w:sz w:val="24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D82982" w:rsidRPr="00F120D1" w:rsidP="004E2EC6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82982" w:rsidRPr="00F120D1" w:rsidP="004E2EC6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120D1" w:rsidR="0010296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Návrh zákona, ktorým sa mení a dopĺňa zákon č. 431/2002 Z. z. o účtovníctve v znení neskorších predpisov</w:t>
            </w:r>
          </w:p>
        </w:tc>
      </w:tr>
    </w:tbl>
    <w:p w:rsidR="00D82982" w:rsidRPr="00F120D1" w:rsidP="00D82982">
      <w:pPr>
        <w:autoSpaceDE/>
        <w:autoSpaceDN/>
        <w:bidi w:val="0"/>
        <w:rPr>
          <w:rFonts w:ascii="Times New Roman" w:hAnsi="Times New Roman"/>
        </w:rPr>
      </w:pPr>
    </w:p>
    <w:p w:rsidR="00D82982" w:rsidRPr="00F120D1">
      <w:pPr>
        <w:autoSpaceDE/>
        <w:autoSpaceDN/>
        <w:bidi w:val="0"/>
        <w:ind w:left="360"/>
        <w:rPr>
          <w:rFonts w:ascii="Times New Roman" w:hAnsi="Times New Roman"/>
        </w:rPr>
      </w:pPr>
    </w:p>
    <w:sectPr w:rsidSect="00A76041">
      <w:footerReference w:type="default" r:id="rId4"/>
      <w:pgSz w:w="16838" w:h="11906" w:orient="landscape" w:code="9"/>
      <w:pgMar w:top="851" w:right="851" w:bottom="851" w:left="851" w:header="510" w:footer="51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E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5D9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B4DE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24F"/>
    <w:multiLevelType w:val="singleLevel"/>
    <w:tmpl w:val="FD44AC64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1">
    <w:nsid w:val="02D678DC"/>
    <w:multiLevelType w:val="singleLevel"/>
    <w:tmpl w:val="FD44AC64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F52313"/>
    <w:multiLevelType w:val="hybridMultilevel"/>
    <w:tmpl w:val="F3E2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  <w:sz w:val="20"/>
        <w:szCs w:val="2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9621EEE"/>
    <w:multiLevelType w:val="hybridMultilevel"/>
    <w:tmpl w:val="301A9DD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93A0C"/>
    <w:multiLevelType w:val="singleLevel"/>
    <w:tmpl w:val="147A09F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rtl w:val="0"/>
        <w:cs w:val="0"/>
      </w:rPr>
    </w:lvl>
  </w:abstractNum>
  <w:abstractNum w:abstractNumId="7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9">
    <w:nsid w:val="17537F70"/>
    <w:multiLevelType w:val="hybridMultilevel"/>
    <w:tmpl w:val="59A0C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2B3F50E1"/>
    <w:multiLevelType w:val="hybridMultilevel"/>
    <w:tmpl w:val="94727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FF50421"/>
    <w:multiLevelType w:val="hybridMultilevel"/>
    <w:tmpl w:val="94727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DD265B"/>
    <w:multiLevelType w:val="hybridMultilevel"/>
    <w:tmpl w:val="183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D02689"/>
    <w:multiLevelType w:val="hybridMultilevel"/>
    <w:tmpl w:val="2FD087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7">
    <w:nsid w:val="46B1463F"/>
    <w:multiLevelType w:val="hybridMultilevel"/>
    <w:tmpl w:val="D8942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AF71A6"/>
    <w:multiLevelType w:val="hybridMultilevel"/>
    <w:tmpl w:val="766C92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AFC6A96"/>
    <w:multiLevelType w:val="singleLevel"/>
    <w:tmpl w:val="FD44AC64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3"/>
    </w:lvlOverride>
  </w:num>
  <w:num w:numId="3">
    <w:abstractNumId w:val="16"/>
  </w:num>
  <w:num w:numId="4">
    <w:abstractNumId w:val="16"/>
    <w:lvlOverride w:ilvl="0">
      <w:startOverride w:val="2"/>
    </w:lvlOverride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20"/>
  </w:num>
  <w:num w:numId="12">
    <w:abstractNumId w:val="7"/>
  </w:num>
  <w:num w:numId="13">
    <w:abstractNumId w:val="19"/>
  </w:num>
  <w:num w:numId="14">
    <w:abstractNumId w:val="5"/>
  </w:num>
  <w:num w:numId="15">
    <w:abstractNumId w:val="13"/>
  </w:num>
  <w:num w:numId="16">
    <w:abstractNumId w:val="17"/>
  </w:num>
  <w:num w:numId="17">
    <w:abstractNumId w:val="0"/>
  </w:num>
  <w:num w:numId="18">
    <w:abstractNumId w:val="1"/>
  </w:num>
  <w:num w:numId="19">
    <w:abstractNumId w:val="6"/>
  </w:num>
  <w:num w:numId="20">
    <w:abstractNumId w:val="21"/>
  </w:num>
  <w:num w:numId="21">
    <w:abstractNumId w:val="3"/>
  </w:num>
  <w:num w:numId="22">
    <w:abstractNumId w:val="22"/>
  </w:num>
  <w:num w:numId="23">
    <w:abstractNumId w:val="15"/>
  </w:num>
  <w:num w:numId="24">
    <w:abstractNumId w:val="12"/>
  </w:num>
  <w:num w:numId="25">
    <w:abstractNumId w:val="11"/>
  </w:num>
  <w:num w:numId="26">
    <w:abstractNumId w:val="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0BD0"/>
    <w:rsid w:val="00000B8C"/>
    <w:rsid w:val="000070F9"/>
    <w:rsid w:val="00016192"/>
    <w:rsid w:val="000217E7"/>
    <w:rsid w:val="00031278"/>
    <w:rsid w:val="00055245"/>
    <w:rsid w:val="000816DD"/>
    <w:rsid w:val="000A3301"/>
    <w:rsid w:val="000A4362"/>
    <w:rsid w:val="000A4B2D"/>
    <w:rsid w:val="000F4896"/>
    <w:rsid w:val="0010296D"/>
    <w:rsid w:val="00103327"/>
    <w:rsid w:val="0011469A"/>
    <w:rsid w:val="00125AE5"/>
    <w:rsid w:val="00141564"/>
    <w:rsid w:val="001471F9"/>
    <w:rsid w:val="00170C52"/>
    <w:rsid w:val="00172BBF"/>
    <w:rsid w:val="00193367"/>
    <w:rsid w:val="0019758C"/>
    <w:rsid w:val="00197EC3"/>
    <w:rsid w:val="001B2CA9"/>
    <w:rsid w:val="001D0A91"/>
    <w:rsid w:val="001D0D75"/>
    <w:rsid w:val="001D1938"/>
    <w:rsid w:val="001E3A22"/>
    <w:rsid w:val="001F3A45"/>
    <w:rsid w:val="00207D63"/>
    <w:rsid w:val="00215F7F"/>
    <w:rsid w:val="00217326"/>
    <w:rsid w:val="00227320"/>
    <w:rsid w:val="00233AD4"/>
    <w:rsid w:val="0025019C"/>
    <w:rsid w:val="00252F81"/>
    <w:rsid w:val="002530E0"/>
    <w:rsid w:val="002535DA"/>
    <w:rsid w:val="00272938"/>
    <w:rsid w:val="00275D1F"/>
    <w:rsid w:val="00276D78"/>
    <w:rsid w:val="00281E2E"/>
    <w:rsid w:val="00283A6F"/>
    <w:rsid w:val="00294258"/>
    <w:rsid w:val="002A158F"/>
    <w:rsid w:val="002A3F45"/>
    <w:rsid w:val="002B4DE6"/>
    <w:rsid w:val="002C0617"/>
    <w:rsid w:val="002D2E5E"/>
    <w:rsid w:val="002D4B88"/>
    <w:rsid w:val="002E2729"/>
    <w:rsid w:val="002E66E0"/>
    <w:rsid w:val="002E6A10"/>
    <w:rsid w:val="002E733A"/>
    <w:rsid w:val="002F752D"/>
    <w:rsid w:val="003031DD"/>
    <w:rsid w:val="00310138"/>
    <w:rsid w:val="0032288F"/>
    <w:rsid w:val="0035367C"/>
    <w:rsid w:val="003545C9"/>
    <w:rsid w:val="00374FE0"/>
    <w:rsid w:val="003A429C"/>
    <w:rsid w:val="003B1B04"/>
    <w:rsid w:val="003B2D23"/>
    <w:rsid w:val="003C10CE"/>
    <w:rsid w:val="003C4835"/>
    <w:rsid w:val="003D4C73"/>
    <w:rsid w:val="003D732C"/>
    <w:rsid w:val="003E4719"/>
    <w:rsid w:val="003E5D1F"/>
    <w:rsid w:val="003F0BD0"/>
    <w:rsid w:val="003F1B69"/>
    <w:rsid w:val="00414C87"/>
    <w:rsid w:val="0042437D"/>
    <w:rsid w:val="00436FB6"/>
    <w:rsid w:val="004419CA"/>
    <w:rsid w:val="004444ED"/>
    <w:rsid w:val="00447ACF"/>
    <w:rsid w:val="00466DA4"/>
    <w:rsid w:val="00475777"/>
    <w:rsid w:val="00477B0A"/>
    <w:rsid w:val="00490AB6"/>
    <w:rsid w:val="00492B29"/>
    <w:rsid w:val="004A0CAD"/>
    <w:rsid w:val="004A7512"/>
    <w:rsid w:val="004A7B8E"/>
    <w:rsid w:val="004A7D03"/>
    <w:rsid w:val="004B2C3A"/>
    <w:rsid w:val="004B3908"/>
    <w:rsid w:val="004B5EB2"/>
    <w:rsid w:val="004B741D"/>
    <w:rsid w:val="004C3D4C"/>
    <w:rsid w:val="004E2EC6"/>
    <w:rsid w:val="004E656F"/>
    <w:rsid w:val="00503E29"/>
    <w:rsid w:val="005058F2"/>
    <w:rsid w:val="00507123"/>
    <w:rsid w:val="005244FE"/>
    <w:rsid w:val="005270CC"/>
    <w:rsid w:val="00532017"/>
    <w:rsid w:val="005333E6"/>
    <w:rsid w:val="005440F9"/>
    <w:rsid w:val="00554DB9"/>
    <w:rsid w:val="00555499"/>
    <w:rsid w:val="00556EF6"/>
    <w:rsid w:val="005622C2"/>
    <w:rsid w:val="00565D3E"/>
    <w:rsid w:val="005734BD"/>
    <w:rsid w:val="005753EF"/>
    <w:rsid w:val="00583B8F"/>
    <w:rsid w:val="00586456"/>
    <w:rsid w:val="005A4BB2"/>
    <w:rsid w:val="005B3EBB"/>
    <w:rsid w:val="005B7794"/>
    <w:rsid w:val="005C7DE9"/>
    <w:rsid w:val="005D25EB"/>
    <w:rsid w:val="005D3325"/>
    <w:rsid w:val="006121C3"/>
    <w:rsid w:val="00615D03"/>
    <w:rsid w:val="00615D9A"/>
    <w:rsid w:val="00616286"/>
    <w:rsid w:val="0062459F"/>
    <w:rsid w:val="00627D40"/>
    <w:rsid w:val="00631CD6"/>
    <w:rsid w:val="00634406"/>
    <w:rsid w:val="00636425"/>
    <w:rsid w:val="00642848"/>
    <w:rsid w:val="00650FC7"/>
    <w:rsid w:val="0066039B"/>
    <w:rsid w:val="00671319"/>
    <w:rsid w:val="0067190E"/>
    <w:rsid w:val="00672D66"/>
    <w:rsid w:val="00675EE5"/>
    <w:rsid w:val="00685505"/>
    <w:rsid w:val="006A6DBD"/>
    <w:rsid w:val="006B30A8"/>
    <w:rsid w:val="006B363A"/>
    <w:rsid w:val="006C0781"/>
    <w:rsid w:val="006C0879"/>
    <w:rsid w:val="006C325E"/>
    <w:rsid w:val="006D3045"/>
    <w:rsid w:val="006E4AC4"/>
    <w:rsid w:val="006E5569"/>
    <w:rsid w:val="00704EFD"/>
    <w:rsid w:val="00711988"/>
    <w:rsid w:val="0073493B"/>
    <w:rsid w:val="00755920"/>
    <w:rsid w:val="007674C8"/>
    <w:rsid w:val="007A26A6"/>
    <w:rsid w:val="007B1239"/>
    <w:rsid w:val="007B1457"/>
    <w:rsid w:val="007B554D"/>
    <w:rsid w:val="007B57B1"/>
    <w:rsid w:val="007C3BE5"/>
    <w:rsid w:val="00815A3A"/>
    <w:rsid w:val="008327A4"/>
    <w:rsid w:val="00844873"/>
    <w:rsid w:val="00856846"/>
    <w:rsid w:val="00862548"/>
    <w:rsid w:val="0088151E"/>
    <w:rsid w:val="00886342"/>
    <w:rsid w:val="008978BE"/>
    <w:rsid w:val="008B2752"/>
    <w:rsid w:val="008C6F6E"/>
    <w:rsid w:val="008D1BBB"/>
    <w:rsid w:val="009054C3"/>
    <w:rsid w:val="009101A1"/>
    <w:rsid w:val="00922C83"/>
    <w:rsid w:val="0092607B"/>
    <w:rsid w:val="009312DD"/>
    <w:rsid w:val="00937DCC"/>
    <w:rsid w:val="0095731F"/>
    <w:rsid w:val="00964195"/>
    <w:rsid w:val="00965D1D"/>
    <w:rsid w:val="00966C0B"/>
    <w:rsid w:val="009731F6"/>
    <w:rsid w:val="00983930"/>
    <w:rsid w:val="00985F2B"/>
    <w:rsid w:val="00992856"/>
    <w:rsid w:val="00996C15"/>
    <w:rsid w:val="009A7694"/>
    <w:rsid w:val="009B7A5F"/>
    <w:rsid w:val="009C0B12"/>
    <w:rsid w:val="009C5A5A"/>
    <w:rsid w:val="009D6614"/>
    <w:rsid w:val="00A024C1"/>
    <w:rsid w:val="00A03BA7"/>
    <w:rsid w:val="00A17773"/>
    <w:rsid w:val="00A32658"/>
    <w:rsid w:val="00A32DC7"/>
    <w:rsid w:val="00A34112"/>
    <w:rsid w:val="00A40750"/>
    <w:rsid w:val="00A414DE"/>
    <w:rsid w:val="00A42668"/>
    <w:rsid w:val="00A435BF"/>
    <w:rsid w:val="00A61C05"/>
    <w:rsid w:val="00A62EF2"/>
    <w:rsid w:val="00A76041"/>
    <w:rsid w:val="00A944E7"/>
    <w:rsid w:val="00A94A9E"/>
    <w:rsid w:val="00AA15E4"/>
    <w:rsid w:val="00AB6E2B"/>
    <w:rsid w:val="00AE0A54"/>
    <w:rsid w:val="00AE3E2F"/>
    <w:rsid w:val="00AF5627"/>
    <w:rsid w:val="00B119F7"/>
    <w:rsid w:val="00B128B3"/>
    <w:rsid w:val="00B13415"/>
    <w:rsid w:val="00B20263"/>
    <w:rsid w:val="00B21261"/>
    <w:rsid w:val="00B32203"/>
    <w:rsid w:val="00B3761F"/>
    <w:rsid w:val="00B5353E"/>
    <w:rsid w:val="00B85DF3"/>
    <w:rsid w:val="00B92522"/>
    <w:rsid w:val="00B92C89"/>
    <w:rsid w:val="00BA63BB"/>
    <w:rsid w:val="00BA74B0"/>
    <w:rsid w:val="00BB0772"/>
    <w:rsid w:val="00BB49FE"/>
    <w:rsid w:val="00BC1B13"/>
    <w:rsid w:val="00BC2C79"/>
    <w:rsid w:val="00BF2FEA"/>
    <w:rsid w:val="00C107B3"/>
    <w:rsid w:val="00C1572E"/>
    <w:rsid w:val="00C178CC"/>
    <w:rsid w:val="00C23DA4"/>
    <w:rsid w:val="00C416FD"/>
    <w:rsid w:val="00C47248"/>
    <w:rsid w:val="00C73D06"/>
    <w:rsid w:val="00C73D69"/>
    <w:rsid w:val="00C80602"/>
    <w:rsid w:val="00C9249B"/>
    <w:rsid w:val="00C92CAD"/>
    <w:rsid w:val="00CA06D7"/>
    <w:rsid w:val="00CA57B9"/>
    <w:rsid w:val="00CB4042"/>
    <w:rsid w:val="00CB5C96"/>
    <w:rsid w:val="00CD14EF"/>
    <w:rsid w:val="00CD2BBA"/>
    <w:rsid w:val="00CD5DC8"/>
    <w:rsid w:val="00D01D46"/>
    <w:rsid w:val="00D03BB0"/>
    <w:rsid w:val="00D20875"/>
    <w:rsid w:val="00D469F3"/>
    <w:rsid w:val="00D60443"/>
    <w:rsid w:val="00D6473D"/>
    <w:rsid w:val="00D82982"/>
    <w:rsid w:val="00D845AB"/>
    <w:rsid w:val="00D93D58"/>
    <w:rsid w:val="00D97F73"/>
    <w:rsid w:val="00DA5FC0"/>
    <w:rsid w:val="00DA72E8"/>
    <w:rsid w:val="00DB0D3E"/>
    <w:rsid w:val="00DC42DE"/>
    <w:rsid w:val="00DC7DB5"/>
    <w:rsid w:val="00DD3263"/>
    <w:rsid w:val="00DD44A7"/>
    <w:rsid w:val="00DE7D14"/>
    <w:rsid w:val="00DF4BC9"/>
    <w:rsid w:val="00E03651"/>
    <w:rsid w:val="00E04805"/>
    <w:rsid w:val="00E06B13"/>
    <w:rsid w:val="00E17E3D"/>
    <w:rsid w:val="00E37B1B"/>
    <w:rsid w:val="00E37D50"/>
    <w:rsid w:val="00E613A2"/>
    <w:rsid w:val="00E71CB2"/>
    <w:rsid w:val="00E764D7"/>
    <w:rsid w:val="00E81374"/>
    <w:rsid w:val="00E94E21"/>
    <w:rsid w:val="00E95337"/>
    <w:rsid w:val="00E97523"/>
    <w:rsid w:val="00EA05F5"/>
    <w:rsid w:val="00ED3A70"/>
    <w:rsid w:val="00EF2FD2"/>
    <w:rsid w:val="00F120D1"/>
    <w:rsid w:val="00F20B5E"/>
    <w:rsid w:val="00F23C38"/>
    <w:rsid w:val="00F33796"/>
    <w:rsid w:val="00F357D9"/>
    <w:rsid w:val="00F372D0"/>
    <w:rsid w:val="00F66E10"/>
    <w:rsid w:val="00F82AAD"/>
    <w:rsid w:val="00F84348"/>
    <w:rsid w:val="00F86D12"/>
    <w:rsid w:val="00FA63A2"/>
    <w:rsid w:val="00FA79A5"/>
    <w:rsid w:val="00FF5D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C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link w:val="Char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autoSpaceDE/>
      <w:autoSpaceDN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B32203"/>
    <w:pPr>
      <w:autoSpaceDE/>
      <w:autoSpaceDN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CharChar1">
    <w:name w:val="Char Char1"/>
    <w:basedOn w:val="Normal"/>
    <w:link w:val="DefaultParagraphFont"/>
    <w:uiPriority w:val="99"/>
    <w:rsid w:val="004A7B8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4">
    <w:name w:val="CM4"/>
    <w:basedOn w:val="Normal"/>
    <w:next w:val="Normal"/>
    <w:uiPriority w:val="99"/>
    <w:rsid w:val="0025019C"/>
    <w:pPr>
      <w:adjustRightInd w:val="0"/>
      <w:jc w:val="left"/>
    </w:pPr>
    <w:rPr>
      <w:rFonts w:ascii="EUAlbertina" w:hAnsi="EUAlbertina" w:cs="EUAlbertina"/>
    </w:rPr>
  </w:style>
  <w:style w:type="paragraph" w:customStyle="1" w:styleId="Normlnywebov8">
    <w:name w:val="Normálny (webový)8"/>
    <w:basedOn w:val="Normal"/>
    <w:uiPriority w:val="99"/>
    <w:rsid w:val="00F66E10"/>
    <w:pPr>
      <w:autoSpaceDE/>
      <w:autoSpaceDN/>
      <w:spacing w:before="63" w:after="63"/>
      <w:ind w:left="188" w:right="188"/>
      <w:jc w:val="left"/>
    </w:pPr>
    <w:rPr>
      <w:sz w:val="22"/>
      <w:szCs w:val="22"/>
    </w:rPr>
  </w:style>
  <w:style w:type="paragraph" w:styleId="BodyTextIndent2">
    <w:name w:val="Body Text Indent 2"/>
    <w:basedOn w:val="Normal"/>
    <w:link w:val="Zarkazkladnhotextu2Char"/>
    <w:uiPriority w:val="99"/>
    <w:rsid w:val="00D82982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683</Words>
  <Characters>3761</Characters>
  <Application>Microsoft Office Word</Application>
  <DocSecurity>0</DocSecurity>
  <Lines>0</Lines>
  <Paragraphs>0</Paragraphs>
  <ScaleCrop>false</ScaleCrop>
  <Company>ÚV SR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isalkovicova</cp:lastModifiedBy>
  <cp:revision>2</cp:revision>
  <cp:lastPrinted>2010-02-17T09:24:00Z</cp:lastPrinted>
  <dcterms:created xsi:type="dcterms:W3CDTF">2010-09-23T09:01:00Z</dcterms:created>
  <dcterms:modified xsi:type="dcterms:W3CDTF">2010-09-23T09:01:00Z</dcterms:modified>
</cp:coreProperties>
</file>