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0D03" w:rsidRPr="00B72F7C" w:rsidP="00F147D8">
      <w:pPr>
        <w:bidi w:val="0"/>
        <w:jc w:val="center"/>
        <w:rPr>
          <w:rFonts w:ascii="Times New Roman" w:hAnsi="Times New Roman"/>
          <w:b/>
        </w:rPr>
      </w:pPr>
      <w:r w:rsidRPr="00B72F7C" w:rsidR="007C324A">
        <w:rPr>
          <w:rFonts w:ascii="Times New Roman" w:hAnsi="Times New Roman"/>
          <w:b/>
        </w:rPr>
        <w:t>D</w:t>
      </w:r>
      <w:r w:rsidRPr="00B72F7C" w:rsidR="00F147D8">
        <w:rPr>
          <w:rFonts w:ascii="Times New Roman" w:hAnsi="Times New Roman"/>
          <w:b/>
        </w:rPr>
        <w:t>ÔVODOVÁ SPRÁVA</w:t>
      </w:r>
    </w:p>
    <w:p w:rsidR="003915D8" w:rsidRPr="00B72F7C" w:rsidP="0091008E">
      <w:pPr>
        <w:bidi w:val="0"/>
        <w:jc w:val="center"/>
        <w:rPr>
          <w:rFonts w:ascii="Times New Roman" w:hAnsi="Times New Roman"/>
        </w:rPr>
      </w:pPr>
    </w:p>
    <w:p w:rsidR="0091008E" w:rsidRPr="00B72F7C" w:rsidP="00147246">
      <w:pPr>
        <w:bidi w:val="0"/>
        <w:rPr>
          <w:rFonts w:ascii="Times New Roman" w:hAnsi="Times New Roman"/>
          <w:b/>
          <w:caps/>
        </w:rPr>
      </w:pPr>
      <w:r w:rsidRPr="00B72F7C" w:rsidR="007C324A">
        <w:rPr>
          <w:rFonts w:ascii="Times New Roman" w:hAnsi="Times New Roman"/>
          <w:b/>
          <w:caps/>
        </w:rPr>
        <w:t>A. Všeobecná časť</w:t>
      </w:r>
    </w:p>
    <w:p w:rsidR="00147246" w:rsidRPr="00B72F7C" w:rsidP="00147246">
      <w:pPr>
        <w:bidi w:val="0"/>
        <w:rPr>
          <w:rFonts w:ascii="Times New Roman" w:hAnsi="Times New Roman"/>
        </w:rPr>
      </w:pPr>
    </w:p>
    <w:p w:rsidR="003172E2" w:rsidRPr="00B72F7C" w:rsidP="00F26B77">
      <w:pPr>
        <w:bidi w:val="0"/>
        <w:ind w:firstLine="708"/>
        <w:jc w:val="both"/>
        <w:rPr>
          <w:rFonts w:ascii="Times New Roman" w:hAnsi="Times New Roman"/>
        </w:rPr>
      </w:pPr>
      <w:r w:rsidRPr="00B72F7C" w:rsidR="007C324A">
        <w:rPr>
          <w:rFonts w:ascii="Times New Roman" w:hAnsi="Times New Roman"/>
        </w:rPr>
        <w:t xml:space="preserve">Ministerstvo financií  SR predkladá do legislatívneho procesu návrh zákona, ktorým sa </w:t>
      </w:r>
      <w:r w:rsidRPr="00B72F7C" w:rsidR="002B0224">
        <w:rPr>
          <w:rFonts w:ascii="Times New Roman" w:hAnsi="Times New Roman"/>
        </w:rPr>
        <w:t xml:space="preserve"> mení  a </w:t>
      </w:r>
      <w:r w:rsidRPr="00B72F7C" w:rsidR="007C324A">
        <w:rPr>
          <w:rFonts w:ascii="Times New Roman" w:hAnsi="Times New Roman"/>
        </w:rPr>
        <w:t xml:space="preserve">dopĺňa zákon č. 431/2002 Z. z. o účtovníctve v znení neskorších predpisov (ďalej </w:t>
      </w:r>
      <w:r w:rsidRPr="00B72F7C" w:rsidR="00261BED">
        <w:rPr>
          <w:rFonts w:ascii="Times New Roman" w:hAnsi="Times New Roman"/>
        </w:rPr>
        <w:t>len</w:t>
      </w:r>
      <w:r w:rsidRPr="00B72F7C" w:rsidR="007C324A">
        <w:rPr>
          <w:rFonts w:ascii="Times New Roman" w:hAnsi="Times New Roman"/>
        </w:rPr>
        <w:t xml:space="preserve"> „</w:t>
      </w:r>
      <w:r w:rsidRPr="00B72F7C" w:rsidR="00F147D8">
        <w:rPr>
          <w:rFonts w:ascii="Times New Roman" w:hAnsi="Times New Roman"/>
        </w:rPr>
        <w:t xml:space="preserve">návrh </w:t>
      </w:r>
      <w:r w:rsidRPr="00B72F7C" w:rsidR="007C324A">
        <w:rPr>
          <w:rFonts w:ascii="Times New Roman" w:hAnsi="Times New Roman"/>
        </w:rPr>
        <w:t>zákon</w:t>
      </w:r>
      <w:r w:rsidRPr="00B72F7C" w:rsidR="00F147D8">
        <w:rPr>
          <w:rFonts w:ascii="Times New Roman" w:hAnsi="Times New Roman"/>
        </w:rPr>
        <w:t>a</w:t>
      </w:r>
      <w:r w:rsidRPr="00B72F7C" w:rsidR="007C324A">
        <w:rPr>
          <w:rFonts w:ascii="Times New Roman" w:hAnsi="Times New Roman"/>
        </w:rPr>
        <w:t>“).</w:t>
      </w:r>
    </w:p>
    <w:p w:rsidR="00BE1F1E" w:rsidRPr="00B72F7C" w:rsidP="00F26B77">
      <w:pPr>
        <w:bidi w:val="0"/>
        <w:ind w:firstLine="708"/>
        <w:jc w:val="both"/>
        <w:rPr>
          <w:rFonts w:ascii="Times New Roman" w:hAnsi="Times New Roman"/>
        </w:rPr>
      </w:pPr>
      <w:r w:rsidRPr="00B72F7C" w:rsidR="007C324A">
        <w:rPr>
          <w:rFonts w:ascii="Times New Roman" w:hAnsi="Times New Roman"/>
        </w:rPr>
        <w:t>Návrh</w:t>
      </w:r>
      <w:r w:rsidR="00C03DB8">
        <w:rPr>
          <w:rFonts w:ascii="Times New Roman" w:hAnsi="Times New Roman"/>
        </w:rPr>
        <w:t>om zákona sa</w:t>
      </w:r>
      <w:r w:rsidRPr="00B72F7C" w:rsidR="003172E2">
        <w:rPr>
          <w:rFonts w:ascii="Times New Roman" w:hAnsi="Times New Roman"/>
        </w:rPr>
        <w:t xml:space="preserve"> preb</w:t>
      </w:r>
      <w:r w:rsidR="00FC009B">
        <w:rPr>
          <w:rFonts w:ascii="Times New Roman" w:hAnsi="Times New Roman"/>
        </w:rPr>
        <w:t>e</w:t>
      </w:r>
      <w:r w:rsidRPr="00B72F7C" w:rsidR="003172E2">
        <w:rPr>
          <w:rFonts w:ascii="Times New Roman" w:hAnsi="Times New Roman"/>
        </w:rPr>
        <w:t>r</w:t>
      </w:r>
      <w:r w:rsidR="00C03DB8">
        <w:rPr>
          <w:rFonts w:ascii="Times New Roman" w:hAnsi="Times New Roman"/>
        </w:rPr>
        <w:t>á</w:t>
      </w:r>
      <w:r w:rsidRPr="00B72F7C" w:rsidR="003172E2">
        <w:rPr>
          <w:rFonts w:ascii="Times New Roman" w:hAnsi="Times New Roman"/>
        </w:rPr>
        <w:t xml:space="preserve">  článok  </w:t>
      </w:r>
      <w:r w:rsidRPr="00B72F7C" w:rsidR="00F6097B">
        <w:rPr>
          <w:rFonts w:ascii="Times New Roman" w:hAnsi="Times New Roman"/>
        </w:rPr>
        <w:t xml:space="preserve">2 </w:t>
      </w:r>
      <w:r w:rsidRPr="00B72F7C" w:rsidR="003172E2">
        <w:rPr>
          <w:rFonts w:ascii="Times New Roman" w:hAnsi="Times New Roman"/>
        </w:rPr>
        <w:t>smernice Európskeho parlamentu a Rady 2009/49/ES, ktorou sa menia  a dopĺňajú smernice Rady 78/660/ EHS a 83/349/EHS.  Transpozičná lehota pre uvedený článo</w:t>
      </w:r>
      <w:r w:rsidRPr="00B72F7C" w:rsidR="00353E7F">
        <w:rPr>
          <w:rFonts w:ascii="Times New Roman" w:hAnsi="Times New Roman"/>
        </w:rPr>
        <w:t>k je určená do 1. j</w:t>
      </w:r>
      <w:r w:rsidRPr="00B72F7C" w:rsidR="003172E2">
        <w:rPr>
          <w:rFonts w:ascii="Times New Roman" w:hAnsi="Times New Roman"/>
        </w:rPr>
        <w:t>anuára 2011.</w:t>
      </w:r>
    </w:p>
    <w:p w:rsidR="003172E2" w:rsidRPr="00B72F7C" w:rsidP="003172E2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Pr="00B72F7C" w:rsidR="00BE1F1E">
        <w:rPr>
          <w:rFonts w:ascii="Times New Roman" w:hAnsi="Times New Roman"/>
        </w:rPr>
        <w:t>Návrh zákona</w:t>
      </w:r>
      <w:r w:rsidRPr="00B72F7C">
        <w:rPr>
          <w:rFonts w:ascii="Times New Roman" w:hAnsi="Times New Roman"/>
        </w:rPr>
        <w:t xml:space="preserve"> </w:t>
      </w:r>
      <w:r w:rsidRPr="00B72F7C" w:rsidR="00BE1F1E">
        <w:rPr>
          <w:rFonts w:ascii="Times New Roman" w:hAnsi="Times New Roman"/>
        </w:rPr>
        <w:t>je v súlade s Ústavou</w:t>
      </w:r>
      <w:r w:rsidRPr="00B72F7C" w:rsidR="00033842">
        <w:rPr>
          <w:rFonts w:ascii="Times New Roman" w:hAnsi="Times New Roman"/>
        </w:rPr>
        <w:t xml:space="preserve"> Slovenskej republiky, inými</w:t>
      </w:r>
      <w:r w:rsidRPr="00B72F7C" w:rsidR="00BE1F1E">
        <w:rPr>
          <w:rFonts w:ascii="Times New Roman" w:hAnsi="Times New Roman"/>
        </w:rPr>
        <w:t xml:space="preserve"> právnymi </w:t>
      </w:r>
      <w:r w:rsidRPr="00B72F7C" w:rsidR="00033842">
        <w:rPr>
          <w:rFonts w:ascii="Times New Roman" w:hAnsi="Times New Roman"/>
        </w:rPr>
        <w:t>predpismi Slovenskej republiky a medzinárodnými zmluvami, ktorými je Slovenská republika viazaná. Súlad návrhu zákona s</w:t>
      </w:r>
      <w:r w:rsidRPr="00B72F7C" w:rsidR="00BE1F1E">
        <w:rPr>
          <w:rFonts w:ascii="Times New Roman" w:hAnsi="Times New Roman"/>
        </w:rPr>
        <w:t xml:space="preserve"> právom </w:t>
      </w:r>
      <w:r w:rsidRPr="00B72F7C" w:rsidR="00033842">
        <w:rPr>
          <w:rFonts w:ascii="Times New Roman" w:hAnsi="Times New Roman"/>
        </w:rPr>
        <w:t xml:space="preserve">Európskej únie </w:t>
      </w:r>
      <w:r w:rsidRPr="00B72F7C" w:rsidR="00BE1F1E">
        <w:rPr>
          <w:rFonts w:ascii="Times New Roman" w:hAnsi="Times New Roman"/>
        </w:rPr>
        <w:t>je spracovaný formou doložky zlučiteľnosti a tabuľky zhody.</w:t>
      </w:r>
    </w:p>
    <w:p w:rsidR="00DF4F2C" w:rsidRPr="00B72F7C" w:rsidP="00F26B77">
      <w:pPr>
        <w:bidi w:val="0"/>
        <w:ind w:firstLine="708"/>
        <w:jc w:val="both"/>
        <w:rPr>
          <w:rFonts w:ascii="Times New Roman" w:hAnsi="Times New Roman"/>
        </w:rPr>
      </w:pPr>
      <w:r w:rsidRPr="00B72F7C" w:rsidR="00EF0BE8">
        <w:rPr>
          <w:rFonts w:ascii="Times New Roman" w:hAnsi="Times New Roman"/>
        </w:rPr>
        <w:t>N</w:t>
      </w:r>
      <w:r w:rsidRPr="00B72F7C">
        <w:rPr>
          <w:rFonts w:ascii="Times New Roman" w:hAnsi="Times New Roman"/>
        </w:rPr>
        <w:t xml:space="preserve">ávrh </w:t>
      </w:r>
      <w:r w:rsidRPr="00B72F7C" w:rsidR="00EF0BE8">
        <w:rPr>
          <w:rFonts w:ascii="Times New Roman" w:hAnsi="Times New Roman"/>
        </w:rPr>
        <w:t xml:space="preserve">zákona </w:t>
      </w:r>
      <w:r w:rsidRPr="00B72F7C" w:rsidR="00E7523C">
        <w:rPr>
          <w:rFonts w:ascii="Times New Roman" w:hAnsi="Times New Roman"/>
        </w:rPr>
        <w:t xml:space="preserve">nezakladá </w:t>
      </w:r>
      <w:r w:rsidRPr="00B72F7C">
        <w:rPr>
          <w:rFonts w:ascii="Times New Roman" w:hAnsi="Times New Roman"/>
        </w:rPr>
        <w:t>nároky na štátny rozpočet,</w:t>
      </w:r>
      <w:r w:rsidRPr="00B72F7C" w:rsidR="00E7523C">
        <w:rPr>
          <w:rFonts w:ascii="Times New Roman" w:hAnsi="Times New Roman"/>
        </w:rPr>
        <w:t xml:space="preserve"> rozpočty obcí ani vyšších územných celkov,</w:t>
      </w:r>
      <w:r w:rsidRPr="00B72F7C">
        <w:rPr>
          <w:rFonts w:ascii="Times New Roman" w:hAnsi="Times New Roman"/>
        </w:rPr>
        <w:t xml:space="preserve"> nemá  ekonomický, environmentálny vplyv ani vplyv na zamestnanosť a</w:t>
      </w:r>
      <w:r w:rsidRPr="00B72F7C" w:rsidR="00EF0BE8">
        <w:rPr>
          <w:rFonts w:ascii="Times New Roman" w:hAnsi="Times New Roman"/>
        </w:rPr>
        <w:t> má pozitívny vplyv na</w:t>
      </w:r>
      <w:r w:rsidRPr="00B72F7C">
        <w:rPr>
          <w:rFonts w:ascii="Times New Roman" w:hAnsi="Times New Roman"/>
        </w:rPr>
        <w:t> podnikateľské prostredie</w:t>
      </w:r>
      <w:r w:rsidRPr="00B72F7C" w:rsidR="00EF0BE8">
        <w:rPr>
          <w:rFonts w:ascii="Times New Roman" w:hAnsi="Times New Roman"/>
        </w:rPr>
        <w:t xml:space="preserve"> a zníženie administratívnej zaťaženosti podnikateľov</w:t>
      </w:r>
      <w:r w:rsidRPr="00B72F7C">
        <w:rPr>
          <w:rFonts w:ascii="Times New Roman" w:hAnsi="Times New Roman"/>
        </w:rPr>
        <w:t>.</w:t>
      </w:r>
    </w:p>
    <w:p w:rsidR="00F26B77" w:rsidRPr="00B72F7C" w:rsidP="00EF0BE8">
      <w:pPr>
        <w:bidi w:val="0"/>
        <w:ind w:firstLine="708"/>
        <w:jc w:val="both"/>
        <w:rPr>
          <w:rFonts w:ascii="Times New Roman" w:hAnsi="Times New Roman"/>
        </w:rPr>
      </w:pPr>
    </w:p>
    <w:p w:rsidR="00B4150F" w:rsidRPr="00B2023F" w:rsidP="00B4150F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B2023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B4150F" w:rsidRPr="00B2023F" w:rsidP="00B4150F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vybraných vplyvov</w:t>
      </w:r>
    </w:p>
    <w:p w:rsidR="00B4150F" w:rsidRPr="00B2023F" w:rsidP="00B4150F">
      <w:pPr>
        <w:bidi w:val="0"/>
        <w:rPr>
          <w:rFonts w:ascii="Times New Roman" w:hAnsi="Times New Roman"/>
          <w:color w:val="000000"/>
        </w:rPr>
      </w:pPr>
    </w:p>
    <w:p w:rsidR="00B4150F" w:rsidRPr="00B2023F" w:rsidP="00B4150F">
      <w:pPr>
        <w:bidi w:val="0"/>
        <w:rPr>
          <w:rFonts w:ascii="Times New Roman" w:hAnsi="Times New Roman"/>
          <w:color w:val="000000"/>
        </w:rPr>
      </w:pPr>
    </w:p>
    <w:p w:rsidR="00B4150F" w:rsidRPr="00B2023F" w:rsidP="00B4150F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B8647A">
        <w:rPr>
          <w:rFonts w:ascii="Times New Roman" w:hAnsi="Times New Roman"/>
          <w:bCs/>
          <w:color w:val="000000"/>
        </w:rPr>
        <w:t xml:space="preserve">návrh zákona, ktorým sa mení </w:t>
      </w:r>
      <w:r>
        <w:rPr>
          <w:rFonts w:ascii="Times New Roman" w:hAnsi="Times New Roman"/>
          <w:bCs/>
          <w:color w:val="000000"/>
        </w:rPr>
        <w:t xml:space="preserve">a dopĺňa zákon </w:t>
      </w:r>
      <w:r w:rsidRPr="00B8647A">
        <w:rPr>
          <w:rFonts w:ascii="Times New Roman" w:hAnsi="Times New Roman"/>
          <w:bCs/>
          <w:color w:val="000000"/>
        </w:rPr>
        <w:t xml:space="preserve">č. </w:t>
      </w:r>
      <w:r>
        <w:rPr>
          <w:rFonts w:ascii="Times New Roman" w:hAnsi="Times New Roman"/>
          <w:bCs/>
          <w:color w:val="000000"/>
        </w:rPr>
        <w:t>4</w:t>
      </w:r>
      <w:r w:rsidRPr="00B8647A">
        <w:rPr>
          <w:rFonts w:ascii="Times New Roman" w:hAnsi="Times New Roman"/>
          <w:bCs/>
          <w:color w:val="000000"/>
        </w:rPr>
        <w:t>31/200</w:t>
      </w:r>
      <w:r>
        <w:rPr>
          <w:rFonts w:ascii="Times New Roman" w:hAnsi="Times New Roman"/>
          <w:bCs/>
          <w:color w:val="000000"/>
        </w:rPr>
        <w:t>2</w:t>
      </w:r>
      <w:r w:rsidRPr="00B8647A">
        <w:rPr>
          <w:rFonts w:ascii="Times New Roman" w:hAnsi="Times New Roman"/>
          <w:bCs/>
          <w:color w:val="000000"/>
        </w:rPr>
        <w:t xml:space="preserve"> Z. z. </w:t>
      </w:r>
      <w:r>
        <w:rPr>
          <w:rFonts w:ascii="Times New Roman" w:hAnsi="Times New Roman"/>
          <w:bCs/>
          <w:color w:val="000000"/>
        </w:rPr>
        <w:t>o účtovníctve</w:t>
      </w:r>
      <w:r w:rsidRPr="00B8647A">
        <w:rPr>
          <w:rFonts w:ascii="Times New Roman" w:hAnsi="Times New Roman"/>
          <w:bCs/>
          <w:color w:val="000000"/>
        </w:rPr>
        <w:t xml:space="preserve"> v znení neskorších predpisov</w:t>
      </w:r>
    </w:p>
    <w:p w:rsidR="00B4150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        </w:t>
      </w: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Termín začatia a ukončenia PPK:</w:t>
      </w:r>
      <w:r w:rsidRPr="00B2023F">
        <w:rPr>
          <w:rFonts w:ascii="Times New Roman" w:hAnsi="Times New Roman"/>
          <w:color w:val="000000"/>
        </w:rPr>
        <w:t xml:space="preserve"> </w:t>
      </w:r>
      <w:r w:rsidRPr="00B2023F">
        <w:rPr>
          <w:rFonts w:ascii="Times New Roman" w:hAnsi="Times New Roman"/>
          <w:i/>
          <w:color w:val="000000"/>
        </w:rPr>
        <w:t>bezpredmetné</w:t>
      </w: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150F" w:rsidRPr="00B2023F" w:rsidP="00356BE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B4150F" w:rsidRPr="00B2023F" w:rsidP="00B4150F">
      <w:pPr>
        <w:bidi w:val="0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B4150F" w:rsidP="00356BE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4150F" w:rsidRPr="00B4150F" w:rsidP="007812E1">
            <w:pPr>
              <w:bidi w:val="0"/>
              <w:rPr>
                <w:rFonts w:ascii="Times New Roman" w:hAnsi="Times New Roman"/>
              </w:rPr>
            </w:pPr>
            <w:r w:rsidRPr="00B4150F">
              <w:rPr>
                <w:rFonts w:ascii="Times New Roman" w:hAnsi="Times New Roman"/>
              </w:rPr>
              <w:t xml:space="preserve">Návrh zákona sa týka účtovných jednotiek, ktoré sú materskou účtovnou jednotkou a majú povinnosť zostaviť konsolidovanú účtovnú závierku a súčasne majú  dcérsku účtovnú jednotku, ktorá je čo do veľkosti a rozsahu  nevýznamná. Presný počet dotknutých subjektov </w:t>
            </w:r>
            <w:r w:rsidR="007812E1">
              <w:rPr>
                <w:rFonts w:ascii="Times New Roman" w:hAnsi="Times New Roman"/>
              </w:rPr>
              <w:t>nie je možné</w:t>
            </w:r>
            <w:r w:rsidRPr="00B4150F">
              <w:rPr>
                <w:rFonts w:ascii="Times New Roman" w:hAnsi="Times New Roman"/>
              </w:rPr>
              <w:t xml:space="preserve"> odhadnúť vzhľadom na to, že oslobodenie je dobrovoľné a subjekty ho nemusia využiť.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4150F" w:rsidRPr="00B4150F" w:rsidP="007812E1">
            <w:pPr>
              <w:bidi w:val="0"/>
              <w:rPr>
                <w:rFonts w:ascii="Times New Roman" w:hAnsi="Times New Roman"/>
                <w:lang w:val="pt-BR"/>
              </w:rPr>
            </w:pPr>
            <w:r w:rsidRPr="00B4150F">
              <w:rPr>
                <w:rFonts w:ascii="Times New Roman" w:hAnsi="Times New Roman"/>
                <w:lang w:val="pt-BR"/>
              </w:rPr>
              <w:t xml:space="preserve"> V prípade, ak sa účtovná jednotka rozhodne nezostavovať konsolidovanú účtovnú závierku (ďalej len “KUZ”) bude to mať priamy finančný pozitívny vplyv, tj. nevzniknú jej náklady na zostavenie KUZ, jej uloženie a zverejňovanie. </w:t>
            </w:r>
            <w:r w:rsidR="007812E1">
              <w:rPr>
                <w:rFonts w:ascii="Times New Roman" w:hAnsi="Times New Roman"/>
                <w:lang w:val="pt-BR"/>
              </w:rPr>
              <w:t>Výška usporených nákladov</w:t>
            </w:r>
            <w:r w:rsidRPr="00B4150F">
              <w:rPr>
                <w:rFonts w:ascii="Times New Roman" w:hAnsi="Times New Roman"/>
                <w:lang w:val="pt-BR"/>
              </w:rPr>
              <w:t xml:space="preserve"> </w:t>
            </w:r>
            <w:r w:rsidR="007812E1">
              <w:rPr>
                <w:rFonts w:ascii="Times New Roman" w:hAnsi="Times New Roman"/>
                <w:lang w:val="pt-BR"/>
              </w:rPr>
              <w:t>je závislá</w:t>
            </w:r>
            <w:r w:rsidRPr="00B4150F">
              <w:rPr>
                <w:rFonts w:ascii="Times New Roman" w:hAnsi="Times New Roman"/>
                <w:lang w:val="pt-BR"/>
              </w:rPr>
              <w:t xml:space="preserve"> od voľby či si KUZ  </w:t>
            </w:r>
            <w:r w:rsidR="007812E1">
              <w:rPr>
                <w:rFonts w:ascii="Times New Roman" w:hAnsi="Times New Roman"/>
                <w:lang w:val="pt-BR"/>
              </w:rPr>
              <w:t>zostavovala účtovná jednotka</w:t>
            </w:r>
            <w:r w:rsidRPr="00B4150F">
              <w:rPr>
                <w:rFonts w:ascii="Times New Roman" w:hAnsi="Times New Roman"/>
                <w:lang w:val="pt-BR"/>
              </w:rPr>
              <w:t xml:space="preserve"> sama alebo </w:t>
            </w:r>
            <w:r w:rsidR="007812E1">
              <w:rPr>
                <w:rFonts w:ascii="Times New Roman" w:hAnsi="Times New Roman"/>
                <w:lang w:val="pt-BR"/>
              </w:rPr>
              <w:t>poverovala zostavením</w:t>
            </w:r>
            <w:r w:rsidRPr="00B4150F">
              <w:rPr>
                <w:rFonts w:ascii="Times New Roman" w:hAnsi="Times New Roman"/>
                <w:lang w:val="pt-BR"/>
              </w:rPr>
              <w:t xml:space="preserve"> inú spoločnosť. </w:t>
            </w:r>
            <w:r w:rsidR="007812E1">
              <w:rPr>
                <w:rFonts w:ascii="Times New Roman" w:hAnsi="Times New Roman"/>
                <w:lang w:val="pt-BR"/>
              </w:rPr>
              <w:t xml:space="preserve">Výška usporených </w:t>
            </w:r>
            <w:r w:rsidRPr="00B4150F">
              <w:rPr>
                <w:rFonts w:ascii="Times New Roman" w:hAnsi="Times New Roman"/>
                <w:lang w:val="pt-BR"/>
              </w:rPr>
              <w:t>náklad</w:t>
            </w:r>
            <w:r w:rsidR="007812E1">
              <w:rPr>
                <w:rFonts w:ascii="Times New Roman" w:hAnsi="Times New Roman"/>
                <w:lang w:val="pt-BR"/>
              </w:rPr>
              <w:t xml:space="preserve">ov je </w:t>
            </w:r>
            <w:r w:rsidRPr="00B4150F">
              <w:rPr>
                <w:rFonts w:ascii="Times New Roman" w:hAnsi="Times New Roman"/>
                <w:lang w:val="pt-BR"/>
              </w:rPr>
              <w:t>ďalej závi</w:t>
            </w:r>
            <w:r w:rsidR="007812E1">
              <w:rPr>
                <w:rFonts w:ascii="Times New Roman" w:hAnsi="Times New Roman"/>
                <w:lang w:val="pt-BR"/>
              </w:rPr>
              <w:t>slá</w:t>
            </w:r>
            <w:r w:rsidRPr="00B4150F">
              <w:rPr>
                <w:rFonts w:ascii="Times New Roman" w:hAnsi="Times New Roman"/>
                <w:lang w:val="pt-BR"/>
              </w:rPr>
              <w:t xml:space="preserve"> od toho či ide o prepojenie slovenskej  a zahraničnej spoločnosti alebo nie. Vzhľadom na to, že počet zostavovaných KUZ sa každý rok mení podľa stanovených veľkostných kritérií a ďalej vzhľadom na prebiehajúcu hospodársku krízu, kedy </w:t>
            </w:r>
            <w:r w:rsidR="007812E1">
              <w:rPr>
                <w:rFonts w:ascii="Times New Roman" w:hAnsi="Times New Roman"/>
                <w:lang w:val="pt-BR"/>
              </w:rPr>
              <w:t>hodnote</w:t>
            </w:r>
            <w:r w:rsidRPr="00B4150F">
              <w:rPr>
                <w:rFonts w:ascii="Times New Roman" w:hAnsi="Times New Roman"/>
                <w:lang w:val="pt-BR"/>
              </w:rPr>
              <w:t xml:space="preserve">né kritériá mohli značne kolísať, nie je možné objemovo vyčísliť veľkosť </w:t>
            </w:r>
            <w:r w:rsidR="007812E1">
              <w:rPr>
                <w:rFonts w:ascii="Times New Roman" w:hAnsi="Times New Roman"/>
                <w:lang w:val="pt-BR"/>
              </w:rPr>
              <w:t xml:space="preserve">usporených </w:t>
            </w:r>
            <w:r w:rsidRPr="00B4150F">
              <w:rPr>
                <w:rFonts w:ascii="Times New Roman" w:hAnsi="Times New Roman"/>
                <w:lang w:val="pt-BR"/>
              </w:rPr>
              <w:t>nákladov. Predpokladáme, že náklady na zostavenie KUZ mohli byť maximálne do 1% všetkých nákladov spoločnosti.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B4150F" w:rsidP="00356BE3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4150F" w:rsidRPr="00B4150F" w:rsidP="00356BE3">
            <w:pPr>
              <w:bidi w:val="0"/>
              <w:rPr>
                <w:rFonts w:ascii="Times New Roman" w:hAnsi="Times New Roman"/>
              </w:rPr>
            </w:pPr>
            <w:r w:rsidRPr="00B4150F">
              <w:rPr>
                <w:rFonts w:ascii="Times New Roman" w:hAnsi="Times New Roman"/>
              </w:rPr>
              <w:t xml:space="preserve"> Predpokladaná úspora administratívnych nákladov je v zániku povinnosti predkladať </w:t>
            </w:r>
            <w:r w:rsidRPr="00B4150F">
              <w:rPr>
                <w:rFonts w:ascii="Times New Roman" w:hAnsi="Times New Roman"/>
                <w:lang w:val="pt-BR"/>
              </w:rPr>
              <w:t xml:space="preserve"> a zverejňovať KUZ.</w:t>
            </w:r>
            <w:r w:rsidR="007812E1">
              <w:rPr>
                <w:rFonts w:ascii="Times New Roman" w:hAnsi="Times New Roman"/>
                <w:lang w:val="pt-BR"/>
              </w:rPr>
              <w:t xml:space="preserve"> Presný počet dotknutých subjektov, a teda ani výšku usporených nákladov, nie je možné odhadnúť vzhľadom na to že oslobodenie je dobrovoľné a subjekty ho nemusia využiť.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B4150F" w:rsidP="00356BE3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4150F" w:rsidRPr="00B4150F" w:rsidP="00356BE3">
            <w:pPr>
              <w:bidi w:val="0"/>
              <w:rPr>
                <w:rFonts w:ascii="Times New Roman" w:hAnsi="Times New Roman"/>
              </w:rPr>
            </w:pPr>
            <w:r w:rsidRPr="00B4150F">
              <w:rPr>
                <w:rFonts w:ascii="Times New Roman" w:hAnsi="Times New Roman"/>
              </w:rPr>
              <w:t> Žiadne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B4150F" w:rsidP="00356BE3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4150F" w:rsidRPr="00B4150F" w:rsidP="00356BE3">
            <w:pPr>
              <w:bidi w:val="0"/>
              <w:rPr>
                <w:rFonts w:ascii="Times New Roman" w:hAnsi="Times New Roman"/>
              </w:rPr>
            </w:pPr>
            <w:r w:rsidRPr="00B4150F">
              <w:rPr>
                <w:rFonts w:ascii="Times New Roman" w:hAnsi="Times New Roman"/>
              </w:rPr>
              <w:t> Žiadne</w:t>
            </w:r>
          </w:p>
        </w:tc>
      </w:tr>
    </w:tbl>
    <w:p w:rsidR="00B4150F" w:rsidP="00B4150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A.3. Poznámky</w:t>
      </w:r>
    </w:p>
    <w:p w:rsidR="00B4150F" w:rsidRPr="00B2023F" w:rsidP="00B4150F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B4150F" w:rsidRPr="00B2023F" w:rsidP="00B4150F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B4150F" w:rsidRPr="00B2023F" w:rsidP="00B4150F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 xml:space="preserve">      </w:t>
      </w: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A.4. Alternatívne riešenia</w:t>
      </w: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B4150F" w:rsidRPr="00B2023F" w:rsidP="00B4150F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A.5. Stanovisko gestorov</w:t>
      </w:r>
    </w:p>
    <w:p w:rsidR="00B4150F" w:rsidRPr="00B2023F" w:rsidP="00B4150F">
      <w:pPr>
        <w:bidi w:val="0"/>
        <w:jc w:val="both"/>
        <w:rPr>
          <w:rFonts w:ascii="Times New Roman" w:hAnsi="Times New Roman"/>
          <w:b/>
          <w:bCs/>
        </w:rPr>
      </w:pPr>
    </w:p>
    <w:p w:rsidR="008923AF" w:rsidRPr="002076B4" w:rsidP="008923AF">
      <w:pPr>
        <w:pStyle w:val="BodyText2"/>
        <w:bidi w:val="0"/>
        <w:outlineLvl w:val="0"/>
        <w:rPr>
          <w:b/>
          <w:bCs/>
        </w:rPr>
      </w:pPr>
      <w:r>
        <w:rPr>
          <w:b/>
          <w:bCs/>
        </w:rPr>
        <w:t>MHV SR súhlasí s predmetnou doložkou vybraných vplyvov na podnikateľské prostredie bez pripomienok.</w:t>
      </w:r>
    </w:p>
    <w:p w:rsidR="008923AF" w:rsidRPr="00B2023F" w:rsidP="00B4150F">
      <w:pPr>
        <w:bidi w:val="0"/>
        <w:jc w:val="both"/>
        <w:rPr>
          <w:rFonts w:ascii="Times New Roman" w:hAnsi="Times New Roman"/>
          <w:i/>
          <w:color w:val="000000"/>
        </w:rPr>
      </w:pPr>
    </w:p>
    <w:p w:rsidR="00F26B77" w:rsidRPr="00B72F7C" w:rsidP="00F26B77">
      <w:pPr>
        <w:bidi w:val="0"/>
        <w:ind w:left="360"/>
        <w:rPr>
          <w:rFonts w:ascii="Times New Roman" w:hAnsi="Times New Roman"/>
        </w:rPr>
      </w:pPr>
    </w:p>
    <w:p w:rsidR="00F26B77" w:rsidRPr="00B72F7C" w:rsidP="00F26B77">
      <w:pPr>
        <w:bidi w:val="0"/>
        <w:jc w:val="center"/>
        <w:rPr>
          <w:rFonts w:ascii="Times New Roman" w:hAnsi="Times New Roman"/>
          <w:b/>
          <w:bCs/>
        </w:rPr>
      </w:pPr>
    </w:p>
    <w:p w:rsidR="00FC009B" w:rsidP="00FC009B">
      <w:pPr>
        <w:bidi w:val="0"/>
        <w:jc w:val="center"/>
        <w:rPr>
          <w:rFonts w:ascii="Times New Roman" w:hAnsi="Times New Roman"/>
          <w:b/>
          <w:bCs/>
        </w:rPr>
      </w:pPr>
    </w:p>
    <w:p w:rsidR="00FC009B" w:rsidP="00FC009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 ZLUČITEĽNOSTI</w:t>
      </w:r>
    </w:p>
    <w:p w:rsidR="00FC009B" w:rsidP="00FC009B">
      <w:pPr>
        <w:bidi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k návrhu zákona, ktorým sa  mení a dopĺňa zákon č. 431/2002 Z. z. o účtovníctve v znení neskorších predpisov</w:t>
      </w:r>
    </w:p>
    <w:p w:rsidR="00FC009B" w:rsidP="00FC009B">
      <w:pPr>
        <w:bidi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 právom Európskej únie</w:t>
      </w:r>
    </w:p>
    <w:p w:rsidR="00FC009B" w:rsidP="00FC009B">
      <w:pPr>
        <w:bidi w:val="0"/>
        <w:jc w:val="both"/>
        <w:rPr>
          <w:rFonts w:ascii="Times New Roman" w:hAnsi="Times New Roman"/>
          <w:b/>
        </w:rPr>
      </w:pPr>
    </w:p>
    <w:p w:rsidR="00FC009B" w:rsidP="00FC009B">
      <w:pPr>
        <w:bidi w:val="0"/>
        <w:jc w:val="both"/>
        <w:rPr>
          <w:rFonts w:ascii="Times New Roman" w:hAnsi="Times New Roman"/>
          <w:b/>
        </w:rPr>
      </w:pPr>
    </w:p>
    <w:p w:rsidR="00FC009B" w:rsidP="00FC009B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Predkladateľ návrhu zákona:</w:t>
      </w:r>
    </w:p>
    <w:p w:rsidR="00FC009B" w:rsidP="00FC009B">
      <w:pPr>
        <w:bidi w:val="0"/>
        <w:ind w:left="425"/>
        <w:jc w:val="both"/>
        <w:rPr>
          <w:rFonts w:ascii="Times New Roman" w:hAnsi="Times New Roman"/>
        </w:rPr>
      </w:pPr>
    </w:p>
    <w:p w:rsidR="00FC009B" w:rsidP="00FC00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republiky.</w:t>
      </w:r>
    </w:p>
    <w:p w:rsidR="00FC009B" w:rsidP="00FC009B">
      <w:pPr>
        <w:bidi w:val="0"/>
        <w:jc w:val="both"/>
        <w:rPr>
          <w:rFonts w:ascii="Times New Roman" w:hAnsi="Times New Roman"/>
        </w:rPr>
      </w:pPr>
    </w:p>
    <w:p w:rsidR="00FC009B" w:rsidP="00FC009B">
      <w:pPr>
        <w:numPr>
          <w:numId w:val="10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zákona:</w:t>
      </w:r>
    </w:p>
    <w:p w:rsidR="00FC009B" w:rsidP="00FC00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 mení a dopĺňa zákon č. 431/2002 Z. z. o účtovníctve v znení neskorších predpisov.</w:t>
      </w:r>
    </w:p>
    <w:p w:rsidR="00FC009B" w:rsidP="00FC009B">
      <w:pPr>
        <w:bidi w:val="0"/>
        <w:jc w:val="both"/>
        <w:rPr>
          <w:rFonts w:ascii="Times New Roman" w:hAnsi="Times New Roman"/>
          <w:b/>
        </w:rPr>
      </w:pPr>
    </w:p>
    <w:p w:rsidR="00FC009B" w:rsidP="00FC009B">
      <w:pPr>
        <w:numPr>
          <w:numId w:val="10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Problematika návrhu zákona: </w:t>
      </w:r>
    </w:p>
    <w:p w:rsidR="00FC009B" w:rsidP="00FC009B">
      <w:pPr>
        <w:numPr>
          <w:ilvl w:val="1"/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upravená v práve Európskej únie:</w:t>
      </w:r>
    </w:p>
    <w:p w:rsidR="00FC009B" w:rsidP="00FC009B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v primárnom práve: </w:t>
      </w:r>
    </w:p>
    <w:p w:rsidR="00FC009B" w:rsidP="00FC009B">
      <w:pPr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4 ods. 2 písm. a) a čl. 50 Zmluvy o fungovaní Európskej únie</w:t>
      </w:r>
    </w:p>
    <w:p w:rsidR="00FC009B" w:rsidP="00FC009B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v sekundárnom práve: 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štvrtá smernica Rady 1978/660/EHS z 25. júla 1978 o ročnej účtovnej závierke niektorých typov spoločností vychádzajúcej z článku 54 ods. 3 písm. g) zmluvy v platnom znení (Mimoriadne vydanie Ú. v. EÚ kap. 17/zv. 1),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siedma smernica Rady 1983/349/EHS z 13. júna 1983 o konsolidovaných účtovných závierkach, vychádzajúcej z článku 54 ods. 3 písm. g) zmluvy v platnom znení (Mimoriadne vydanie Ú. v. EÚ kap. 17/zv. 1),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 Rady 1986/635/EHS z 8. decembra 1986 o ročnej účtovnej závierke a konsolidovaných účtoch bánk a iných finančných inštitúcií v platnom znení (Mimoriadne vydanie Ú. v. EÚ kap. 6/zv. 1),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 Rady 1991/674/EHS z 19. decembra 1991 o ročných účtovných závierkach a konsolidovaných účtovných závierkach poisťovní v platnom v znení (Mimoriadne vydanie Ú. v. EÚ kap. 6/zv. 1),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 Európskeho parlamentu a Rady 2004/25/ES z  21. apríla 2004 o ponukách na prevzatie (Mimoriadne vydanie Ú. v. EÚ kap. 17/zv. 2),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 6. 2006),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smernica Komisie 2006/111/ES zo 16. novembra 2006 o transparentnosti finančných vzťahov členských štátov a verejných podnikov a o finančnej transparentnosti v niektorých podnikoch (kodifikované znenie) (Ú. v. EÚ L 318, 17. 11. 2006),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smernica Európskeho parlamentu a Rady</w:t>
      </w:r>
      <w:r>
        <w:rPr>
          <w:rFonts w:ascii="Times New Roman" w:hAnsi="Times New Roman"/>
          <w:bCs/>
        </w:rPr>
        <w:t xml:space="preserve"> 2009/49/ES z 18. júna 2009, ktorou sa menia a dopĺňajú smernice Rady 78/660/EHS a 83/349/EHS, pokiaľ ide o určité požiadavky na zverejnenie pre stredné spoločnosti a povinnosť zostavovať konsolidovanú účtovnú závierku </w:t>
      </w:r>
      <w:r>
        <w:rPr>
          <w:rFonts w:ascii="Times New Roman" w:hAnsi="Times New Roman"/>
        </w:rPr>
        <w:t>(Ú. v. EÚ L 164, 26. 6. 2009),</w:t>
      </w:r>
    </w:p>
    <w:p w:rsidR="00FC009B" w:rsidP="00FC009B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Európskeho parlamentu a Rady (ES) č. 1606/2002 z 19. júla 2002 o uplatňovaní medzinárodných účtovných noriem v platnom znení (Ú. v. ES L 243, 11.09.2002). </w:t>
      </w:r>
    </w:p>
    <w:p w:rsidR="00FC009B" w:rsidP="00FC009B">
      <w:pPr>
        <w:bidi w:val="0"/>
        <w:ind w:left="360"/>
        <w:jc w:val="both"/>
        <w:rPr>
          <w:rFonts w:ascii="Times New Roman" w:hAnsi="Times New Roman"/>
        </w:rPr>
      </w:pPr>
    </w:p>
    <w:p w:rsidR="00FC009B" w:rsidP="00FC009B">
      <w:pPr>
        <w:bidi w:val="0"/>
        <w:rPr>
          <w:rFonts w:ascii="Times New Roman" w:hAnsi="Times New Roman"/>
        </w:rPr>
      </w:pPr>
    </w:p>
    <w:p w:rsidR="00FC009B" w:rsidP="00FC009B">
      <w:pPr>
        <w:numPr>
          <w:ilvl w:val="1"/>
          <w:numId w:val="10"/>
        </w:numPr>
        <w:bidi w:val="0"/>
        <w:ind w:hanging="424"/>
        <w:rPr>
          <w:rFonts w:ascii="Times New Roman" w:hAnsi="Times New Roman"/>
        </w:rPr>
      </w:pPr>
      <w:r>
        <w:rPr>
          <w:rFonts w:ascii="Times New Roman" w:hAnsi="Times New Roman"/>
        </w:rPr>
        <w:t>je obsiahnutá v judikatúre Súdneho dvora Európskej únie:</w:t>
      </w:r>
    </w:p>
    <w:p w:rsidR="00FC009B" w:rsidP="00FC009B">
      <w:pPr>
        <w:numPr>
          <w:numId w:val="13"/>
        </w:numPr>
        <w:tabs>
          <w:tab w:val="num" w:pos="426"/>
        </w:tabs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rozhodnutie Súdneho dvora Európskych spoločenstiev vo veci C - </w:t>
      </w:r>
      <w:r>
        <w:rPr>
          <w:rFonts w:ascii="Times New Roman" w:hAnsi="Times New Roman"/>
          <w:lang w:val="et-EE"/>
        </w:rPr>
        <w:t>306/1999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>Banque internationale pour l'Afrique occidentale SA (BIAO)</w:t>
      </w:r>
      <w:r>
        <w:rPr>
          <w:rFonts w:ascii="Times New Roman" w:hAnsi="Times New Roman"/>
        </w:rPr>
        <w:t xml:space="preserve"> v. </w:t>
      </w:r>
      <w:r>
        <w:rPr>
          <w:rFonts w:ascii="Times New Roman" w:hAnsi="Times New Roman"/>
          <w:bCs/>
        </w:rPr>
        <w:t>Finanzamt für Großunternehmen in Hamburg,</w:t>
      </w:r>
      <w:r>
        <w:rPr>
          <w:rFonts w:ascii="Times New Roman" w:hAnsi="Times New Roman"/>
        </w:rPr>
        <w:t xml:space="preserve">  rok  2003, Zb.roz. ESD (I-0001),</w:t>
      </w:r>
    </w:p>
    <w:p w:rsidR="00FC009B" w:rsidP="00FC009B">
      <w:pPr>
        <w:numPr>
          <w:numId w:val="13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rozhodnutie Súdneho dvora Európskych spoločenstiev vo veci C - 182/2000, </w:t>
      </w:r>
      <w:r>
        <w:rPr>
          <w:rFonts w:ascii="Times New Roman" w:hAnsi="Times New Roman"/>
          <w:bCs/>
        </w:rPr>
        <w:t xml:space="preserve">Lutz GmbH a iní, rok 2002, </w:t>
      </w:r>
      <w:r>
        <w:rPr>
          <w:rFonts w:ascii="Times New Roman" w:hAnsi="Times New Roman"/>
        </w:rPr>
        <w:t>Zb.roz. ESD (I-</w:t>
      </w:r>
      <w:r>
        <w:rPr>
          <w:rFonts w:ascii="Times New Roman" w:hAnsi="Times New Roman"/>
          <w:iCs/>
        </w:rPr>
        <w:t>00547),</w:t>
      </w:r>
    </w:p>
    <w:p w:rsidR="00FC009B" w:rsidP="00FC009B">
      <w:pPr>
        <w:numPr>
          <w:numId w:val="14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rozhodnutie Súdneho dvora Európskych spoločenstiev vo veci C - 275/1997, </w:t>
      </w:r>
      <w:r>
        <w:rPr>
          <w:rFonts w:ascii="Times New Roman" w:hAnsi="Times New Roman"/>
          <w:bCs/>
        </w:rPr>
        <w:t xml:space="preserve">DE + ES Bauunternehmung GmbH v. Finanzamt Bergheim, rok 1999, </w:t>
      </w:r>
      <w:r>
        <w:rPr>
          <w:rFonts w:ascii="Times New Roman" w:hAnsi="Times New Roman"/>
        </w:rPr>
        <w:t>Zb.roz. ESD (I-0</w:t>
      </w:r>
      <w:r>
        <w:rPr>
          <w:rFonts w:ascii="Times New Roman" w:hAnsi="Times New Roman"/>
          <w:iCs/>
        </w:rPr>
        <w:t>5331),</w:t>
      </w:r>
    </w:p>
    <w:p w:rsidR="00FC009B" w:rsidP="00FC009B">
      <w:pPr>
        <w:numPr>
          <w:numId w:val="15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rozhodnutie Súdneho dvora Európskych spoločenstiev vo veci C - 272/1997, Európska komisia v. Spolková republika Nemecko, rok 1999, Zb.roz. ESD (I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Cs/>
        </w:rPr>
        <w:t>02175),</w:t>
      </w:r>
    </w:p>
    <w:p w:rsidR="00FC009B" w:rsidP="00FC009B">
      <w:pPr>
        <w:numPr>
          <w:numId w:val="16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rozhodnutie Súdneho dvora Európskych spoločenstiev vo veci C - 96/2005, </w:t>
      </w:r>
      <w:r>
        <w:rPr>
          <w:rFonts w:ascii="Times New Roman" w:hAnsi="Times New Roman"/>
          <w:bCs/>
        </w:rPr>
        <w:t xml:space="preserve">Komisia Európskych spoločenstiev  v. Helénska republika, </w:t>
      </w:r>
      <w:r>
        <w:rPr>
          <w:rFonts w:ascii="Times New Roman" w:hAnsi="Times New Roman"/>
          <w:iCs/>
        </w:rPr>
        <w:t>Ú. v. EÚ C 48, 25.0.2006, s. 10.</w:t>
      </w:r>
      <w:r>
        <w:rPr>
          <w:rFonts w:ascii="Times New Roman" w:hAnsi="Times New Roman"/>
          <w:i/>
          <w:iCs/>
        </w:rPr>
        <w:t xml:space="preserve"> </w:t>
      </w:r>
    </w:p>
    <w:p w:rsidR="00FC009B" w:rsidP="00FC009B">
      <w:pPr>
        <w:numPr>
          <w:numId w:val="17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rozhodnutie Súdneho dvora Európskych spoločenstiev vo veci C - 115/2005, </w:t>
      </w:r>
      <w:r>
        <w:rPr>
          <w:rFonts w:ascii="Times New Roman" w:hAnsi="Times New Roman"/>
          <w:bCs/>
        </w:rPr>
        <w:t xml:space="preserve">Komisia Európskych spoločenstiev  v. Luxemburské veľkovojvodstvo, </w:t>
      </w:r>
      <w:r>
        <w:rPr>
          <w:rFonts w:ascii="Times New Roman" w:hAnsi="Times New Roman"/>
          <w:iCs/>
        </w:rPr>
        <w:t>Ú. v. EÚ C 36, 11.02.2006, s. 17.</w:t>
      </w:r>
    </w:p>
    <w:p w:rsidR="00FC009B" w:rsidP="00FC009B">
      <w:pPr>
        <w:bidi w:val="0"/>
        <w:rPr>
          <w:rFonts w:ascii="Times New Roman" w:hAnsi="Times New Roman"/>
        </w:rPr>
      </w:pPr>
    </w:p>
    <w:p w:rsidR="00FC009B" w:rsidP="00FC009B">
      <w:pPr>
        <w:bidi w:val="0"/>
        <w:rPr>
          <w:rFonts w:ascii="Times New Roman" w:hAnsi="Times New Roman"/>
        </w:rPr>
      </w:pPr>
    </w:p>
    <w:p w:rsidR="00FC009B" w:rsidP="00FC009B">
      <w:pPr>
        <w:numPr>
          <w:numId w:val="10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Záväzky Slovenskej republiky vo vzťahu k Európskej únii:</w:t>
      </w:r>
    </w:p>
    <w:p w:rsidR="00FC009B" w:rsidP="00FC009B">
      <w:pPr>
        <w:numPr>
          <w:ilvl w:val="1"/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Lehota na prebratie smernice Európskeho parlamentu a Rady 2009/49/ES je stanovená do 1. januára 2011. </w:t>
      </w:r>
    </w:p>
    <w:p w:rsidR="00FC009B" w:rsidP="00FC009B">
      <w:pPr>
        <w:numPr>
          <w:ilvl w:val="1"/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 ešte nie je stanovená.</w:t>
      </w:r>
    </w:p>
    <w:p w:rsidR="00FC009B" w:rsidP="00FC009B">
      <w:pPr>
        <w:numPr>
          <w:ilvl w:val="1"/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SR nebolo začaté konanie o porušení Zmluvy o fungovaní Európskej únie podľa čl. 258 až 260 Zmluvy o fungovaní Európskej únie.</w:t>
      </w:r>
    </w:p>
    <w:p w:rsidR="00FC009B" w:rsidP="00FC009B">
      <w:pPr>
        <w:numPr>
          <w:ilvl w:val="1"/>
          <w:numId w:val="10"/>
        </w:numPr>
        <w:bidi w:val="0"/>
        <w:ind w:left="709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Smernica 2004/25/ES bola prebratá do zákona </w:t>
      </w:r>
      <w:r>
        <w:rPr>
          <w:rFonts w:ascii="Times New Roman" w:hAnsi="Times New Roman"/>
          <w:bCs/>
        </w:rPr>
        <w:t>č. 566/2001 Z. z. o cenných papieroch a investičných službách a o zmene a doplnení niektorých zákonov (zákon o cenných papieroch) v znení neskorších predpisov</w:t>
      </w:r>
      <w:r>
        <w:rPr>
          <w:rFonts w:ascii="Times New Roman" w:hAnsi="Times New Roman"/>
        </w:rPr>
        <w:t xml:space="preserve">. Smernica 2006/43/ES bola prebratá do zákona č.  540/2007 Z. z. o audítoroch, audite a dohľade nad výkonom auditu a o zmene a doplnení zákona č. 431/2002 Z. z. o účtovníctve v znení neskorších predpisov. Smernica 2006/111/ES bola prebratá do zákona č. 523/2004 Z. z. o rozpočtových pravidlách verejnej správy a o zmene a doplnení niektorých zákonov v znení neskorších predpisov, do zákona č. 80/1997 Z. z. o Exportno-importnej banke Slovenskej republiky v znení neskorších predpisov, do opatrenia MF SR č. MF/11938/2004-74, ktorým sa mení a dopĺňa opatrenie MF SR z 13. novembra 2002 č. 20 359/2002-92, ktorým sa ustanovujú podrobnosti o postupoch účtovania a rámcovej účtovej osnove pre banky, pobočky zahraničných bánk, Národnú banku Slovenska, Fond ochrany vkladov, obchodníkov s cennými papiermi, pobočky zahraničných obchodníkov s cennými papiermi, Garančný fond investícií, správcovské spoločnosti, pobočky zahraničných správcovských spoločností a podielové fondy v znení neskorších opatrení, do opatrenia MF SR zo 13. decembra 2007 č. MF/26120/2007-74, ktorým sa mení a dopĺňa opatrenie MF SR z 31. marca 2003 č. 4455/2003-92, ktorým sa ustanovujú podrobnosti o usporiadaní, označovaní a obsahovom vymedzení položiek individuálnej účtovnej závierky a rozsahu údajov určených z individuálnej účtovnej závierky na zverejnenie pre podnikateľov účtujúcich v sústave podvojného účtovníctva v znení neskorších predpisov a do opatrenia MF SR zo 13. decembra 2007 č. MF/25864/2007-74, ktorým sa mení a dopĺňa opatrenie MF SR z 30. novembra 2005 č. MF/22930/2005-74, ktorým sa ustanovujú podrobnosti o postupoch účtovania a rámcovej účtovej osnove pre zdravotné poisťovne a ktorým sa mení a dopĺňa opatrenie MF SR zo 14. decembra 2005 č. MF/22933/2005-74, ktorým sa ustanovujú podrobnosti o usporiadaní a označovaní položiek individuálnej účtovnej závierky, obsahovom vymedzení týchto položiek a rozsahu údajov určených z účtovnej závierky na zverejnenie pre zdravotné poisťovne a do </w:t>
      </w:r>
      <w:r>
        <w:rPr>
          <w:rFonts w:ascii="Times New Roman" w:hAnsi="Times New Roman"/>
          <w:bCs/>
        </w:rPr>
        <w:t>opatrenia MF SR zo 16. decembra 2002 č. 23054/2002-92, ktorým sa ustanovujú  podrobnosti o postupoch účtovania a rámcovej účtovej  osnove pre podnikateľov účtujúcich v sústave podvojného účtovníctva v znení neskorších predpisov.</w:t>
      </w:r>
    </w:p>
    <w:p w:rsidR="00FC009B" w:rsidP="00FC009B">
      <w:pPr>
        <w:bidi w:val="0"/>
        <w:rPr>
          <w:rFonts w:ascii="Times New Roman" w:hAnsi="Times New Roman"/>
        </w:rPr>
      </w:pPr>
    </w:p>
    <w:p w:rsidR="00FC009B" w:rsidP="00FC009B">
      <w:pPr>
        <w:numPr>
          <w:numId w:val="10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Stupeň zlučiteľnosti návrhu zákona s právom Európskej únie:</w:t>
      </w:r>
    </w:p>
    <w:p w:rsidR="00FC009B" w:rsidP="00FC009B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Úplný.</w:t>
      </w:r>
    </w:p>
    <w:p w:rsidR="00FC009B" w:rsidP="00FC009B">
      <w:pPr>
        <w:bidi w:val="0"/>
        <w:rPr>
          <w:rFonts w:ascii="Times New Roman" w:hAnsi="Times New Roman"/>
          <w:bCs/>
        </w:rPr>
      </w:pPr>
    </w:p>
    <w:p w:rsidR="00FC009B" w:rsidP="00FC009B">
      <w:pPr>
        <w:numPr>
          <w:numId w:val="10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Gestor a spolupracujúce rezorty: </w:t>
      </w:r>
    </w:p>
    <w:p w:rsidR="00FC009B" w:rsidP="00FC009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Ministerstvo financií Slovenskej republiky.</w:t>
      </w:r>
    </w:p>
    <w:p w:rsidR="00FC009B" w:rsidP="00FC009B">
      <w:pPr>
        <w:bidi w:val="0"/>
        <w:rPr>
          <w:rFonts w:ascii="Times New Roman" w:hAnsi="Times New Roman"/>
        </w:rPr>
      </w:pPr>
    </w:p>
    <w:p w:rsidR="0037183F" w:rsidRPr="00B72F7C" w:rsidP="0037183F">
      <w:pPr>
        <w:bidi w:val="0"/>
        <w:rPr>
          <w:rFonts w:ascii="Times New Roman" w:hAnsi="Times New Roman"/>
        </w:rPr>
      </w:pPr>
    </w:p>
    <w:p w:rsidR="00147246" w:rsidRPr="00B72F7C" w:rsidP="00147246">
      <w:pPr>
        <w:bidi w:val="0"/>
        <w:rPr>
          <w:rFonts w:ascii="Times New Roman" w:hAnsi="Times New Roman"/>
          <w:b/>
        </w:rPr>
      </w:pPr>
      <w:r w:rsidRPr="00B72F7C" w:rsidR="00033842">
        <w:rPr>
          <w:rFonts w:ascii="Times New Roman" w:hAnsi="Times New Roman"/>
          <w:b/>
        </w:rPr>
        <w:t>B</w:t>
      </w:r>
      <w:r w:rsidRPr="00B72F7C" w:rsidR="003172E2">
        <w:rPr>
          <w:rFonts w:ascii="Times New Roman" w:hAnsi="Times New Roman"/>
          <w:b/>
        </w:rPr>
        <w:t>. OSOBITNÁ  ČASŤ</w:t>
      </w:r>
    </w:p>
    <w:p w:rsidR="00C0322A" w:rsidRPr="00B72F7C" w:rsidP="0091008E">
      <w:pPr>
        <w:bidi w:val="0"/>
        <w:rPr>
          <w:rFonts w:ascii="Times New Roman" w:hAnsi="Times New Roman"/>
        </w:rPr>
      </w:pPr>
    </w:p>
    <w:p w:rsidR="0091008E" w:rsidRPr="00B72F7C" w:rsidP="0091008E">
      <w:pPr>
        <w:bidi w:val="0"/>
        <w:rPr>
          <w:rFonts w:ascii="Times New Roman" w:hAnsi="Times New Roman"/>
        </w:rPr>
      </w:pPr>
      <w:r w:rsidRPr="00B72F7C" w:rsidR="00220D72">
        <w:rPr>
          <w:rFonts w:ascii="Times New Roman" w:hAnsi="Times New Roman"/>
        </w:rPr>
        <w:t>K bodom</w:t>
      </w:r>
      <w:r w:rsidRPr="00B72F7C">
        <w:rPr>
          <w:rFonts w:ascii="Times New Roman" w:hAnsi="Times New Roman"/>
        </w:rPr>
        <w:t xml:space="preserve"> 1</w:t>
      </w:r>
      <w:r w:rsidR="008871C3">
        <w:rPr>
          <w:rFonts w:ascii="Times New Roman" w:hAnsi="Times New Roman"/>
        </w:rPr>
        <w:t>,</w:t>
      </w:r>
      <w:r w:rsidRPr="00B72F7C" w:rsidR="00161AD3">
        <w:rPr>
          <w:rFonts w:ascii="Times New Roman" w:hAnsi="Times New Roman"/>
        </w:rPr>
        <w:t xml:space="preserve"> 4</w:t>
      </w:r>
      <w:r w:rsidR="008871C3">
        <w:rPr>
          <w:rFonts w:ascii="Times New Roman" w:hAnsi="Times New Roman"/>
        </w:rPr>
        <w:t xml:space="preserve"> a 6</w:t>
      </w:r>
      <w:r w:rsidRPr="00B72F7C" w:rsidR="00161AD3">
        <w:rPr>
          <w:rFonts w:ascii="Times New Roman" w:hAnsi="Times New Roman"/>
        </w:rPr>
        <w:t xml:space="preserve"> </w:t>
      </w:r>
    </w:p>
    <w:p w:rsidR="0091008E" w:rsidRPr="00B72F7C" w:rsidP="0091008E">
      <w:pPr>
        <w:bidi w:val="0"/>
        <w:jc w:val="both"/>
        <w:rPr>
          <w:rFonts w:ascii="Times New Roman" w:hAnsi="Times New Roman"/>
        </w:rPr>
      </w:pPr>
      <w:r w:rsidRPr="00B72F7C" w:rsidR="00161AD3">
        <w:rPr>
          <w:rFonts w:ascii="Times New Roman" w:hAnsi="Times New Roman"/>
        </w:rPr>
        <w:t>Vzhľadom na nadobudnutie platnosti Lisabonskej zmluvy, ktorou sa mení a dopĺňa Zmluva o Európskej únii a Zmluva o založení Európskeho spoločenstva, na základe ktorej sa právo Európskych spoločenstiev recipovalo do práva Európskej únie</w:t>
      </w:r>
      <w:r w:rsidRPr="00B72F7C" w:rsidR="00E37128">
        <w:rPr>
          <w:rFonts w:ascii="Times New Roman" w:hAnsi="Times New Roman"/>
        </w:rPr>
        <w:t>,</w:t>
      </w:r>
      <w:r w:rsidRPr="00B72F7C" w:rsidR="00161AD3">
        <w:rPr>
          <w:rFonts w:ascii="Times New Roman" w:hAnsi="Times New Roman"/>
        </w:rPr>
        <w:t xml:space="preserve"> sa vypúšťajú z celého textu zákona slová „Európskych spoločenstiev“.</w:t>
      </w:r>
    </w:p>
    <w:p w:rsidR="00161AD3" w:rsidRPr="00B72F7C" w:rsidP="00E7523C">
      <w:pPr>
        <w:bidi w:val="0"/>
        <w:jc w:val="both"/>
        <w:rPr>
          <w:rFonts w:ascii="Times New Roman" w:hAnsi="Times New Roman"/>
        </w:rPr>
      </w:pPr>
    </w:p>
    <w:p w:rsidR="00161AD3" w:rsidRPr="00B72F7C" w:rsidP="00E7523C">
      <w:pPr>
        <w:bidi w:val="0"/>
        <w:jc w:val="both"/>
        <w:rPr>
          <w:rFonts w:ascii="Times New Roman" w:hAnsi="Times New Roman"/>
        </w:rPr>
      </w:pPr>
      <w:r w:rsidRPr="00B72F7C">
        <w:rPr>
          <w:rFonts w:ascii="Times New Roman" w:hAnsi="Times New Roman"/>
        </w:rPr>
        <w:t>K bodu 2</w:t>
      </w:r>
    </w:p>
    <w:p w:rsidR="005675BA" w:rsidP="005675B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nového odseku 12 nemá povinnosť zostaviť konsolidovanú účtovnú závierku a konsolidovanú výročnú správu materská účtovná jednotka, ktorá má len dcérsku účtovnú jednotku alebo má len dcérske účtovné jednotky, ktoré nie sú významné jednotlivo a ani ako celok. Zostavením len individuálnej účtovnej závierky materskej spoločnosti nesmie byť významne ovplyvnený úsudok o finančnej situácii, nákladoch, výnosoch a výsledku hospodárenia za konsolidovaný celok. Ak sa nezostaví konsolidovaná účtovná závierka z dôvodu existencie len nevýznamných dcérskych účtovných jednotiek, nie je potrebné aplikovať oslobodenie od zostavenia konsolidovanej účtovnej závierky podľa odseku 10. Konsolidovanú účtovnú závierku a konsolidovanú výročnú správu nemusí zostaviť ani materská  účtovná jednotka, na ktorú sa vzťahujú povinnosti ustanovené v odseku 11. </w:t>
      </w:r>
    </w:p>
    <w:p w:rsidR="000D2892" w:rsidRPr="00B72F7C" w:rsidP="00E7523C">
      <w:pPr>
        <w:bidi w:val="0"/>
        <w:jc w:val="both"/>
        <w:rPr>
          <w:rFonts w:ascii="Times New Roman" w:hAnsi="Times New Roman"/>
        </w:rPr>
      </w:pPr>
    </w:p>
    <w:p w:rsidR="00161AD3" w:rsidRPr="00B72F7C" w:rsidP="00E7523C">
      <w:pPr>
        <w:bidi w:val="0"/>
        <w:jc w:val="both"/>
        <w:rPr>
          <w:rFonts w:ascii="Times New Roman" w:hAnsi="Times New Roman"/>
        </w:rPr>
      </w:pPr>
      <w:r w:rsidRPr="00B72F7C">
        <w:rPr>
          <w:rFonts w:ascii="Times New Roman" w:hAnsi="Times New Roman"/>
        </w:rPr>
        <w:t>K bodu 3</w:t>
      </w:r>
    </w:p>
    <w:p w:rsidR="00161AD3" w:rsidRPr="00B72F7C" w:rsidP="00E7523C">
      <w:pPr>
        <w:bidi w:val="0"/>
        <w:jc w:val="both"/>
        <w:rPr>
          <w:rFonts w:ascii="Times New Roman" w:hAnsi="Times New Roman"/>
        </w:rPr>
      </w:pPr>
      <w:r w:rsidRPr="00B72F7C">
        <w:rPr>
          <w:rFonts w:ascii="Times New Roman" w:hAnsi="Times New Roman"/>
        </w:rPr>
        <w:t>Na základe doplnenia no</w:t>
      </w:r>
      <w:r w:rsidRPr="00B72F7C" w:rsidR="00D625C7">
        <w:rPr>
          <w:rFonts w:ascii="Times New Roman" w:hAnsi="Times New Roman"/>
        </w:rPr>
        <w:t>vého odseku v § 22 je potrebná ú</w:t>
      </w:r>
      <w:r w:rsidRPr="00B72F7C">
        <w:rPr>
          <w:rFonts w:ascii="Times New Roman" w:hAnsi="Times New Roman"/>
        </w:rPr>
        <w:t>prav</w:t>
      </w:r>
      <w:r w:rsidRPr="00B72F7C" w:rsidR="00D625C7">
        <w:rPr>
          <w:rFonts w:ascii="Times New Roman" w:hAnsi="Times New Roman"/>
        </w:rPr>
        <w:t>a</w:t>
      </w:r>
      <w:r w:rsidRPr="00B72F7C">
        <w:rPr>
          <w:rFonts w:ascii="Times New Roman" w:hAnsi="Times New Roman"/>
        </w:rPr>
        <w:t xml:space="preserve"> číslovania v odseku 17.</w:t>
      </w:r>
    </w:p>
    <w:p w:rsidR="00E04081" w:rsidRPr="00B72F7C" w:rsidP="00E7523C">
      <w:pPr>
        <w:bidi w:val="0"/>
        <w:jc w:val="both"/>
        <w:rPr>
          <w:rFonts w:ascii="Times New Roman" w:hAnsi="Times New Roman"/>
        </w:rPr>
      </w:pPr>
      <w:r w:rsidRPr="00B72F7C" w:rsidR="0037183F">
        <w:rPr>
          <w:rFonts w:ascii="Times New Roman" w:hAnsi="Times New Roman"/>
        </w:rPr>
        <w:br w:type="page"/>
      </w:r>
      <w:r w:rsidRPr="00B72F7C" w:rsidR="00220D72">
        <w:rPr>
          <w:rFonts w:ascii="Times New Roman" w:hAnsi="Times New Roman"/>
        </w:rPr>
        <w:t>K bodu 5</w:t>
      </w:r>
    </w:p>
    <w:p w:rsidR="00020BBE" w:rsidRPr="00B72F7C" w:rsidP="00020BBE">
      <w:pPr>
        <w:bidi w:val="0"/>
        <w:jc w:val="both"/>
        <w:rPr>
          <w:rFonts w:ascii="Times New Roman" w:hAnsi="Times New Roman"/>
        </w:rPr>
      </w:pPr>
      <w:r w:rsidRPr="00B72F7C">
        <w:rPr>
          <w:rFonts w:ascii="Times New Roman" w:hAnsi="Times New Roman"/>
        </w:rPr>
        <w:t>Podľa prechodných ustanovení v § 39h sa nemusí  prvýkrát zostaviť konsolidovaná  účtovná závierka a konsolidovaná výročná správa pri posudzovaní povinnosti zostaviť konsolidovanú účtovnú závierku a konsolidovanú  výročnú správu, ktorá sa zostavuje k 31. decembru 2010 a neskôr.</w:t>
      </w:r>
    </w:p>
    <w:p w:rsidR="0043389E" w:rsidRPr="00B72F7C" w:rsidP="0091008E">
      <w:pPr>
        <w:bidi w:val="0"/>
        <w:jc w:val="both"/>
        <w:rPr>
          <w:rFonts w:ascii="Times New Roman" w:hAnsi="Times New Roman"/>
        </w:rPr>
      </w:pPr>
    </w:p>
    <w:p w:rsidR="00D81E5E" w:rsidRPr="00B72F7C" w:rsidP="0091008E">
      <w:pPr>
        <w:bidi w:val="0"/>
        <w:jc w:val="both"/>
        <w:rPr>
          <w:rFonts w:ascii="Times New Roman" w:hAnsi="Times New Roman"/>
        </w:rPr>
      </w:pPr>
      <w:r w:rsidRPr="00B72F7C" w:rsidR="00161AD3">
        <w:rPr>
          <w:rFonts w:ascii="Times New Roman" w:hAnsi="Times New Roman"/>
        </w:rPr>
        <w:t xml:space="preserve">K bodu </w:t>
      </w:r>
      <w:r w:rsidR="008871C3">
        <w:rPr>
          <w:rFonts w:ascii="Times New Roman" w:hAnsi="Times New Roman"/>
        </w:rPr>
        <w:t>7</w:t>
      </w:r>
    </w:p>
    <w:p w:rsidR="009A035F" w:rsidRPr="00B72F7C" w:rsidP="00E7523C">
      <w:pPr>
        <w:bidi w:val="0"/>
        <w:jc w:val="both"/>
        <w:rPr>
          <w:rFonts w:ascii="Times New Roman" w:hAnsi="Times New Roman"/>
        </w:rPr>
      </w:pPr>
      <w:r w:rsidRPr="00B72F7C" w:rsidR="00AF28D1">
        <w:rPr>
          <w:rFonts w:ascii="Times New Roman" w:hAnsi="Times New Roman"/>
        </w:rPr>
        <w:t xml:space="preserve">Doplňuje  sa Zoznam preberaných právnych aktov Európskej únie o smernicu Európskeho parlamentu a Rady 2009/49/ES, ktorou sa menia  a dopĺňajú smernice  Rady 78/660/EHS a 83/349/EHS.  </w:t>
      </w:r>
    </w:p>
    <w:p w:rsidR="0091008E" w:rsidRPr="00B72F7C" w:rsidP="00C0322A">
      <w:pPr>
        <w:bidi w:val="0"/>
        <w:rPr>
          <w:rFonts w:ascii="Times New Roman" w:hAnsi="Times New Roman"/>
        </w:rPr>
      </w:pPr>
    </w:p>
    <w:p w:rsidR="00F147D8" w:rsidRPr="00B72F7C" w:rsidP="00C0322A">
      <w:pPr>
        <w:bidi w:val="0"/>
        <w:rPr>
          <w:rFonts w:ascii="Times New Roman" w:hAnsi="Times New Roman"/>
        </w:rPr>
      </w:pPr>
      <w:r w:rsidRPr="00B72F7C">
        <w:rPr>
          <w:rFonts w:ascii="Times New Roman" w:hAnsi="Times New Roman"/>
        </w:rPr>
        <w:t>K Čl. II</w:t>
      </w:r>
    </w:p>
    <w:p w:rsidR="00F147D8" w:rsidP="00C0322A">
      <w:pPr>
        <w:bidi w:val="0"/>
        <w:rPr>
          <w:rFonts w:ascii="Times New Roman" w:hAnsi="Times New Roman"/>
        </w:rPr>
      </w:pPr>
      <w:r w:rsidRPr="00B72F7C">
        <w:rPr>
          <w:rFonts w:ascii="Times New Roman" w:hAnsi="Times New Roman"/>
        </w:rPr>
        <w:t xml:space="preserve">Navrhuje sa účinnosť </w:t>
      </w:r>
      <w:r w:rsidRPr="00B72F7C" w:rsidR="007F1C27">
        <w:rPr>
          <w:rFonts w:ascii="Times New Roman" w:hAnsi="Times New Roman"/>
        </w:rPr>
        <w:t>tohto zákona od  31. decembra 2010.</w:t>
      </w:r>
    </w:p>
    <w:p w:rsidR="00B12FFF" w:rsidP="00C0322A">
      <w:pPr>
        <w:bidi w:val="0"/>
        <w:rPr>
          <w:rFonts w:ascii="Times New Roman" w:hAnsi="Times New Roman"/>
        </w:rPr>
      </w:pPr>
    </w:p>
    <w:p w:rsidR="00B12FFF" w:rsidP="00B12FFF">
      <w:pPr>
        <w:bidi w:val="0"/>
        <w:rPr>
          <w:rFonts w:ascii="Times New Roman" w:hAnsi="Times New Roman"/>
        </w:rPr>
      </w:pPr>
    </w:p>
    <w:p w:rsidR="00B12FFF" w:rsidP="00B12FFF">
      <w:pPr>
        <w:bidi w:val="0"/>
        <w:rPr>
          <w:rFonts w:ascii="Times New Roman" w:hAnsi="Times New Roman"/>
        </w:rPr>
      </w:pPr>
    </w:p>
    <w:p w:rsidR="00B12FFF" w:rsidP="00B12FFF">
      <w:pPr>
        <w:bidi w:val="0"/>
        <w:rPr>
          <w:rFonts w:ascii="Times New Roman" w:hAnsi="Times New Roman"/>
        </w:rPr>
      </w:pPr>
    </w:p>
    <w:p w:rsidR="00B12FFF" w:rsidP="00B12F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Schválené uznesením vlády Slovenskej republiky dňa 22. septembra 2010.</w:t>
      </w:r>
    </w:p>
    <w:p w:rsidR="00B12FFF" w:rsidP="00B12FFF">
      <w:pPr>
        <w:bidi w:val="0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RPr="00C56DF6" w:rsidP="00C56DF6">
      <w:pPr>
        <w:bidi w:val="0"/>
        <w:jc w:val="center"/>
        <w:rPr>
          <w:rFonts w:ascii="Times New Roman" w:hAnsi="Times New Roman"/>
        </w:rPr>
      </w:pPr>
      <w:r w:rsidRPr="005042E5">
        <w:rPr>
          <w:rFonts w:ascii="Times New Roman" w:hAnsi="Times New Roman"/>
          <w:b/>
        </w:rPr>
        <w:t>Iveta Radičová</w:t>
      </w:r>
      <w:r w:rsidRPr="00C56DF6" w:rsidR="00C56DF6">
        <w:rPr>
          <w:rFonts w:ascii="Times New Roman" w:hAnsi="Times New Roman"/>
        </w:rPr>
        <w:t>,</w:t>
      </w:r>
      <w:r w:rsidR="00C56DF6">
        <w:rPr>
          <w:rFonts w:ascii="Times New Roman" w:hAnsi="Times New Roman"/>
          <w:b/>
        </w:rPr>
        <w:t xml:space="preserve"> </w:t>
      </w:r>
      <w:r w:rsidR="00C56DF6">
        <w:rPr>
          <w:rFonts w:ascii="Times New Roman" w:hAnsi="Times New Roman"/>
        </w:rPr>
        <w:t>v. r.</w:t>
      </w:r>
    </w:p>
    <w:p w:rsidR="00B12FFF" w:rsidP="00B12FF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B12FFF" w:rsidP="00B12FFF">
      <w:pPr>
        <w:bidi w:val="0"/>
        <w:jc w:val="center"/>
        <w:rPr>
          <w:rFonts w:ascii="Times New Roman" w:hAnsi="Times New Roman"/>
        </w:rPr>
      </w:pPr>
    </w:p>
    <w:p w:rsidR="00B12FFF" w:rsidP="00B12FFF">
      <w:pPr>
        <w:bidi w:val="0"/>
        <w:jc w:val="center"/>
        <w:rPr>
          <w:rFonts w:ascii="Times New Roman" w:hAnsi="Times New Roman"/>
        </w:rPr>
      </w:pPr>
    </w:p>
    <w:p w:rsidR="00B12FFF" w:rsidP="00B12FFF">
      <w:pPr>
        <w:bidi w:val="0"/>
        <w:jc w:val="center"/>
        <w:rPr>
          <w:rFonts w:ascii="Times New Roman" w:hAnsi="Times New Roman"/>
        </w:rPr>
      </w:pPr>
    </w:p>
    <w:p w:rsidR="00B12FFF" w:rsidP="00B12FFF">
      <w:pPr>
        <w:bidi w:val="0"/>
        <w:jc w:val="center"/>
        <w:rPr>
          <w:rFonts w:ascii="Times New Roman" w:hAnsi="Times New Roman"/>
        </w:rPr>
      </w:pPr>
    </w:p>
    <w:p w:rsidR="00B12FFF" w:rsidP="00B12FFF">
      <w:pPr>
        <w:bidi w:val="0"/>
        <w:jc w:val="center"/>
        <w:rPr>
          <w:rFonts w:ascii="Times New Roman" w:hAnsi="Times New Roman"/>
        </w:rPr>
      </w:pPr>
    </w:p>
    <w:p w:rsidR="00B12FFF" w:rsidRPr="00C56DF6" w:rsidP="00C56DF6">
      <w:pPr>
        <w:bidi w:val="0"/>
        <w:jc w:val="center"/>
        <w:rPr>
          <w:rFonts w:ascii="Times New Roman" w:hAnsi="Times New Roman"/>
        </w:rPr>
      </w:pPr>
      <w:r w:rsidRPr="005042E5">
        <w:rPr>
          <w:rFonts w:ascii="Times New Roman" w:hAnsi="Times New Roman"/>
          <w:b/>
        </w:rPr>
        <w:t>Ivan Mikloš</w:t>
      </w:r>
      <w:r w:rsidRPr="00C56DF6" w:rsidR="00C56DF6">
        <w:rPr>
          <w:rFonts w:ascii="Times New Roman" w:hAnsi="Times New Roman"/>
        </w:rPr>
        <w:t>,</w:t>
      </w:r>
      <w:r w:rsidR="00C56DF6">
        <w:rPr>
          <w:rFonts w:ascii="Times New Roman" w:hAnsi="Times New Roman"/>
          <w:b/>
        </w:rPr>
        <w:t xml:space="preserve"> </w:t>
      </w:r>
      <w:r w:rsidR="00C56DF6">
        <w:rPr>
          <w:rFonts w:ascii="Times New Roman" w:hAnsi="Times New Roman"/>
        </w:rPr>
        <w:t>v. r.</w:t>
      </w:r>
    </w:p>
    <w:p w:rsidR="00B12FFF" w:rsidP="00B12FF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podpredseda vlády Slovenskej republiky a minister financií</w:t>
      </w: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P="00B12FFF">
      <w:pPr>
        <w:bidi w:val="0"/>
        <w:jc w:val="both"/>
        <w:rPr>
          <w:rFonts w:ascii="Times New Roman" w:hAnsi="Times New Roman"/>
        </w:rPr>
      </w:pPr>
    </w:p>
    <w:p w:rsidR="00B12FFF" w:rsidRPr="00B72F7C" w:rsidP="00C0322A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77" w:rsidRPr="0095448A">
    <w:pPr>
      <w:pStyle w:val="Footer"/>
      <w:bidi w:val="0"/>
      <w:jc w:val="right"/>
      <w:rPr>
        <w:rFonts w:ascii="Arial Narrow" w:hAnsi="Arial Narrow"/>
        <w:sz w:val="22"/>
        <w:szCs w:val="22"/>
      </w:rPr>
    </w:pPr>
    <w:r w:rsidRPr="0095448A">
      <w:rPr>
        <w:rFonts w:ascii="Arial Narrow" w:hAnsi="Arial Narrow"/>
        <w:sz w:val="22"/>
        <w:szCs w:val="22"/>
      </w:rPr>
      <w:fldChar w:fldCharType="begin"/>
    </w:r>
    <w:r w:rsidRPr="0095448A">
      <w:rPr>
        <w:rFonts w:ascii="Arial Narrow" w:hAnsi="Arial Narrow"/>
        <w:sz w:val="22"/>
        <w:szCs w:val="22"/>
      </w:rPr>
      <w:instrText xml:space="preserve"> PAGE   \* MERGEFORMAT </w:instrText>
    </w:r>
    <w:r w:rsidRPr="0095448A">
      <w:rPr>
        <w:rFonts w:ascii="Arial Narrow" w:hAnsi="Arial Narrow"/>
        <w:sz w:val="22"/>
        <w:szCs w:val="22"/>
      </w:rPr>
      <w:fldChar w:fldCharType="separate"/>
    </w:r>
    <w:r w:rsidR="00B35824">
      <w:rPr>
        <w:rFonts w:ascii="Arial Narrow" w:hAnsi="Arial Narrow"/>
        <w:noProof/>
        <w:sz w:val="22"/>
        <w:szCs w:val="22"/>
      </w:rPr>
      <w:t>1</w:t>
    </w:r>
    <w:r w:rsidRPr="0095448A">
      <w:rPr>
        <w:rFonts w:ascii="Arial Narrow" w:hAnsi="Arial Narrow"/>
        <w:sz w:val="22"/>
        <w:szCs w:val="22"/>
      </w:rPr>
      <w:fldChar w:fldCharType="end"/>
    </w:r>
  </w:p>
  <w:p w:rsidR="0026677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24E"/>
    <w:multiLevelType w:val="hybridMultilevel"/>
    <w:tmpl w:val="C07841B8"/>
    <w:lvl w:ilvl="0">
      <w:start w:val="1"/>
      <w:numFmt w:val="bullet"/>
      <w:lvlText w:val=""/>
      <w:lvlJc w:val="left"/>
      <w:pPr>
        <w:tabs>
          <w:tab w:val="num" w:pos="935"/>
        </w:tabs>
        <w:ind w:left="816" w:hanging="41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">
    <w:nsid w:val="125752E6"/>
    <w:multiLevelType w:val="hybridMultilevel"/>
    <w:tmpl w:val="24123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62F10"/>
    <w:multiLevelType w:val="hybridMultilevel"/>
    <w:tmpl w:val="34F4CC98"/>
    <w:lvl w:ilvl="0">
      <w:start w:val="1"/>
      <w:numFmt w:val="bullet"/>
      <w:lvlText w:val="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5CD5A2B"/>
    <w:multiLevelType w:val="hybridMultilevel"/>
    <w:tmpl w:val="8B5238C6"/>
    <w:lvl w:ilvl="0">
      <w:start w:val="1"/>
      <w:numFmt w:val="bullet"/>
      <w:lvlText w:val="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4FA414A7"/>
    <w:multiLevelType w:val="hybridMultilevel"/>
    <w:tmpl w:val="E1ECB53C"/>
    <w:lvl w:ilvl="0">
      <w:start w:val="1"/>
      <w:numFmt w:val="bullet"/>
      <w:lvlText w:val="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6">
    <w:nsid w:val="5D5A7CDB"/>
    <w:multiLevelType w:val="hybridMultilevel"/>
    <w:tmpl w:val="6D26DE1E"/>
    <w:lvl w:ilvl="0">
      <w:start w:val="1"/>
      <w:numFmt w:val="bullet"/>
      <w:lvlText w:val="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A74A69"/>
    <w:multiLevelType w:val="hybridMultilevel"/>
    <w:tmpl w:val="2CD0B66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5C5D4F"/>
    <w:rsid w:val="000024BA"/>
    <w:rsid w:val="000123E0"/>
    <w:rsid w:val="00020BBE"/>
    <w:rsid w:val="00023C65"/>
    <w:rsid w:val="0003324E"/>
    <w:rsid w:val="00033842"/>
    <w:rsid w:val="00043990"/>
    <w:rsid w:val="00085E91"/>
    <w:rsid w:val="000B346F"/>
    <w:rsid w:val="000D2892"/>
    <w:rsid w:val="000F195F"/>
    <w:rsid w:val="000F6594"/>
    <w:rsid w:val="000F75FE"/>
    <w:rsid w:val="00127BD6"/>
    <w:rsid w:val="0013225A"/>
    <w:rsid w:val="001322CF"/>
    <w:rsid w:val="001443F3"/>
    <w:rsid w:val="00147246"/>
    <w:rsid w:val="00157CFA"/>
    <w:rsid w:val="00161AD3"/>
    <w:rsid w:val="00175889"/>
    <w:rsid w:val="0018159D"/>
    <w:rsid w:val="001A6535"/>
    <w:rsid w:val="001F7C31"/>
    <w:rsid w:val="0020428B"/>
    <w:rsid w:val="002076B4"/>
    <w:rsid w:val="00214135"/>
    <w:rsid w:val="00220D72"/>
    <w:rsid w:val="0024503F"/>
    <w:rsid w:val="00261BED"/>
    <w:rsid w:val="00266777"/>
    <w:rsid w:val="00270993"/>
    <w:rsid w:val="002B0224"/>
    <w:rsid w:val="002B0A69"/>
    <w:rsid w:val="002C6A43"/>
    <w:rsid w:val="003172E2"/>
    <w:rsid w:val="00353E7F"/>
    <w:rsid w:val="00356BE3"/>
    <w:rsid w:val="003605FD"/>
    <w:rsid w:val="00360D03"/>
    <w:rsid w:val="0037183F"/>
    <w:rsid w:val="003730EC"/>
    <w:rsid w:val="00380D05"/>
    <w:rsid w:val="003915D8"/>
    <w:rsid w:val="003A507D"/>
    <w:rsid w:val="003D23CA"/>
    <w:rsid w:val="003D6548"/>
    <w:rsid w:val="0043389E"/>
    <w:rsid w:val="00443AA8"/>
    <w:rsid w:val="004D3B01"/>
    <w:rsid w:val="004D6BB8"/>
    <w:rsid w:val="005042E5"/>
    <w:rsid w:val="00515A4B"/>
    <w:rsid w:val="005675BA"/>
    <w:rsid w:val="00570705"/>
    <w:rsid w:val="005952AB"/>
    <w:rsid w:val="005C5D4F"/>
    <w:rsid w:val="005F31BF"/>
    <w:rsid w:val="005F442F"/>
    <w:rsid w:val="00666E25"/>
    <w:rsid w:val="00676879"/>
    <w:rsid w:val="00694F1B"/>
    <w:rsid w:val="006973DC"/>
    <w:rsid w:val="006A19E8"/>
    <w:rsid w:val="006D1A26"/>
    <w:rsid w:val="006D5A5E"/>
    <w:rsid w:val="006E4B26"/>
    <w:rsid w:val="006E7E61"/>
    <w:rsid w:val="00721C50"/>
    <w:rsid w:val="00732CAA"/>
    <w:rsid w:val="00743AFC"/>
    <w:rsid w:val="00745363"/>
    <w:rsid w:val="007812E1"/>
    <w:rsid w:val="007953D9"/>
    <w:rsid w:val="007C324A"/>
    <w:rsid w:val="007E749A"/>
    <w:rsid w:val="007F1C27"/>
    <w:rsid w:val="00814AB0"/>
    <w:rsid w:val="008613EA"/>
    <w:rsid w:val="008871C3"/>
    <w:rsid w:val="00891D26"/>
    <w:rsid w:val="008923AF"/>
    <w:rsid w:val="008A5627"/>
    <w:rsid w:val="008C5CB7"/>
    <w:rsid w:val="0091008E"/>
    <w:rsid w:val="00913190"/>
    <w:rsid w:val="00920210"/>
    <w:rsid w:val="00930313"/>
    <w:rsid w:val="00935FF0"/>
    <w:rsid w:val="00943934"/>
    <w:rsid w:val="0095448A"/>
    <w:rsid w:val="00996B86"/>
    <w:rsid w:val="009A035F"/>
    <w:rsid w:val="009D78FA"/>
    <w:rsid w:val="009E5F6B"/>
    <w:rsid w:val="00A3640F"/>
    <w:rsid w:val="00A823EB"/>
    <w:rsid w:val="00AF28D1"/>
    <w:rsid w:val="00B12FFF"/>
    <w:rsid w:val="00B1676F"/>
    <w:rsid w:val="00B1773A"/>
    <w:rsid w:val="00B2023F"/>
    <w:rsid w:val="00B35824"/>
    <w:rsid w:val="00B4150F"/>
    <w:rsid w:val="00B42F3C"/>
    <w:rsid w:val="00B57EEE"/>
    <w:rsid w:val="00B606D8"/>
    <w:rsid w:val="00B72F7C"/>
    <w:rsid w:val="00B83CE6"/>
    <w:rsid w:val="00B8647A"/>
    <w:rsid w:val="00BA178F"/>
    <w:rsid w:val="00BD4520"/>
    <w:rsid w:val="00BE1F1E"/>
    <w:rsid w:val="00BF2D38"/>
    <w:rsid w:val="00BF7A34"/>
    <w:rsid w:val="00C0322A"/>
    <w:rsid w:val="00C03DB8"/>
    <w:rsid w:val="00C56DF6"/>
    <w:rsid w:val="00D040DE"/>
    <w:rsid w:val="00D625C7"/>
    <w:rsid w:val="00D81E5E"/>
    <w:rsid w:val="00DB3B13"/>
    <w:rsid w:val="00DC1459"/>
    <w:rsid w:val="00DF4F2C"/>
    <w:rsid w:val="00E04081"/>
    <w:rsid w:val="00E155C6"/>
    <w:rsid w:val="00E37128"/>
    <w:rsid w:val="00E60778"/>
    <w:rsid w:val="00E7523C"/>
    <w:rsid w:val="00E82C9C"/>
    <w:rsid w:val="00EC1551"/>
    <w:rsid w:val="00EF0BE8"/>
    <w:rsid w:val="00F11B00"/>
    <w:rsid w:val="00F147D8"/>
    <w:rsid w:val="00F26B77"/>
    <w:rsid w:val="00F6097B"/>
    <w:rsid w:val="00F62B77"/>
    <w:rsid w:val="00F63A88"/>
    <w:rsid w:val="00F96667"/>
    <w:rsid w:val="00FC009B"/>
    <w:rsid w:val="00FD55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semiHidden/>
    <w:rsid w:val="003172E2"/>
    <w:pPr>
      <w:jc w:val="both"/>
    </w:pPr>
    <w:rPr>
      <w:rFonts w:ascii="Arial Narrow" w:hAnsi="Arial Narrow"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172E2"/>
    <w:rPr>
      <w:rFonts w:ascii="Arial Narrow" w:hAnsi="Arial Narrow" w:cs="Times New Roman"/>
      <w:sz w:val="22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26677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66777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667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66777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4150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4150F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1816</Words>
  <Characters>10737</Characters>
  <Application>Microsoft Office Word</Application>
  <DocSecurity>0</DocSecurity>
  <Lines>0</Lines>
  <Paragraphs>0</Paragraphs>
  <ScaleCrop>false</ScaleCrop>
  <Company/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;</dc:creator>
  <cp:lastModifiedBy>GaspJarm</cp:lastModifiedBy>
  <cp:revision>2</cp:revision>
  <cp:lastPrinted>2010-09-22T13:53:00Z</cp:lastPrinted>
  <dcterms:created xsi:type="dcterms:W3CDTF">2010-11-26T09:54:00Z</dcterms:created>
  <dcterms:modified xsi:type="dcterms:W3CDTF">2010-11-26T09:54:00Z</dcterms:modified>
</cp:coreProperties>
</file>