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53698" w:rsidRPr="00240643" w:rsidP="00553698">
      <w:pPr>
        <w:pStyle w:val="Title"/>
        <w:bidi w:val="0"/>
        <w:spacing w:before="60"/>
        <w:rPr>
          <w:rFonts w:ascii="Times New Roman" w:hAnsi="Times New Roman"/>
          <w:color w:val="000000"/>
        </w:rPr>
      </w:pPr>
      <w:r w:rsidRPr="00240643">
        <w:rPr>
          <w:rFonts w:ascii="Times New Roman" w:hAnsi="Times New Roman"/>
          <w:color w:val="000000"/>
        </w:rPr>
        <w:t>NÁRODNÁ RADA SLOVENSKEJ REPUBLIKY</w:t>
      </w:r>
    </w:p>
    <w:p w:rsidR="00553698" w:rsidRPr="00240643" w:rsidP="00553698">
      <w:pPr>
        <w:pStyle w:val="Title"/>
        <w:bidi w:val="0"/>
        <w:spacing w:before="60"/>
        <w:rPr>
          <w:rFonts w:ascii="Times New Roman" w:hAnsi="Times New Roman"/>
          <w:color w:val="000000"/>
        </w:rPr>
      </w:pPr>
      <w:r w:rsidRPr="00240643">
        <w:rPr>
          <w:rFonts w:ascii="Times New Roman" w:hAnsi="Times New Roman"/>
          <w:color w:val="000000"/>
        </w:rPr>
        <w:t>V</w:t>
      </w:r>
      <w:r w:rsidRPr="00240643">
        <w:rPr>
          <w:rFonts w:ascii="Times New Roman" w:hAnsi="Times New Roman"/>
        </w:rPr>
        <w:t>.</w:t>
      </w:r>
      <w:r w:rsidRPr="00240643">
        <w:rPr>
          <w:rFonts w:ascii="Times New Roman" w:eastAsia="Times New Roman" w:hAnsi="Times New Roman" w:cs="Times New Roman"/>
          <w:rtl w:val="0"/>
        </w:rPr>
        <w:sym w:font="Times New Roman" w:char="F0A0"/>
      </w:r>
      <w:r w:rsidRPr="00240643">
        <w:rPr>
          <w:rFonts w:ascii="Times New Roman" w:hAnsi="Times New Roman"/>
          <w:color w:val="000000"/>
        </w:rPr>
        <w:t>volebné obdobie</w:t>
      </w:r>
    </w:p>
    <w:p w:rsidR="00553698" w:rsidRPr="00240643" w:rsidP="00553698">
      <w:pPr>
        <w:pStyle w:val="Title"/>
        <w:bidi w:val="0"/>
        <w:spacing w:before="60"/>
        <w:rPr>
          <w:rFonts w:ascii="Times New Roman" w:hAnsi="Times New Roman"/>
          <w:color w:val="000000"/>
        </w:rPr>
      </w:pPr>
      <w:r w:rsidRPr="00240643">
        <w:rPr>
          <w:rFonts w:ascii="Times New Roman" w:hAnsi="Times New Roman"/>
          <w:color w:val="000000"/>
        </w:rPr>
        <w:t>___________________________________________________________________________</w:t>
      </w:r>
    </w:p>
    <w:p w:rsidR="00553698" w:rsidRPr="00240643" w:rsidP="00553698">
      <w:pPr>
        <w:pStyle w:val="Title"/>
        <w:bidi w:val="0"/>
        <w:spacing w:before="60"/>
        <w:rPr>
          <w:rFonts w:ascii="Times New Roman" w:hAnsi="Times New Roman"/>
          <w:color w:val="000000"/>
        </w:rPr>
      </w:pPr>
    </w:p>
    <w:p w:rsidR="00553698" w:rsidRPr="00240643" w:rsidP="00553698">
      <w:pPr>
        <w:pStyle w:val="Title"/>
        <w:bidi w:val="0"/>
        <w:rPr>
          <w:rFonts w:ascii="Times New Roman" w:hAnsi="Times New Roman"/>
          <w:color w:val="000000"/>
        </w:rPr>
      </w:pPr>
    </w:p>
    <w:p w:rsidR="00553698" w:rsidRPr="00240643" w:rsidP="00553698">
      <w:pPr>
        <w:pStyle w:val="Title"/>
        <w:bidi w:val="0"/>
        <w:rPr>
          <w:rFonts w:ascii="Times New Roman" w:hAnsi="Times New Roman"/>
          <w:b w:val="0"/>
          <w:bCs w:val="0"/>
          <w:color w:val="000000"/>
        </w:rPr>
      </w:pPr>
      <w:r>
        <w:rPr>
          <w:rFonts w:ascii="Times New Roman" w:hAnsi="Times New Roman"/>
          <w:b w:val="0"/>
          <w:bCs w:val="0"/>
          <w:color w:val="000000"/>
        </w:rPr>
        <w:t>93</w:t>
      </w:r>
    </w:p>
    <w:p w:rsidR="00553698" w:rsidRPr="00240643" w:rsidP="00553698">
      <w:pPr>
        <w:pStyle w:val="Title"/>
        <w:bidi w:val="0"/>
        <w:rPr>
          <w:rFonts w:ascii="Times New Roman" w:hAnsi="Times New Roman"/>
          <w:b w:val="0"/>
          <w:bCs w:val="0"/>
          <w:color w:val="000000"/>
        </w:rPr>
      </w:pPr>
    </w:p>
    <w:p w:rsidR="00553698" w:rsidRPr="00240643" w:rsidP="00553698">
      <w:pPr>
        <w:bidi w:val="0"/>
        <w:jc w:val="center"/>
        <w:rPr>
          <w:rFonts w:ascii="Times New Roman" w:hAnsi="Times New Roman"/>
          <w:b/>
          <w:bCs/>
        </w:rPr>
      </w:pPr>
      <w:r w:rsidRPr="00240643">
        <w:rPr>
          <w:rFonts w:ascii="Times New Roman" w:hAnsi="Times New Roman"/>
          <w:b/>
          <w:bCs/>
        </w:rPr>
        <w:t xml:space="preserve">VLÁDNY NÁVRH </w:t>
      </w:r>
    </w:p>
    <w:p w:rsidR="00553698" w:rsidRPr="00240643" w:rsidP="00553698">
      <w:pPr>
        <w:pStyle w:val="Zkladntext"/>
        <w:tabs>
          <w:tab w:val="left" w:pos="360"/>
        </w:tabs>
        <w:bidi w:val="0"/>
        <w:spacing w:line="280" w:lineRule="atLeast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55398C" w:rsidRPr="00422AA0">
      <w:pPr>
        <w:tabs>
          <w:tab w:val="left" w:pos="5400"/>
        </w:tabs>
        <w:bidi w:val="0"/>
        <w:jc w:val="center"/>
        <w:rPr>
          <w:rFonts w:ascii="Times New Roman" w:hAnsi="Times New Roman"/>
          <w:b/>
        </w:rPr>
      </w:pPr>
    </w:p>
    <w:p w:rsidR="0055398C" w:rsidRPr="00422AA0">
      <w:pPr>
        <w:tabs>
          <w:tab w:val="left" w:pos="5400"/>
        </w:tabs>
        <w:bidi w:val="0"/>
        <w:jc w:val="center"/>
        <w:outlineLvl w:val="0"/>
        <w:rPr>
          <w:rFonts w:ascii="Times New Roman" w:hAnsi="Times New Roman"/>
          <w:b/>
        </w:rPr>
      </w:pPr>
      <w:r w:rsidRPr="00422AA0">
        <w:rPr>
          <w:rFonts w:ascii="Times New Roman" w:hAnsi="Times New Roman"/>
          <w:b/>
        </w:rPr>
        <w:t>Zákon</w:t>
      </w:r>
    </w:p>
    <w:p w:rsidR="0055398C" w:rsidRPr="00422AA0">
      <w:pPr>
        <w:tabs>
          <w:tab w:val="left" w:pos="5400"/>
        </w:tabs>
        <w:bidi w:val="0"/>
        <w:jc w:val="center"/>
        <w:outlineLvl w:val="0"/>
        <w:rPr>
          <w:rFonts w:ascii="Times New Roman" w:hAnsi="Times New Roman"/>
          <w:b/>
        </w:rPr>
      </w:pPr>
      <w:r w:rsidRPr="00422AA0">
        <w:rPr>
          <w:rFonts w:ascii="Times New Roman" w:hAnsi="Times New Roman"/>
          <w:b/>
        </w:rPr>
        <w:t>z ......... 2010,</w:t>
      </w:r>
    </w:p>
    <w:p w:rsidR="00422AA0" w:rsidP="00422AA0">
      <w:pPr>
        <w:tabs>
          <w:tab w:val="left" w:pos="5400"/>
        </w:tabs>
        <w:bidi w:val="0"/>
        <w:jc w:val="center"/>
        <w:outlineLvl w:val="0"/>
        <w:rPr>
          <w:rFonts w:ascii="Times New Roman" w:hAnsi="Times New Roman"/>
          <w:b/>
        </w:rPr>
      </w:pPr>
      <w:r w:rsidRPr="00422AA0" w:rsidR="0055398C">
        <w:rPr>
          <w:rFonts w:ascii="Times New Roman" w:hAnsi="Times New Roman"/>
          <w:b/>
        </w:rPr>
        <w:t xml:space="preserve">ktorým sa mení a dopĺňa zákon č. 431/2002 Z. z. o účtovníctve </w:t>
      </w:r>
    </w:p>
    <w:p w:rsidR="0055398C" w:rsidRPr="00422AA0" w:rsidP="00422AA0">
      <w:pPr>
        <w:tabs>
          <w:tab w:val="left" w:pos="5400"/>
        </w:tabs>
        <w:bidi w:val="0"/>
        <w:jc w:val="center"/>
        <w:outlineLvl w:val="0"/>
        <w:rPr>
          <w:rFonts w:ascii="Times New Roman" w:hAnsi="Times New Roman"/>
          <w:b/>
        </w:rPr>
      </w:pPr>
      <w:r w:rsidRPr="00422AA0">
        <w:rPr>
          <w:rFonts w:ascii="Times New Roman" w:hAnsi="Times New Roman"/>
          <w:b/>
        </w:rPr>
        <w:t>v znení neskorších predpisov</w:t>
      </w:r>
    </w:p>
    <w:p w:rsidR="0055398C" w:rsidRPr="00422AA0">
      <w:pPr>
        <w:bidi w:val="0"/>
        <w:rPr>
          <w:rFonts w:ascii="Times New Roman" w:hAnsi="Times New Roman"/>
        </w:rPr>
      </w:pPr>
    </w:p>
    <w:p w:rsidR="0055398C" w:rsidRPr="00422AA0">
      <w:p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Národná rada Slovenskej republiky sa uzniesla na tomto zákone:</w:t>
      </w:r>
    </w:p>
    <w:p w:rsidR="0055398C" w:rsidRPr="00422AA0">
      <w:pPr>
        <w:bidi w:val="0"/>
        <w:rPr>
          <w:rFonts w:ascii="Times New Roman" w:hAnsi="Times New Roman"/>
        </w:rPr>
      </w:pPr>
    </w:p>
    <w:p w:rsidR="0055398C" w:rsidRPr="00422AA0">
      <w:pPr>
        <w:bidi w:val="0"/>
        <w:jc w:val="center"/>
        <w:outlineLvl w:val="0"/>
        <w:rPr>
          <w:rFonts w:ascii="Times New Roman" w:hAnsi="Times New Roman"/>
          <w:b/>
        </w:rPr>
      </w:pPr>
      <w:r w:rsidRPr="00422AA0">
        <w:rPr>
          <w:rFonts w:ascii="Times New Roman" w:hAnsi="Times New Roman"/>
          <w:b/>
        </w:rPr>
        <w:t>Čl. I</w:t>
      </w:r>
    </w:p>
    <w:p w:rsidR="0055398C" w:rsidRPr="00422AA0">
      <w:pPr>
        <w:tabs>
          <w:tab w:val="left" w:pos="360"/>
        </w:tabs>
        <w:bidi w:val="0"/>
        <w:jc w:val="center"/>
        <w:rPr>
          <w:rFonts w:ascii="Times New Roman" w:hAnsi="Times New Roman"/>
          <w:b/>
        </w:rPr>
      </w:pPr>
    </w:p>
    <w:p w:rsidR="0055398C" w:rsidRPr="00422AA0">
      <w:pPr>
        <w:bidi w:val="0"/>
        <w:ind w:firstLine="36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Zákon č. 431/2002 Z. z. o účtovníctve v znení zákona č. 562/2003 Z. z., zákona č. 561/2004 Z</w:t>
      </w:r>
      <w:r w:rsidRPr="00422AA0" w:rsidR="00305A14">
        <w:rPr>
          <w:rFonts w:ascii="Times New Roman" w:hAnsi="Times New Roman"/>
        </w:rPr>
        <w:t>. z., zákona č. 518/2005 Z. z.,</w:t>
      </w:r>
      <w:r w:rsidRPr="00422AA0">
        <w:rPr>
          <w:rFonts w:ascii="Times New Roman" w:hAnsi="Times New Roman"/>
        </w:rPr>
        <w:t> zákona č. 688/2006 Z. z., zákona č. 198/2007 Z. z., zákona č. 540/2007 Z. z., zákona č. 621/2007 Z. z., zákona č. 378/2008 Z. z., zákona č. 465/2008 Z. z., zákona č. 567/2008 Z. z.,  zákona č. 61/2009 Z. z., zákona č. 492/2009 Z. z. a zákona č. 504/2009 Z. z. sa mení a dopĺňa takto:</w:t>
      </w:r>
    </w:p>
    <w:p w:rsidR="0055398C" w:rsidRPr="00422AA0">
      <w:pPr>
        <w:bidi w:val="0"/>
        <w:ind w:left="90"/>
        <w:jc w:val="both"/>
        <w:rPr>
          <w:rFonts w:ascii="Times New Roman" w:hAnsi="Times New Roman"/>
        </w:rPr>
      </w:pPr>
    </w:p>
    <w:p w:rsidR="0055398C" w:rsidRPr="00422AA0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V § 22 ods. 9  písm. a) až c) sa vypúšťajú slová „a Európskych spoločenstiev“.</w:t>
      </w:r>
    </w:p>
    <w:p w:rsidR="0055398C" w:rsidRPr="00422AA0">
      <w:pPr>
        <w:bidi w:val="0"/>
        <w:ind w:left="90"/>
        <w:jc w:val="both"/>
        <w:rPr>
          <w:rFonts w:ascii="Times New Roman" w:hAnsi="Times New Roman"/>
        </w:rPr>
      </w:pPr>
    </w:p>
    <w:p w:rsidR="0055398C" w:rsidRPr="00422AA0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V § 22 sa za odsek 11 vkladá nový odsek 12, ktorý znie:</w:t>
      </w:r>
    </w:p>
    <w:p w:rsidR="008345A8" w:rsidRPr="00422AA0" w:rsidP="008345A8">
      <w:pPr>
        <w:bidi w:val="0"/>
        <w:ind w:left="450"/>
        <w:jc w:val="both"/>
        <w:rPr>
          <w:rFonts w:ascii="Times New Roman" w:hAnsi="Times New Roman"/>
        </w:rPr>
      </w:pPr>
    </w:p>
    <w:p w:rsidR="0055398C" w:rsidRPr="00422AA0">
      <w:p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„(12) Povinnosť zostaviť konsolidovanú účtovnú závierku a konsolidovanú výročnú správu nemá materská účtovná jednotka, ak zostavením len individuálnej účtovnej závierky materskej účt</w:t>
      </w:r>
      <w:r w:rsidRPr="00422AA0" w:rsidR="0054379E">
        <w:rPr>
          <w:rFonts w:ascii="Times New Roman" w:hAnsi="Times New Roman"/>
        </w:rPr>
        <w:t xml:space="preserve">ovnej jednotky </w:t>
      </w:r>
      <w:r w:rsidRPr="00422AA0" w:rsidR="00C61580">
        <w:rPr>
          <w:rFonts w:ascii="Times New Roman" w:hAnsi="Times New Roman"/>
        </w:rPr>
        <w:t xml:space="preserve">sa významne </w:t>
      </w:r>
      <w:r w:rsidRPr="00422AA0" w:rsidR="00621F4A">
        <w:rPr>
          <w:rFonts w:ascii="Times New Roman" w:hAnsi="Times New Roman"/>
        </w:rPr>
        <w:t>ne</w:t>
      </w:r>
      <w:r w:rsidRPr="00422AA0" w:rsidR="00C61580">
        <w:rPr>
          <w:rFonts w:ascii="Times New Roman" w:hAnsi="Times New Roman"/>
        </w:rPr>
        <w:t>ovplyvní</w:t>
      </w:r>
      <w:r w:rsidRPr="00422AA0" w:rsidR="00837785">
        <w:rPr>
          <w:rFonts w:ascii="Times New Roman" w:hAnsi="Times New Roman"/>
        </w:rPr>
        <w:t xml:space="preserve"> úsudok o finančnej situácii, nákladoch, výnosoch a výsledku hospodárenia </w:t>
      </w:r>
      <w:r w:rsidRPr="00422AA0" w:rsidR="008345A8">
        <w:rPr>
          <w:rFonts w:ascii="Times New Roman" w:hAnsi="Times New Roman"/>
        </w:rPr>
        <w:t xml:space="preserve"> </w:t>
      </w:r>
      <w:r w:rsidRPr="00422AA0" w:rsidR="00D322B6">
        <w:rPr>
          <w:rFonts w:ascii="Times New Roman" w:hAnsi="Times New Roman"/>
        </w:rPr>
        <w:t xml:space="preserve"> </w:t>
      </w:r>
      <w:r w:rsidRPr="00422AA0" w:rsidR="00621F4A">
        <w:rPr>
          <w:rFonts w:ascii="Times New Roman" w:hAnsi="Times New Roman"/>
        </w:rPr>
        <w:t>za konsolidovaný celok;</w:t>
      </w:r>
      <w:r w:rsidRPr="00422AA0" w:rsidR="00D322B6">
        <w:rPr>
          <w:rFonts w:ascii="Times New Roman" w:hAnsi="Times New Roman"/>
        </w:rPr>
        <w:t xml:space="preserve"> </w:t>
      </w:r>
      <w:r w:rsidRPr="00422AA0">
        <w:rPr>
          <w:rFonts w:ascii="Times New Roman" w:hAnsi="Times New Roman"/>
        </w:rPr>
        <w:t>ustanovenia odsekov 10 a 11 sa v takomto prípade nepoužijú.“</w:t>
      </w:r>
      <w:r w:rsidRPr="00422AA0" w:rsidR="00D322B6">
        <w:rPr>
          <w:rFonts w:ascii="Times New Roman" w:hAnsi="Times New Roman"/>
        </w:rPr>
        <w:t>.</w:t>
      </w:r>
    </w:p>
    <w:p w:rsidR="0055398C" w:rsidRPr="00422AA0">
      <w:pPr>
        <w:bidi w:val="0"/>
        <w:jc w:val="both"/>
        <w:rPr>
          <w:rFonts w:ascii="Times New Roman" w:hAnsi="Times New Roman"/>
        </w:rPr>
      </w:pPr>
    </w:p>
    <w:p w:rsidR="0055398C" w:rsidRPr="00422AA0">
      <w:p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Doterajšie odseky 12 až 16 sa označujú ako odseky 13 až 17.</w:t>
      </w:r>
    </w:p>
    <w:p w:rsidR="0055398C" w:rsidRPr="00422AA0">
      <w:pPr>
        <w:bidi w:val="0"/>
        <w:jc w:val="both"/>
        <w:rPr>
          <w:rFonts w:ascii="Times New Roman" w:hAnsi="Times New Roman"/>
        </w:rPr>
      </w:pPr>
    </w:p>
    <w:p w:rsidR="0055398C" w:rsidRPr="00422AA0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V § 22 ods. 17 sa číslo  „15“ nahrádza číslom „16“.</w:t>
      </w:r>
    </w:p>
    <w:p w:rsidR="0055398C" w:rsidRPr="00422AA0">
      <w:pPr>
        <w:bidi w:val="0"/>
        <w:ind w:left="90"/>
        <w:jc w:val="both"/>
        <w:rPr>
          <w:rFonts w:ascii="Times New Roman" w:hAnsi="Times New Roman"/>
        </w:rPr>
      </w:pPr>
    </w:p>
    <w:p w:rsidR="0055398C" w:rsidRPr="00422AA0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V § 39c sa slová „</w:t>
      </w:r>
      <w:r w:rsidR="00047DE6">
        <w:rPr>
          <w:rFonts w:ascii="Times New Roman" w:hAnsi="Times New Roman"/>
        </w:rPr>
        <w:t xml:space="preserve">právne akty </w:t>
      </w:r>
      <w:r w:rsidRPr="00422AA0">
        <w:rPr>
          <w:rFonts w:ascii="Times New Roman" w:hAnsi="Times New Roman"/>
        </w:rPr>
        <w:t>Európskych spoločenstiev a“</w:t>
      </w:r>
      <w:r w:rsidR="00047DE6">
        <w:rPr>
          <w:rFonts w:ascii="Times New Roman" w:hAnsi="Times New Roman"/>
        </w:rPr>
        <w:t xml:space="preserve"> nahrádzajú slovami „právne záväzné akty“</w:t>
      </w:r>
      <w:r w:rsidRPr="00422AA0">
        <w:rPr>
          <w:rFonts w:ascii="Times New Roman" w:hAnsi="Times New Roman"/>
        </w:rPr>
        <w:t xml:space="preserve">. </w:t>
      </w:r>
    </w:p>
    <w:p w:rsidR="0055398C" w:rsidRPr="00422AA0">
      <w:pPr>
        <w:bidi w:val="0"/>
        <w:ind w:left="450"/>
        <w:jc w:val="both"/>
        <w:rPr>
          <w:rFonts w:ascii="Times New Roman" w:hAnsi="Times New Roman"/>
        </w:rPr>
      </w:pPr>
    </w:p>
    <w:p w:rsidR="0055398C" w:rsidRPr="00422AA0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Za § 39g sa vkladá § 39h, ktorý vrátane nadpisu znie:</w:t>
      </w:r>
    </w:p>
    <w:p w:rsidR="0055398C" w:rsidRPr="00422AA0">
      <w:pPr>
        <w:bidi w:val="0"/>
        <w:jc w:val="both"/>
        <w:rPr>
          <w:rFonts w:ascii="Times New Roman" w:hAnsi="Times New Roman"/>
          <w:b/>
        </w:rPr>
      </w:pPr>
    </w:p>
    <w:p w:rsidR="0055398C" w:rsidRPr="00422AA0">
      <w:pPr>
        <w:bidi w:val="0"/>
        <w:jc w:val="center"/>
        <w:rPr>
          <w:rFonts w:ascii="Times New Roman" w:hAnsi="Times New Roman"/>
        </w:rPr>
      </w:pPr>
      <w:r w:rsidRPr="00422AA0">
        <w:rPr>
          <w:rFonts w:ascii="Times New Roman" w:hAnsi="Times New Roman"/>
        </w:rPr>
        <w:t>„§ 39h</w:t>
      </w:r>
    </w:p>
    <w:p w:rsidR="0055398C" w:rsidRPr="00422AA0">
      <w:pPr>
        <w:bidi w:val="0"/>
        <w:jc w:val="center"/>
        <w:rPr>
          <w:rFonts w:ascii="Times New Roman" w:hAnsi="Times New Roman"/>
        </w:rPr>
      </w:pPr>
      <w:r w:rsidRPr="00422AA0">
        <w:rPr>
          <w:rFonts w:ascii="Times New Roman" w:hAnsi="Times New Roman"/>
        </w:rPr>
        <w:t>Prechodné ustanovenie k úpravám účinným od 31. decembra 2010</w:t>
      </w:r>
    </w:p>
    <w:p w:rsidR="0055398C" w:rsidRPr="00422AA0">
      <w:pPr>
        <w:bidi w:val="0"/>
        <w:rPr>
          <w:rFonts w:ascii="Times New Roman" w:hAnsi="Times New Roman"/>
        </w:rPr>
      </w:pPr>
    </w:p>
    <w:p w:rsidR="0055398C" w:rsidRPr="00422AA0" w:rsidP="00FC332E">
      <w:p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Ustanovenie § 22 ods. 12 v  znení účinnom od 31. decembra 2010 sa prvýkrát použije  pri posudzovaní povinnosti zostaviť konsolidovanú  účtovnú  závierku a kon</w:t>
      </w:r>
      <w:r w:rsidRPr="00422AA0" w:rsidR="00AD60E1">
        <w:rPr>
          <w:rFonts w:ascii="Times New Roman" w:hAnsi="Times New Roman"/>
        </w:rPr>
        <w:t>solidovanú výročnú správu, ktoré sa zostavujú</w:t>
      </w:r>
      <w:r w:rsidRPr="00422AA0">
        <w:rPr>
          <w:rFonts w:ascii="Times New Roman" w:hAnsi="Times New Roman"/>
        </w:rPr>
        <w:t xml:space="preserve"> k  31. decembru 2010 a neskôr.“.</w:t>
      </w:r>
    </w:p>
    <w:p w:rsidR="0055398C" w:rsidRPr="00422AA0">
      <w:pPr>
        <w:bidi w:val="0"/>
        <w:spacing w:after="200" w:line="276" w:lineRule="auto"/>
        <w:jc w:val="both"/>
        <w:rPr>
          <w:rFonts w:ascii="Times New Roman" w:hAnsi="Times New Roman"/>
        </w:rPr>
      </w:pPr>
    </w:p>
    <w:p w:rsidR="00047DE6">
      <w:pPr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sa slová „právnych aktov Európskych spoločenstiev a“ nahrádzajú slovami „právne záväzných aktov“.</w:t>
      </w:r>
    </w:p>
    <w:p w:rsidR="00047DE6" w:rsidP="00047DE6">
      <w:pPr>
        <w:bidi w:val="0"/>
        <w:ind w:left="450"/>
        <w:jc w:val="both"/>
        <w:rPr>
          <w:rFonts w:ascii="Times New Roman" w:hAnsi="Times New Roman"/>
        </w:rPr>
      </w:pPr>
    </w:p>
    <w:p w:rsidR="0055398C" w:rsidRPr="00422AA0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 xml:space="preserve">Príloha  sa dopĺňa ôsmym bodom, ktorý znie: </w:t>
      </w:r>
    </w:p>
    <w:p w:rsidR="0055398C" w:rsidRPr="00422AA0">
      <w:pPr>
        <w:bidi w:val="0"/>
        <w:ind w:left="45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„8.  Smernica Európskeho parlamentu a Rady 2009/49/ES z 18. júna 2009, ktorou sa menia a dopĺňajú smernice Rady 78/660/EHS a 83/349/EHS, pokiaľ ide o určité požiadavky na zverejnenie pre stredné spoločnosti a povinnosť zostavovať konsolidovanú účtovnú závierku (Ú. v. EÚ L 164, 26.6.2009).“.</w:t>
      </w:r>
    </w:p>
    <w:p w:rsidR="0055398C" w:rsidRPr="00422AA0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p w:rsidR="00111CC0">
      <w:pPr>
        <w:tabs>
          <w:tab w:val="left" w:pos="426"/>
        </w:tabs>
        <w:bidi w:val="0"/>
        <w:jc w:val="center"/>
        <w:outlineLvl w:val="0"/>
        <w:rPr>
          <w:rFonts w:ascii="Times New Roman" w:hAnsi="Times New Roman"/>
          <w:b/>
        </w:rPr>
      </w:pPr>
    </w:p>
    <w:p w:rsidR="0055398C" w:rsidRPr="00422AA0">
      <w:pPr>
        <w:tabs>
          <w:tab w:val="left" w:pos="426"/>
        </w:tabs>
        <w:bidi w:val="0"/>
        <w:jc w:val="center"/>
        <w:outlineLvl w:val="0"/>
        <w:rPr>
          <w:rFonts w:ascii="Times New Roman" w:hAnsi="Times New Roman"/>
          <w:b/>
        </w:rPr>
      </w:pPr>
      <w:r w:rsidRPr="00422AA0">
        <w:rPr>
          <w:rFonts w:ascii="Times New Roman" w:hAnsi="Times New Roman"/>
          <w:b/>
        </w:rPr>
        <w:t>Čl. II</w:t>
      </w:r>
    </w:p>
    <w:p w:rsidR="0055398C" w:rsidRPr="00422AA0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</w:p>
    <w:p w:rsidR="0055398C" w:rsidRPr="00422AA0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422AA0">
        <w:rPr>
          <w:rFonts w:ascii="Times New Roman" w:hAnsi="Times New Roman"/>
        </w:rPr>
        <w:t>Tento zákon nadobúda účinnosť 31. decembra 2010.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98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775CC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5398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1EEE"/>
    <w:multiLevelType w:val="hybridMultilevel"/>
    <w:tmpl w:val="301A9DD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C6B755B"/>
    <w:multiLevelType w:val="hybridMultilevel"/>
    <w:tmpl w:val="E028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46BF4594"/>
    <w:multiLevelType w:val="hybridMultilevel"/>
    <w:tmpl w:val="080C1A70"/>
    <w:lvl w:ilvl="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cs="Times New Roman"/>
        <w:rtl w:val="0"/>
        <w:cs w:val="0"/>
      </w:rPr>
    </w:lvl>
  </w:abstractNum>
  <w:abstractNum w:abstractNumId="3">
    <w:nsid w:val="73B83DD3"/>
    <w:multiLevelType w:val="hybridMultilevel"/>
    <w:tmpl w:val="EFEA92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C6448"/>
    <w:rsid w:val="00013319"/>
    <w:rsid w:val="00034CBD"/>
    <w:rsid w:val="00047DE6"/>
    <w:rsid w:val="000A7FB7"/>
    <w:rsid w:val="000E3007"/>
    <w:rsid w:val="00111CC0"/>
    <w:rsid w:val="00182F96"/>
    <w:rsid w:val="00240643"/>
    <w:rsid w:val="0028117C"/>
    <w:rsid w:val="002C3C8E"/>
    <w:rsid w:val="00305A14"/>
    <w:rsid w:val="003C4308"/>
    <w:rsid w:val="00420305"/>
    <w:rsid w:val="00422AA0"/>
    <w:rsid w:val="0054379E"/>
    <w:rsid w:val="00553698"/>
    <w:rsid w:val="0055398C"/>
    <w:rsid w:val="005F0134"/>
    <w:rsid w:val="00621CB9"/>
    <w:rsid w:val="00621F4A"/>
    <w:rsid w:val="00622847"/>
    <w:rsid w:val="006B1339"/>
    <w:rsid w:val="006D24AE"/>
    <w:rsid w:val="00775CC3"/>
    <w:rsid w:val="00780D05"/>
    <w:rsid w:val="008202D0"/>
    <w:rsid w:val="008345A8"/>
    <w:rsid w:val="00837785"/>
    <w:rsid w:val="00845B84"/>
    <w:rsid w:val="00851D89"/>
    <w:rsid w:val="0086647A"/>
    <w:rsid w:val="008C6448"/>
    <w:rsid w:val="00AD60E1"/>
    <w:rsid w:val="00C161BA"/>
    <w:rsid w:val="00C61580"/>
    <w:rsid w:val="00D322B6"/>
    <w:rsid w:val="00D9480C"/>
    <w:rsid w:val="00DD2E28"/>
    <w:rsid w:val="00E97439"/>
    <w:rsid w:val="00F35CAB"/>
    <w:rsid w:val="00FC332E"/>
    <w:rsid w:val="00FE0E0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semiHidden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semiHidden/>
    <w:unhideWhenUsed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rPr>
      <w:rFonts w:ascii="Times New Roman" w:hAnsi="Times New Roman" w:cs="Times New Roman"/>
      <w:sz w:val="24"/>
      <w:szCs w:val="24"/>
      <w:rtl w:val="0"/>
      <w:cs w:val="0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</w:rPr>
  </w:style>
  <w:style w:type="paragraph" w:styleId="Title">
    <w:name w:val="Title"/>
    <w:basedOn w:val="Normal"/>
    <w:link w:val="NzovChar"/>
    <w:qFormat/>
    <w:rsid w:val="0055369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character" w:customStyle="1" w:styleId="NzovChar">
    <w:name w:val="Názov Char"/>
    <w:basedOn w:val="DefaultParagraphFont"/>
    <w:link w:val="Title"/>
    <w:locked/>
    <w:rsid w:val="00553698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customStyle="1" w:styleId="Zkladntext">
    <w:name w:val="Základní text"/>
    <w:rsid w:val="00553698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350</Words>
  <Characters>2000</Characters>
  <Application>Microsoft Office Word</Application>
  <DocSecurity>0</DocSecurity>
  <Lines>0</Lines>
  <Paragraphs>0</Paragraphs>
  <ScaleCrop>false</ScaleCrop>
  <Company>MF SR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mhorvathova</dc:creator>
  <cp:lastModifiedBy>GaspJarm</cp:lastModifiedBy>
  <cp:revision>2</cp:revision>
  <cp:lastPrinted>2010-09-10T14:13:00Z</cp:lastPrinted>
  <dcterms:created xsi:type="dcterms:W3CDTF">2010-11-26T09:52:00Z</dcterms:created>
  <dcterms:modified xsi:type="dcterms:W3CDTF">2010-11-26T09:52:00Z</dcterms:modified>
</cp:coreProperties>
</file>