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A0F32" w:rsidRPr="001649F0" w:rsidP="006A0F32">
      <w:pPr>
        <w:bidi w:val="0"/>
        <w:jc w:val="both"/>
        <w:rPr>
          <w:rStyle w:val="PlaceholderText"/>
          <w:color w:val="000000"/>
        </w:rPr>
      </w:pPr>
      <w:r w:rsidRPr="001649F0">
        <w:rPr>
          <w:rFonts w:ascii="Times New Roman" w:hAnsi="Times New Roman"/>
          <w:b/>
          <w:spacing w:val="30"/>
        </w:rPr>
        <w:t>B. Osobitná časť</w:t>
      </w:r>
    </w:p>
    <w:p w:rsidR="006A0F32" w:rsidRPr="001649F0" w:rsidP="006A0F32">
      <w:pPr>
        <w:bidi w:val="0"/>
        <w:jc w:val="both"/>
        <w:rPr>
          <w:rStyle w:val="PlaceholderText"/>
          <w:b/>
          <w:color w:val="000000"/>
        </w:rPr>
      </w:pPr>
      <w:r w:rsidRPr="001649F0">
        <w:rPr>
          <w:rStyle w:val="PlaceholderText"/>
          <w:b/>
          <w:color w:val="000000"/>
        </w:rPr>
        <w:t>K Čl. I</w:t>
      </w:r>
    </w:p>
    <w:p w:rsidR="006A0F32" w:rsidRPr="00440FF9" w:rsidP="006A0F32">
      <w:pPr>
        <w:bidi w:val="0"/>
        <w:jc w:val="both"/>
        <w:rPr>
          <w:rStyle w:val="PlaceholderText"/>
          <w:b/>
          <w:color w:val="000000"/>
        </w:rPr>
      </w:pPr>
      <w:r w:rsidRPr="00440FF9">
        <w:rPr>
          <w:rStyle w:val="PlaceholderText"/>
          <w:b/>
          <w:color w:val="000000"/>
        </w:rPr>
        <w:t>K bodu 1</w:t>
      </w:r>
    </w:p>
    <w:p w:rsidR="006A0F32" w:rsidRPr="00440FF9" w:rsidP="006A0F32">
      <w:pPr>
        <w:bidi w:val="0"/>
        <w:jc w:val="both"/>
        <w:rPr>
          <w:rFonts w:ascii="Times New Roman" w:hAnsi="Times New Roman" w:cs="Calibri"/>
        </w:rPr>
      </w:pPr>
      <w:r w:rsidRPr="00440FF9">
        <w:rPr>
          <w:rFonts w:ascii="Times New Roman" w:hAnsi="Times New Roman" w:cs="Calibri"/>
        </w:rPr>
        <w:t>Legislatívno-technická úprava, ktorá má za cieľ zosúladenie s ďalšími ustanoveniami zákona, najmä s § 11b návrhu zákona.</w:t>
      </w:r>
    </w:p>
    <w:p w:rsidR="006A0F32" w:rsidRPr="00440FF9" w:rsidP="006A0F32">
      <w:pPr>
        <w:bidi w:val="0"/>
        <w:jc w:val="both"/>
        <w:rPr>
          <w:rStyle w:val="PlaceholderText"/>
          <w:color w:val="000000"/>
        </w:rPr>
      </w:pPr>
      <w:r w:rsidRPr="00440FF9">
        <w:rPr>
          <w:rFonts w:ascii="Times New Roman" w:hAnsi="Times New Roman" w:cs="Calibri"/>
        </w:rPr>
        <w:t xml:space="preserve">  </w:t>
      </w:r>
    </w:p>
    <w:p w:rsidR="006A0F32" w:rsidP="006A0F32">
      <w:pPr>
        <w:bidi w:val="0"/>
        <w:jc w:val="both"/>
        <w:rPr>
          <w:rStyle w:val="PlaceholderText"/>
          <w:b/>
          <w:color w:val="000000"/>
        </w:rPr>
      </w:pPr>
      <w:r>
        <w:rPr>
          <w:rStyle w:val="PlaceholderText"/>
          <w:b/>
          <w:color w:val="000000"/>
        </w:rPr>
        <w:t>K bodu 2</w:t>
      </w:r>
    </w:p>
    <w:p w:rsidR="006A0F32" w:rsidRPr="00D7431C" w:rsidP="006A0F32">
      <w:pPr>
        <w:bidi w:val="0"/>
        <w:jc w:val="both"/>
        <w:rPr>
          <w:rFonts w:ascii="Times New Roman" w:hAnsi="Times New Roman" w:cs="Calibri"/>
        </w:rPr>
      </w:pPr>
      <w:r w:rsidRPr="00D7431C">
        <w:rPr>
          <w:rFonts w:ascii="Times New Roman" w:hAnsi="Times New Roman" w:cs="Calibri"/>
        </w:rPr>
        <w:t>Legislatívno-technická úprava. Vzhľadom na rozsah pojmu „azylant“, upravuje sa citácia poznámky pod čiarou k odkazu 4.</w:t>
      </w:r>
    </w:p>
    <w:p w:rsidR="006A0F32" w:rsidP="006A0F32">
      <w:pPr>
        <w:bidi w:val="0"/>
        <w:jc w:val="both"/>
        <w:rPr>
          <w:rStyle w:val="PlaceholderText"/>
          <w:b/>
          <w:color w:val="000000"/>
        </w:rPr>
      </w:pPr>
    </w:p>
    <w:p w:rsidR="006A0F32" w:rsidRPr="00440FF9" w:rsidP="006A0F32">
      <w:pPr>
        <w:bidi w:val="0"/>
        <w:jc w:val="both"/>
        <w:rPr>
          <w:rStyle w:val="PlaceholderText"/>
          <w:b/>
          <w:color w:val="000000"/>
        </w:rPr>
      </w:pPr>
      <w:r w:rsidRPr="00440FF9">
        <w:rPr>
          <w:rStyle w:val="PlaceholderText"/>
          <w:b/>
          <w:color w:val="000000"/>
        </w:rPr>
        <w:t>K bodu 3</w:t>
      </w:r>
    </w:p>
    <w:p w:rsidR="006A0F32" w:rsidP="006A0F32">
      <w:pPr>
        <w:bidi w:val="0"/>
        <w:jc w:val="both"/>
        <w:rPr>
          <w:rFonts w:ascii="Times New Roman" w:hAnsi="Times New Roman" w:cs="Calibri"/>
        </w:rPr>
      </w:pPr>
      <w:r w:rsidRPr="00440FF9">
        <w:rPr>
          <w:rFonts w:ascii="Times New Roman" w:hAnsi="Times New Roman" w:cs="Calibri"/>
        </w:rPr>
        <w:t>V súvislosti so zavedením nového pojmu „zárobková činnosť“, novej klasifikácie „zamestnanec“, ako aj s definíciou osobného rozsahu verejného zdravotného poistenia do zdravotnej poisťovne v Slovenskej republike by sa museli prihlásiť (oznamovacie povinnosti) a platiť si preddavky aj osoby (</w:t>
      </w:r>
      <w:r>
        <w:rPr>
          <w:rFonts w:ascii="Times New Roman" w:hAnsi="Times New Roman" w:cs="Calibri"/>
        </w:rPr>
        <w:t>na</w:t>
      </w:r>
      <w:r w:rsidRPr="00440FF9">
        <w:rPr>
          <w:rFonts w:ascii="Times New Roman" w:hAnsi="Times New Roman" w:cs="Calibri"/>
        </w:rPr>
        <w:t>príklad</w:t>
      </w:r>
      <w:r>
        <w:rPr>
          <w:rFonts w:ascii="Times New Roman" w:hAnsi="Times New Roman" w:cs="Calibri"/>
        </w:rPr>
        <w:t xml:space="preserve"> </w:t>
      </w:r>
      <w:r w:rsidRPr="00440FF9">
        <w:rPr>
          <w:rFonts w:ascii="Times New Roman" w:hAnsi="Times New Roman" w:cs="Calibri"/>
        </w:rPr>
        <w:t>USA, Austrália, Rusko a pod.), ktoré sú „štatutármi“ a prichádzajú na územie Slovenskej republiky iba za účelom zasadnutí orgánov, v Slovenskej republiky sa nezdržiavajú a zdravotnú starostlivosť nečerpajú.</w:t>
      </w:r>
    </w:p>
    <w:p w:rsidR="006A0F32" w:rsidRPr="00440FF9" w:rsidP="006A0F32">
      <w:pPr>
        <w:bidi w:val="0"/>
        <w:jc w:val="both"/>
        <w:rPr>
          <w:rStyle w:val="PlaceholderText"/>
          <w:color w:val="000000"/>
        </w:rPr>
      </w:pPr>
    </w:p>
    <w:p w:rsidR="006A0F32" w:rsidRPr="00440FF9" w:rsidP="006A0F32">
      <w:pPr>
        <w:bidi w:val="0"/>
        <w:jc w:val="both"/>
        <w:rPr>
          <w:rStyle w:val="PlaceholderText"/>
          <w:b/>
          <w:color w:val="000000"/>
        </w:rPr>
      </w:pPr>
      <w:r w:rsidRPr="00440FF9">
        <w:rPr>
          <w:rStyle w:val="PlaceholderText"/>
          <w:b/>
          <w:color w:val="000000"/>
        </w:rPr>
        <w:t>K bodu 4</w:t>
      </w:r>
    </w:p>
    <w:p w:rsidR="006A0F32" w:rsidRPr="00A93C2B" w:rsidP="006A0F32">
      <w:pPr>
        <w:bidi w:val="0"/>
        <w:jc w:val="both"/>
        <w:rPr>
          <w:rStyle w:val="PlaceholderText"/>
          <w:color w:val="000000"/>
        </w:rPr>
      </w:pPr>
      <w:r w:rsidRPr="00A93C2B">
        <w:rPr>
          <w:rStyle w:val="PlaceholderText"/>
          <w:color w:val="000000"/>
        </w:rPr>
        <w:t>Prax ukázala, že je po</w:t>
      </w:r>
      <w:r w:rsidRPr="00A93C2B">
        <w:rPr>
          <w:rFonts w:ascii="Times New Roman" w:hAnsi="Times New Roman" w:cs="Calibri"/>
        </w:rPr>
        <w:t>trebné taxatívne vymedziť, že pri každom nepodaní prihlášky (toho istého poistenca) sa má hradiť prvá poskytnutá neodkladná starostlivosť.</w:t>
      </w:r>
    </w:p>
    <w:p w:rsidR="006A0F32" w:rsidP="006A0F32">
      <w:pPr>
        <w:bidi w:val="0"/>
        <w:jc w:val="both"/>
        <w:rPr>
          <w:rStyle w:val="PlaceholderText"/>
          <w:color w:val="000000"/>
        </w:rPr>
      </w:pPr>
    </w:p>
    <w:p w:rsidR="006A0F32" w:rsidRPr="001649F0" w:rsidP="006A0F32">
      <w:pPr>
        <w:bidi w:val="0"/>
        <w:jc w:val="both"/>
        <w:rPr>
          <w:rStyle w:val="PlaceholderText"/>
          <w:b/>
          <w:color w:val="000000"/>
        </w:rPr>
      </w:pPr>
      <w:r w:rsidRPr="001649F0">
        <w:rPr>
          <w:rStyle w:val="PlaceholderText"/>
          <w:b/>
          <w:color w:val="000000"/>
        </w:rPr>
        <w:t>K bodu 5</w:t>
      </w:r>
    </w:p>
    <w:p w:rsidR="006A0F32" w:rsidRPr="00B11B2C" w:rsidP="006A0F32">
      <w:pPr>
        <w:pStyle w:val="BodyText2"/>
        <w:bidi w:val="0"/>
        <w:ind w:firstLine="0"/>
        <w:rPr>
          <w:rFonts w:ascii="Times New Roman" w:hAnsi="Times New Roman"/>
          <w:b w:val="0"/>
        </w:rPr>
      </w:pPr>
      <w:r w:rsidRPr="00B11B2C">
        <w:rPr>
          <w:rFonts w:ascii="Times New Roman" w:hAnsi="Times New Roman" w:cs="Calibri"/>
          <w:b w:val="0"/>
        </w:rPr>
        <w:t>Podľa nariadení EP a Rady 883/2004 a 987/2009 preukazuje poistenec svoj nárok na vecné dávky nárokovým dokladom. V Slovenskej republike nie je poistenec povinný registrovať sa s Európskym preukazom zdravotného poistenia alebo Náhradným certifikátom k EPZP pred poskytnutím zdravotnej starostlivosti v niektorej zdravotnej poisťovni, ale ide priamo k poskytovateľovi, kde sa preukáže nárokovým dokladom. Poskytovateľ môže po poskytnutí zdravotnej starostlivosti fakturovať náklady zdravotnej starostlivosti v mieste pobytu a podkladom pre uplatnenie si pohľadávky je kópia Európskeho preukazu zdravotného poistenia alebo Náhradného certifikátu k EPZP. Ak by sa len opisovali údaje do tlačiva, môže dôjsť k chybe, na ktorú zdravotná poisťovňa nepríde a faktúru zaplatí. Tieto náklady si potom uplatňuje voči príslušnej inštitúcii. Dochádza k situáciám, že príslušná inštitúcia odmieta uhradiť náklady (nesprávne údaje, platnosť dokladu nepokrýva obdobie poskytnutia vecných dávok) a požaduje kópiu dokladu. Ak ho zdravotná poisťovňa nebude mať, náklady príslušná</w:t>
      </w:r>
      <w:r w:rsidRPr="00B11B2C">
        <w:rPr>
          <w:rFonts w:ascii="Times New Roman" w:hAnsi="Times New Roman"/>
          <w:b w:val="0"/>
        </w:rPr>
        <w:t xml:space="preserve"> </w:t>
      </w:r>
      <w:r w:rsidRPr="00B11B2C">
        <w:rPr>
          <w:rFonts w:ascii="Times New Roman" w:hAnsi="Times New Roman" w:cs="Calibri"/>
          <w:b w:val="0"/>
        </w:rPr>
        <w:t>inštitúcia neuhradí a slovenská zdravotná poisťovňa bude musieť žiadať vrátenie zaplatených finančných prostriedkov od poskytovateľa.  </w:t>
      </w:r>
    </w:p>
    <w:p w:rsidR="006A0F32" w:rsidRPr="00B11B2C" w:rsidP="006A0F32">
      <w:pPr>
        <w:pStyle w:val="BodyText2"/>
        <w:bidi w:val="0"/>
        <w:ind w:firstLine="0"/>
        <w:rPr>
          <w:rFonts w:ascii="Times New Roman" w:hAnsi="Times New Roman"/>
          <w:b w:val="0"/>
        </w:rPr>
      </w:pPr>
    </w:p>
    <w:p w:rsidR="006A0F32" w:rsidRPr="002853F6" w:rsidP="006A0F32">
      <w:pPr>
        <w:pStyle w:val="BodyText2"/>
        <w:bidi w:val="0"/>
        <w:ind w:firstLine="0"/>
        <w:rPr>
          <w:rFonts w:ascii="Times New Roman" w:hAnsi="Times New Roman"/>
        </w:rPr>
      </w:pPr>
      <w:r w:rsidRPr="002853F6">
        <w:rPr>
          <w:rFonts w:ascii="Times New Roman" w:hAnsi="Times New Roman"/>
        </w:rPr>
        <w:t>K bodu 6</w:t>
      </w:r>
    </w:p>
    <w:p w:rsidR="006A0F32" w:rsidRPr="001649F0" w:rsidP="006A0F32">
      <w:pPr>
        <w:bidi w:val="0"/>
        <w:jc w:val="both"/>
        <w:rPr>
          <w:rStyle w:val="PlaceholderText"/>
          <w:color w:val="000000"/>
        </w:rPr>
      </w:pPr>
      <w:r w:rsidRPr="00A93C2B">
        <w:rPr>
          <w:rStyle w:val="PlaceholderText"/>
          <w:color w:val="000000"/>
        </w:rPr>
        <w:t>Zavádza sa nový</w:t>
      </w:r>
      <w:r w:rsidRPr="001649F0">
        <w:rPr>
          <w:rStyle w:val="PlaceholderText"/>
          <w:color w:val="000000"/>
        </w:rPr>
        <w:t xml:space="preserve"> pojem „zárobková činnosť“, podľa ktorej sa za zárobkovú činnosť považuje činnosť vyplývajúca z právnych vzťahov, ktoré po prvé odôvodňujú vznik nároku na plnenie zdaňované podľa § 5 </w:t>
      </w:r>
      <w:r w:rsidRPr="00D7431C">
        <w:rPr>
          <w:rStyle w:val="PlaceholderText"/>
          <w:color w:val="000000"/>
        </w:rPr>
        <w:t xml:space="preserve">zákona </w:t>
      </w:r>
      <w:r w:rsidRPr="00D7431C">
        <w:rPr>
          <w:rFonts w:ascii="Times New Roman" w:hAnsi="Times New Roman"/>
        </w:rPr>
        <w:t>č. 595/2003 Z.z. o dani z príjmov v znení neskorších predpisov (ďalej len „zákon o dani z príjmov“)</w:t>
      </w:r>
      <w:r>
        <w:rPr>
          <w:rStyle w:val="PlaceholderText"/>
          <w:color w:val="000000"/>
        </w:rPr>
        <w:t xml:space="preserve"> </w:t>
      </w:r>
      <w:r w:rsidRPr="001649F0">
        <w:rPr>
          <w:rStyle w:val="PlaceholderText"/>
          <w:color w:val="000000"/>
        </w:rPr>
        <w:t xml:space="preserve">a po druhé odôvodňujú dosahovanie príjmu zdaňovaného ako príjem z podnikania a z inej samostatne zárobkovej činnosti podľa § 6 zákona o dani z príjmov. </w:t>
      </w:r>
      <w:r>
        <w:rPr>
          <w:rStyle w:val="PlaceholderText"/>
          <w:color w:val="000000"/>
        </w:rPr>
        <w:t xml:space="preserve">Do zárobkovej činnosti patrí aj príjem zdaňovaný podľa § 7 a 8 zákona o dani z príjmov a dividendy podľa § 3 ods. 2 zákona o dani z príjmov. </w:t>
      </w:r>
    </w:p>
    <w:p w:rsidR="006A0F32" w:rsidP="006A0F32">
      <w:pPr>
        <w:pStyle w:val="BodyText2"/>
        <w:bidi w:val="0"/>
        <w:ind w:firstLine="0"/>
        <w:rPr>
          <w:rFonts w:ascii="Times New Roman" w:hAnsi="Times New Roman"/>
          <w:b w:val="0"/>
        </w:rPr>
      </w:pPr>
    </w:p>
    <w:p w:rsidR="006A0F32" w:rsidRPr="002853F6" w:rsidP="006A0F32">
      <w:pPr>
        <w:pStyle w:val="BodyText2"/>
        <w:bidi w:val="0"/>
        <w:ind w:firstLine="0"/>
        <w:rPr>
          <w:rFonts w:ascii="Times New Roman" w:hAnsi="Times New Roman"/>
        </w:rPr>
      </w:pPr>
      <w:r w:rsidRPr="002853F6">
        <w:rPr>
          <w:rFonts w:ascii="Times New Roman" w:hAnsi="Times New Roman"/>
        </w:rPr>
        <w:t>K bodu 7</w:t>
      </w:r>
    </w:p>
    <w:p w:rsidR="006A0F32" w:rsidRPr="001649F0" w:rsidP="006A0F32">
      <w:pPr>
        <w:pStyle w:val="BodyText2"/>
        <w:bidi w:val="0"/>
        <w:ind w:firstLine="0"/>
        <w:rPr>
          <w:rFonts w:ascii="Times New Roman" w:hAnsi="Times New Roman"/>
          <w:b w:val="0"/>
        </w:rPr>
      </w:pPr>
      <w:r w:rsidRPr="001649F0">
        <w:rPr>
          <w:rFonts w:ascii="Times New Roman" w:hAnsi="Times New Roman"/>
          <w:b w:val="0"/>
        </w:rPr>
        <w:t>Návrh zákona definuje po novom platiteľov verejného zdravotného poistenia. V porovnaní so súčasnou právnou úpravou v záujme zjednodušenia sa upúšťa od taxatívneho uvedenia fyzických osôb, ktoré patria do okruhu zamestnancov a samostatne zárobkov činných osôb. Navrhuje sa, aby fyzické osoby, ktoré sú povinné odvádzať daň z príjmu podľa § 5 a 6 zákona č. 595/2003 Z.z. o dani z príjmov v znení neskorších predpisov (ďalej len „zákon o dani z príjmov“), boli z tej zárobkovej činnosti, z ktorej majú príjem, ktorý je zdaňovaný ako príjem zo závislej činnosti alebo príjem zo samostatne zárobkovej činnosti, boli verejne zdravotne poistení a boli povinní platiť poistné na verejné zdravotné poistenie.</w:t>
      </w:r>
    </w:p>
    <w:p w:rsidR="006A0F32" w:rsidRPr="001649F0" w:rsidP="006A0F32">
      <w:pPr>
        <w:pStyle w:val="BodyText2"/>
        <w:bidi w:val="0"/>
        <w:ind w:firstLine="0"/>
        <w:rPr>
          <w:rFonts w:ascii="Times New Roman" w:hAnsi="Times New Roman"/>
          <w:b w:val="0"/>
        </w:rPr>
      </w:pPr>
    </w:p>
    <w:p w:rsidR="006A0F32" w:rsidRPr="00D7431C" w:rsidP="006A0F32">
      <w:pPr>
        <w:pStyle w:val="BodyText2"/>
        <w:bidi w:val="0"/>
        <w:ind w:firstLine="0"/>
        <w:rPr>
          <w:rFonts w:ascii="Times New Roman" w:hAnsi="Times New Roman"/>
        </w:rPr>
      </w:pPr>
      <w:r w:rsidRPr="00D7431C">
        <w:rPr>
          <w:rFonts w:ascii="Times New Roman" w:hAnsi="Times New Roman"/>
        </w:rPr>
        <w:t xml:space="preserve">K bodom </w:t>
      </w:r>
      <w:smartTag w:uri="urn:schemas-microsoft-com:office:smarttags" w:element="metricconverter">
        <w:smartTagPr>
          <w:attr w:name="ProductID" w:val="8 a"/>
        </w:smartTagPr>
        <w:r w:rsidRPr="00D7431C">
          <w:rPr>
            <w:rFonts w:ascii="Times New Roman" w:hAnsi="Times New Roman"/>
          </w:rPr>
          <w:t>8 a</w:t>
        </w:r>
      </w:smartTag>
      <w:r w:rsidRPr="00D7431C">
        <w:rPr>
          <w:rFonts w:ascii="Times New Roman" w:hAnsi="Times New Roman"/>
        </w:rPr>
        <w:t xml:space="preserve"> 9</w:t>
      </w:r>
    </w:p>
    <w:p w:rsidR="006A0F32" w:rsidRPr="00D7431C" w:rsidP="006A0F32">
      <w:pPr>
        <w:pStyle w:val="BodyText2"/>
        <w:bidi w:val="0"/>
        <w:ind w:firstLine="0"/>
        <w:rPr>
          <w:rFonts w:ascii="Times New Roman" w:hAnsi="Times New Roman"/>
          <w:b w:val="0"/>
        </w:rPr>
      </w:pPr>
      <w:r w:rsidRPr="00D7431C">
        <w:rPr>
          <w:rFonts w:ascii="Times New Roman" w:hAnsi="Times New Roman"/>
          <w:b w:val="0"/>
        </w:rPr>
        <w:t xml:space="preserve">Legislatívno-technická úprava § 12, ktorá reflektuje na úpravy § </w:t>
      </w:r>
      <w:smartTag w:uri="urn:schemas-microsoft-com:office:smarttags" w:element="metricconverter">
        <w:smartTagPr>
          <w:attr w:name="ProductID" w:val="13 a"/>
        </w:smartTagPr>
        <w:r w:rsidRPr="00D7431C">
          <w:rPr>
            <w:rFonts w:ascii="Times New Roman" w:hAnsi="Times New Roman"/>
            <w:b w:val="0"/>
          </w:rPr>
          <w:t>13 a</w:t>
        </w:r>
      </w:smartTag>
      <w:r w:rsidRPr="00D7431C">
        <w:rPr>
          <w:rFonts w:ascii="Times New Roman" w:hAnsi="Times New Roman"/>
          <w:b w:val="0"/>
        </w:rPr>
        <w:t xml:space="preserve"> odstraňuje sa odkaz 40.</w:t>
      </w:r>
    </w:p>
    <w:p w:rsidR="006A0F32" w:rsidRPr="00D7431C" w:rsidP="006A0F32">
      <w:pPr>
        <w:pStyle w:val="BodyText2"/>
        <w:bidi w:val="0"/>
        <w:ind w:firstLine="0"/>
        <w:rPr>
          <w:rFonts w:ascii="Times New Roman" w:hAnsi="Times New Roman"/>
          <w:b w:val="0"/>
        </w:rPr>
      </w:pPr>
    </w:p>
    <w:p w:rsidR="006A0F32" w:rsidRPr="00D7431C" w:rsidP="006A0F32">
      <w:pPr>
        <w:pStyle w:val="BodyText2"/>
        <w:bidi w:val="0"/>
        <w:ind w:firstLine="0"/>
        <w:rPr>
          <w:rFonts w:ascii="Times New Roman" w:hAnsi="Times New Roman"/>
        </w:rPr>
      </w:pPr>
      <w:r w:rsidRPr="00D7431C">
        <w:rPr>
          <w:rFonts w:ascii="Times New Roman" w:hAnsi="Times New Roman"/>
        </w:rPr>
        <w:t>K bodu 10</w:t>
      </w:r>
    </w:p>
    <w:p w:rsidR="006A0F32" w:rsidRPr="00D7431C" w:rsidP="006A0F32">
      <w:pPr>
        <w:pStyle w:val="BodyText2"/>
        <w:bidi w:val="0"/>
        <w:ind w:firstLine="0"/>
        <w:rPr>
          <w:rFonts w:ascii="Times New Roman" w:hAnsi="Times New Roman"/>
          <w:b w:val="0"/>
        </w:rPr>
      </w:pPr>
      <w:r w:rsidRPr="00D7431C">
        <w:rPr>
          <w:rFonts w:ascii="Times New Roman" w:hAnsi="Times New Roman"/>
          <w:b w:val="0"/>
        </w:rPr>
        <w:t>Vzhľadom na rozšírenie vymeriavacieho základu o dividendy sa platitelia sa sadzby poistného rozširujú o novú kategóriu - právnickú osobu, ktorá vypláca dividendy 14% z vymeriavacieho základu.</w:t>
      </w:r>
    </w:p>
    <w:p w:rsidR="006A0F32" w:rsidRPr="00D7431C" w:rsidP="006A0F32">
      <w:pPr>
        <w:pStyle w:val="BodyText2"/>
        <w:bidi w:val="0"/>
        <w:ind w:firstLine="0"/>
        <w:rPr>
          <w:rFonts w:ascii="Times New Roman" w:hAnsi="Times New Roman"/>
          <w:b w:val="0"/>
        </w:rPr>
      </w:pPr>
    </w:p>
    <w:p w:rsidR="006A0F32" w:rsidRPr="00D7431C" w:rsidP="006A0F32">
      <w:pPr>
        <w:pStyle w:val="BodyText2"/>
        <w:bidi w:val="0"/>
        <w:ind w:firstLine="0"/>
        <w:rPr>
          <w:rFonts w:ascii="Times New Roman" w:hAnsi="Times New Roman"/>
        </w:rPr>
      </w:pPr>
      <w:r>
        <w:rPr>
          <w:rFonts w:ascii="Times New Roman" w:hAnsi="Times New Roman"/>
        </w:rPr>
        <w:t>K bodu 11</w:t>
      </w:r>
    </w:p>
    <w:p w:rsidR="006A0F32" w:rsidRPr="00D7431C" w:rsidP="006A0F32">
      <w:pPr>
        <w:pStyle w:val="BodyText2"/>
        <w:bidi w:val="0"/>
        <w:ind w:firstLine="0"/>
        <w:rPr>
          <w:rFonts w:ascii="Times New Roman" w:hAnsi="Times New Roman"/>
          <w:b w:val="0"/>
        </w:rPr>
      </w:pPr>
      <w:r w:rsidRPr="00D7431C">
        <w:rPr>
          <w:rFonts w:ascii="Times New Roman" w:hAnsi="Times New Roman"/>
          <w:b w:val="0"/>
        </w:rPr>
        <w:t>Vzhľadom na v praxi pretrvávajúce interpretačné problémy s definíciou osoby so zdravotným postihnutím sa zaviedla jednoznačná definícia tejto osoby.</w:t>
      </w:r>
    </w:p>
    <w:p w:rsidR="006A0F32" w:rsidRPr="00D7431C" w:rsidP="006A0F32">
      <w:pPr>
        <w:pStyle w:val="BodyText2"/>
        <w:bidi w:val="0"/>
        <w:ind w:firstLine="0"/>
        <w:rPr>
          <w:rFonts w:ascii="Times New Roman" w:hAnsi="Times New Roman"/>
          <w:b w:val="0"/>
        </w:rPr>
      </w:pPr>
    </w:p>
    <w:p w:rsidR="006A0F32" w:rsidRPr="00D7431C" w:rsidP="006A0F32">
      <w:pPr>
        <w:pStyle w:val="BodyText2"/>
        <w:bidi w:val="0"/>
        <w:ind w:firstLine="0"/>
        <w:rPr>
          <w:rFonts w:ascii="Times New Roman" w:hAnsi="Times New Roman"/>
        </w:rPr>
      </w:pPr>
      <w:r>
        <w:rPr>
          <w:rFonts w:ascii="Times New Roman" w:hAnsi="Times New Roman"/>
        </w:rPr>
        <w:t>K bodu 12</w:t>
      </w:r>
    </w:p>
    <w:p w:rsidR="006A0F32" w:rsidRPr="001649F0" w:rsidP="006A0F32">
      <w:pPr>
        <w:bidi w:val="0"/>
        <w:jc w:val="both"/>
        <w:rPr>
          <w:rFonts w:ascii="Times New Roman" w:hAnsi="Times New Roman"/>
        </w:rPr>
      </w:pPr>
      <w:r w:rsidRPr="00D7431C">
        <w:rPr>
          <w:rFonts w:ascii="Times New Roman" w:hAnsi="Times New Roman"/>
          <w:bCs/>
        </w:rPr>
        <w:t>Na účely verejného zdravotného poistenia sa zjednocuje s daňovým zákonom a sociálnymi zákonmi vo vymeriavacích základoch (príjem definovaný podľa</w:t>
      </w:r>
      <w:r>
        <w:rPr>
          <w:rFonts w:ascii="Times New Roman" w:hAnsi="Times New Roman"/>
          <w:bCs/>
        </w:rPr>
        <w:t xml:space="preserve"> § 5 a 6 zákona o dani z príjmov</w:t>
      </w:r>
      <w:r>
        <w:rPr>
          <w:rFonts w:ascii="Times New Roman" w:hAnsi="Times New Roman"/>
        </w:rPr>
        <w:t>. Vy</w:t>
      </w:r>
      <w:r w:rsidRPr="001649F0">
        <w:rPr>
          <w:rFonts w:ascii="Times New Roman" w:hAnsi="Times New Roman"/>
        </w:rPr>
        <w:t>meriavacím základom na platenie odvodov u</w:t>
      </w:r>
      <w:r w:rsidRPr="007D4A0E">
        <w:rPr>
          <w:rFonts w:ascii="Times New Roman" w:hAnsi="Times New Roman"/>
        </w:rPr>
        <w:t xml:space="preserve"> zamestnanca</w:t>
      </w:r>
      <w:r w:rsidRPr="001649F0">
        <w:rPr>
          <w:rFonts w:ascii="Times New Roman" w:hAnsi="Times New Roman"/>
          <w:b/>
        </w:rPr>
        <w:t xml:space="preserve"> </w:t>
      </w:r>
      <w:r w:rsidRPr="001649F0">
        <w:rPr>
          <w:rFonts w:ascii="Times New Roman" w:hAnsi="Times New Roman"/>
        </w:rPr>
        <w:t>sa stane jeho príjem zdaňovaný ako príjem zo závislej činnosti</w:t>
      </w:r>
      <w:r>
        <w:rPr>
          <w:rFonts w:ascii="Times New Roman" w:hAnsi="Times New Roman"/>
        </w:rPr>
        <w:t>,</w:t>
      </w:r>
      <w:r w:rsidRPr="001649F0">
        <w:rPr>
          <w:rFonts w:ascii="Times New Roman" w:hAnsi="Times New Roman"/>
        </w:rPr>
        <w:t xml:space="preserve"> teda aj napr. odchodné, odstupné, suma zdaňovaná v súvislosti s používaním motorového vozidla zamestnávateľa, časť zamestnaneckej opcie poskytnutej zamestnancovi a pod.</w:t>
      </w:r>
      <w:r>
        <w:rPr>
          <w:rFonts w:ascii="Times New Roman" w:hAnsi="Times New Roman"/>
        </w:rPr>
        <w:t xml:space="preserve"> Vymeriavací </w:t>
      </w:r>
      <w:r w:rsidRPr="001649F0">
        <w:rPr>
          <w:rFonts w:ascii="Times New Roman" w:hAnsi="Times New Roman"/>
        </w:rPr>
        <w:t xml:space="preserve">základu pre samostatne zárobkovo činnú osobu </w:t>
      </w:r>
      <w:r>
        <w:rPr>
          <w:rFonts w:ascii="Times New Roman" w:hAnsi="Times New Roman"/>
        </w:rPr>
        <w:t>ostáva v pôvodnom znení. Z</w:t>
      </w:r>
      <w:r w:rsidRPr="001649F0">
        <w:rPr>
          <w:rFonts w:ascii="Times New Roman" w:hAnsi="Times New Roman"/>
        </w:rPr>
        <w:t>av</w:t>
      </w:r>
      <w:r>
        <w:rPr>
          <w:rFonts w:ascii="Times New Roman" w:hAnsi="Times New Roman"/>
        </w:rPr>
        <w:t>ádza sa</w:t>
      </w:r>
      <w:r w:rsidRPr="001649F0">
        <w:rPr>
          <w:rFonts w:ascii="Times New Roman" w:hAnsi="Times New Roman"/>
        </w:rPr>
        <w:t xml:space="preserve"> rovnak</w:t>
      </w:r>
      <w:r>
        <w:rPr>
          <w:rFonts w:ascii="Times New Roman" w:hAnsi="Times New Roman"/>
        </w:rPr>
        <w:t xml:space="preserve">ý minimálny základ </w:t>
      </w:r>
      <w:r w:rsidRPr="001649F0">
        <w:rPr>
          <w:rFonts w:ascii="Times New Roman" w:hAnsi="Times New Roman"/>
        </w:rPr>
        <w:t>pre samostatne zárobkovo činné osoby a tzv.</w:t>
      </w:r>
      <w:r w:rsidR="00721461">
        <w:rPr>
          <w:rFonts w:ascii="Times New Roman" w:hAnsi="Times New Roman"/>
        </w:rPr>
        <w:t xml:space="preserve"> </w:t>
      </w:r>
      <w:r w:rsidRPr="001649F0">
        <w:rPr>
          <w:rFonts w:ascii="Times New Roman" w:hAnsi="Times New Roman"/>
        </w:rPr>
        <w:t>dobrovoľne nezamestnaných osôb; minimálna platba preddavkov na poistné dobrovoľne nezamestnaných osôb bude 14% zo 4</w:t>
      </w:r>
      <w:r>
        <w:rPr>
          <w:rFonts w:ascii="Times New Roman" w:hAnsi="Times New Roman"/>
        </w:rPr>
        <w:t xml:space="preserve">4,2% z priemernej mesačnej mzdy. Maximálny </w:t>
      </w:r>
      <w:r w:rsidRPr="001649F0">
        <w:rPr>
          <w:rFonts w:ascii="Times New Roman" w:hAnsi="Times New Roman"/>
        </w:rPr>
        <w:t>vymeriavac</w:t>
      </w:r>
      <w:r>
        <w:rPr>
          <w:rFonts w:ascii="Times New Roman" w:hAnsi="Times New Roman"/>
        </w:rPr>
        <w:t>í</w:t>
      </w:r>
      <w:r w:rsidRPr="001649F0">
        <w:rPr>
          <w:rFonts w:ascii="Times New Roman" w:hAnsi="Times New Roman"/>
        </w:rPr>
        <w:t xml:space="preserve"> základ </w:t>
      </w:r>
      <w:r>
        <w:rPr>
          <w:rFonts w:ascii="Times New Roman" w:hAnsi="Times New Roman"/>
        </w:rPr>
        <w:t xml:space="preserve">ostáva </w:t>
      </w:r>
      <w:r w:rsidRPr="001649F0">
        <w:rPr>
          <w:rFonts w:ascii="Times New Roman" w:hAnsi="Times New Roman"/>
        </w:rPr>
        <w:t xml:space="preserve">na </w:t>
      </w:r>
      <w:r>
        <w:rPr>
          <w:rFonts w:ascii="Times New Roman" w:hAnsi="Times New Roman"/>
        </w:rPr>
        <w:t>3</w:t>
      </w:r>
      <w:r w:rsidRPr="001649F0">
        <w:rPr>
          <w:rFonts w:ascii="Times New Roman" w:hAnsi="Times New Roman"/>
        </w:rPr>
        <w:t xml:space="preserve">-násobok priemernej </w:t>
      </w:r>
      <w:r w:rsidR="00721461">
        <w:rPr>
          <w:rFonts w:ascii="Times New Roman" w:hAnsi="Times New Roman"/>
        </w:rPr>
        <w:t xml:space="preserve">mesačnej </w:t>
      </w:r>
      <w:r w:rsidRPr="001649F0">
        <w:rPr>
          <w:rFonts w:ascii="Times New Roman" w:hAnsi="Times New Roman"/>
        </w:rPr>
        <w:t>mzdy.</w:t>
      </w:r>
      <w:r>
        <w:rPr>
          <w:rFonts w:ascii="Times New Roman" w:hAnsi="Times New Roman"/>
        </w:rPr>
        <w:t xml:space="preserve"> Stanovuje sa vymeriavací základ pre osoby, ktoré majú príjem podľa § 7 a 8 zákona o dani z príjmov ako aj vymeriavací základ pre osoby, ktoré vyplácajú dividendy.</w:t>
      </w:r>
    </w:p>
    <w:p w:rsidR="006A0F32" w:rsidP="006A0F32">
      <w:pPr>
        <w:bidi w:val="0"/>
        <w:jc w:val="both"/>
        <w:rPr>
          <w:rFonts w:ascii="Times New Roman" w:hAnsi="Times New Roman"/>
        </w:rPr>
      </w:pPr>
    </w:p>
    <w:p w:rsidR="006A0F32" w:rsidRPr="001649F0" w:rsidP="006A0F32">
      <w:pPr>
        <w:bidi w:val="0"/>
        <w:jc w:val="both"/>
        <w:rPr>
          <w:rFonts w:ascii="Times New Roman" w:hAnsi="Times New Roman"/>
          <w:b/>
        </w:rPr>
      </w:pPr>
      <w:r>
        <w:rPr>
          <w:rFonts w:ascii="Times New Roman" w:hAnsi="Times New Roman"/>
          <w:b/>
        </w:rPr>
        <w:t>K bodu 13</w:t>
      </w:r>
    </w:p>
    <w:p w:rsidR="006A0F32" w:rsidRPr="001649F0" w:rsidP="006A0F32">
      <w:pPr>
        <w:bidi w:val="0"/>
        <w:jc w:val="both"/>
        <w:rPr>
          <w:rFonts w:ascii="Times New Roman" w:hAnsi="Times New Roman"/>
        </w:rPr>
      </w:pPr>
      <w:r w:rsidRPr="001649F0">
        <w:rPr>
          <w:rFonts w:ascii="Times New Roman" w:hAnsi="Times New Roman"/>
        </w:rPr>
        <w:t>Precizuje sa vznik povinnosti platiť poistné na verejné zdravotné poistenie.</w:t>
      </w:r>
    </w:p>
    <w:p w:rsidR="006A0F32" w:rsidP="006A0F32">
      <w:pPr>
        <w:bidi w:val="0"/>
        <w:jc w:val="both"/>
        <w:rPr>
          <w:rFonts w:ascii="Times New Roman" w:hAnsi="Times New Roman"/>
          <w:b/>
        </w:rPr>
      </w:pPr>
    </w:p>
    <w:p w:rsidR="006A0F32" w:rsidRPr="001649F0" w:rsidP="006A0F32">
      <w:pPr>
        <w:bidi w:val="0"/>
        <w:jc w:val="both"/>
        <w:rPr>
          <w:rFonts w:ascii="Times New Roman" w:hAnsi="Times New Roman"/>
          <w:b/>
        </w:rPr>
      </w:pPr>
      <w:r>
        <w:rPr>
          <w:rFonts w:ascii="Times New Roman" w:hAnsi="Times New Roman"/>
          <w:b/>
        </w:rPr>
        <w:t>K bodu 14</w:t>
      </w:r>
    </w:p>
    <w:p w:rsidR="006A0F32" w:rsidRPr="001649F0" w:rsidP="006A0F32">
      <w:pPr>
        <w:bidi w:val="0"/>
        <w:jc w:val="both"/>
        <w:rPr>
          <w:rStyle w:val="PlaceholderText"/>
          <w:color w:val="000000"/>
        </w:rPr>
      </w:pPr>
      <w:r w:rsidRPr="001649F0">
        <w:rPr>
          <w:rStyle w:val="PlaceholderText"/>
          <w:color w:val="000000"/>
        </w:rPr>
        <w:t>V nadväznosti na zmeny vymeriavacieho základu sa spresňuje výška preddavkov platiteľov poistného na verejné zdravotné poistenie.</w:t>
      </w:r>
    </w:p>
    <w:p w:rsidR="006A0F32" w:rsidRPr="001649F0" w:rsidP="006A0F32">
      <w:pPr>
        <w:bidi w:val="0"/>
        <w:jc w:val="both"/>
        <w:rPr>
          <w:rStyle w:val="PlaceholderText"/>
          <w:color w:val="000000"/>
        </w:rPr>
      </w:pPr>
    </w:p>
    <w:p w:rsidR="006A0F32" w:rsidRPr="001649F0" w:rsidP="006A0F32">
      <w:pPr>
        <w:bidi w:val="0"/>
        <w:jc w:val="both"/>
        <w:rPr>
          <w:rStyle w:val="PlaceholderText"/>
          <w:b/>
          <w:color w:val="000000"/>
        </w:rPr>
      </w:pPr>
      <w:r>
        <w:rPr>
          <w:rStyle w:val="PlaceholderText"/>
          <w:b/>
          <w:color w:val="000000"/>
        </w:rPr>
        <w:t>K bodu 15</w:t>
      </w:r>
    </w:p>
    <w:p w:rsidR="006A0F32" w:rsidRPr="001649F0" w:rsidP="006A0F32">
      <w:pPr>
        <w:bidi w:val="0"/>
        <w:jc w:val="both"/>
        <w:rPr>
          <w:rStyle w:val="PlaceholderText"/>
          <w:color w:val="000000"/>
        </w:rPr>
      </w:pPr>
      <w:r w:rsidRPr="001649F0">
        <w:rPr>
          <w:rStyle w:val="PlaceholderText"/>
          <w:color w:val="000000"/>
        </w:rPr>
        <w:t>Legislatívno-technická úprava.</w:t>
      </w:r>
    </w:p>
    <w:p w:rsidR="006A0F32" w:rsidRPr="001649F0" w:rsidP="006A0F32">
      <w:pPr>
        <w:bidi w:val="0"/>
        <w:jc w:val="both"/>
        <w:rPr>
          <w:rStyle w:val="PlaceholderText"/>
          <w:color w:val="000000"/>
        </w:rPr>
      </w:pPr>
    </w:p>
    <w:p w:rsidR="006A0F32" w:rsidRPr="001649F0" w:rsidP="006A0F32">
      <w:pPr>
        <w:bidi w:val="0"/>
        <w:jc w:val="both"/>
        <w:rPr>
          <w:rStyle w:val="PlaceholderText"/>
          <w:b/>
          <w:color w:val="000000"/>
        </w:rPr>
      </w:pPr>
      <w:r>
        <w:rPr>
          <w:rStyle w:val="PlaceholderText"/>
          <w:b/>
          <w:color w:val="000000"/>
        </w:rPr>
        <w:t>K bodu 16</w:t>
      </w:r>
    </w:p>
    <w:p w:rsidR="006A0F32" w:rsidRPr="001649F0" w:rsidP="006A0F32">
      <w:pPr>
        <w:bidi w:val="0"/>
        <w:jc w:val="both"/>
        <w:rPr>
          <w:rStyle w:val="PlaceholderText"/>
          <w:color w:val="000000"/>
        </w:rPr>
      </w:pPr>
      <w:r w:rsidRPr="001649F0">
        <w:rPr>
          <w:rStyle w:val="PlaceholderText"/>
          <w:color w:val="000000"/>
        </w:rPr>
        <w:t>V nadväznosti na zmeny vymeriavacieho základu sa stanovuje minimálna a maximálna výška preddavkov platiteľov poistného na verejné zdravotné poistenie.</w:t>
      </w:r>
    </w:p>
    <w:p w:rsidR="006A0F32" w:rsidRPr="001649F0" w:rsidP="006A0F32">
      <w:pPr>
        <w:bidi w:val="0"/>
        <w:jc w:val="both"/>
        <w:rPr>
          <w:rStyle w:val="PlaceholderText"/>
          <w:color w:val="000000"/>
        </w:rPr>
      </w:pPr>
    </w:p>
    <w:p w:rsidR="006A0F32" w:rsidRPr="001649F0" w:rsidP="006A0F32">
      <w:pPr>
        <w:bidi w:val="0"/>
        <w:jc w:val="both"/>
        <w:rPr>
          <w:rStyle w:val="PlaceholderText"/>
          <w:b/>
          <w:color w:val="000000"/>
        </w:rPr>
      </w:pPr>
      <w:r>
        <w:rPr>
          <w:rStyle w:val="PlaceholderText"/>
          <w:b/>
          <w:color w:val="000000"/>
        </w:rPr>
        <w:t>K bodu 17</w:t>
      </w:r>
    </w:p>
    <w:p w:rsidR="006A0F32" w:rsidRPr="001649F0" w:rsidP="006A0F32">
      <w:pPr>
        <w:bidi w:val="0"/>
        <w:jc w:val="both"/>
        <w:rPr>
          <w:rStyle w:val="PlaceholderText"/>
          <w:color w:val="000000"/>
        </w:rPr>
      </w:pPr>
      <w:r w:rsidRPr="001649F0">
        <w:rPr>
          <w:rStyle w:val="PlaceholderText"/>
          <w:color w:val="000000"/>
        </w:rPr>
        <w:t>Legislatívno-technická úprava v nadväznosti na zmeny v § 11 ods. 7.</w:t>
      </w:r>
    </w:p>
    <w:p w:rsidR="006A0F32" w:rsidRPr="001649F0" w:rsidP="006A0F32">
      <w:pPr>
        <w:bidi w:val="0"/>
        <w:jc w:val="both"/>
        <w:rPr>
          <w:rStyle w:val="PlaceholderText"/>
          <w:color w:val="000000"/>
        </w:rPr>
      </w:pPr>
    </w:p>
    <w:p w:rsidR="006A0F32" w:rsidRPr="001649F0" w:rsidP="006A0F32">
      <w:pPr>
        <w:bidi w:val="0"/>
        <w:jc w:val="both"/>
        <w:rPr>
          <w:rStyle w:val="PlaceholderText"/>
          <w:b/>
          <w:color w:val="000000"/>
        </w:rPr>
      </w:pPr>
      <w:r w:rsidRPr="001649F0">
        <w:rPr>
          <w:rStyle w:val="PlaceholderText"/>
          <w:b/>
          <w:color w:val="000000"/>
        </w:rPr>
        <w:t>K bodu 1</w:t>
      </w:r>
      <w:r>
        <w:rPr>
          <w:rStyle w:val="PlaceholderText"/>
          <w:b/>
          <w:color w:val="000000"/>
        </w:rPr>
        <w:t>8</w:t>
      </w:r>
    </w:p>
    <w:p w:rsidR="006A0F32" w:rsidRPr="001649F0" w:rsidP="006A0F32">
      <w:pPr>
        <w:bidi w:val="0"/>
        <w:jc w:val="both"/>
        <w:rPr>
          <w:rStyle w:val="PlaceholderText"/>
          <w:color w:val="000000"/>
        </w:rPr>
      </w:pPr>
      <w:r w:rsidRPr="001649F0">
        <w:rPr>
          <w:rStyle w:val="PlaceholderText"/>
          <w:color w:val="000000"/>
        </w:rPr>
        <w:t>Návrh zákona rieši ako platiť preddavky na verejné zdravotné poistenia v prípade, kedy samostatne zárobkovo činná osoba</w:t>
      </w:r>
    </w:p>
    <w:p w:rsidR="006A0F32" w:rsidRPr="001649F0" w:rsidP="006A0F32">
      <w:pPr>
        <w:numPr>
          <w:ilvl w:val="2"/>
          <w:numId w:val="1"/>
        </w:numPr>
        <w:tabs>
          <w:tab w:val="num" w:pos="540"/>
          <w:tab w:val="clear" w:pos="2340"/>
        </w:tabs>
        <w:bidi w:val="0"/>
        <w:ind w:left="540" w:hanging="540"/>
        <w:jc w:val="both"/>
        <w:rPr>
          <w:rStyle w:val="PlaceholderText"/>
          <w:color w:val="000000"/>
        </w:rPr>
      </w:pPr>
      <w:r w:rsidRPr="001649F0">
        <w:rPr>
          <w:rStyle w:val="PlaceholderText"/>
          <w:color w:val="000000"/>
        </w:rPr>
        <w:t xml:space="preserve">pozastavila prevádzkovanie živnosť a následne v tom istom roku ju obnovila, </w:t>
      </w:r>
    </w:p>
    <w:p w:rsidR="006A0F32" w:rsidRPr="001649F0" w:rsidP="006A0F32">
      <w:pPr>
        <w:numPr>
          <w:ilvl w:val="2"/>
          <w:numId w:val="1"/>
        </w:numPr>
        <w:tabs>
          <w:tab w:val="num" w:pos="540"/>
          <w:tab w:val="clear" w:pos="2340"/>
        </w:tabs>
        <w:bidi w:val="0"/>
        <w:ind w:left="540" w:hanging="540"/>
        <w:jc w:val="both"/>
        <w:rPr>
          <w:rStyle w:val="PlaceholderText"/>
          <w:color w:val="000000"/>
        </w:rPr>
      </w:pPr>
      <w:r w:rsidRPr="001649F0">
        <w:rPr>
          <w:rStyle w:val="PlaceholderText"/>
          <w:color w:val="000000"/>
        </w:rPr>
        <w:t>nemusela podať ročné zúčtovanie zdravotného poistenia.</w:t>
      </w:r>
    </w:p>
    <w:p w:rsidR="006A0F32" w:rsidRPr="001649F0" w:rsidP="006A0F32">
      <w:pPr>
        <w:bidi w:val="0"/>
        <w:jc w:val="both"/>
        <w:rPr>
          <w:rStyle w:val="PlaceholderText"/>
          <w:color w:val="000000"/>
        </w:rPr>
      </w:pPr>
      <w:r w:rsidRPr="001649F0">
        <w:rPr>
          <w:rStyle w:val="PlaceholderText"/>
          <w:color w:val="000000"/>
        </w:rPr>
        <w:t>Taktiež návrh rieši situáciu, kedy osoba nie je povinná podať daňové priznanie podľa zákona o dani z príjmov.</w:t>
      </w:r>
    </w:p>
    <w:p w:rsidR="006A0F32" w:rsidRPr="001649F0" w:rsidP="006A0F32">
      <w:pPr>
        <w:bidi w:val="0"/>
        <w:jc w:val="both"/>
        <w:rPr>
          <w:rStyle w:val="PlaceholderText"/>
          <w:color w:val="000000"/>
        </w:rPr>
      </w:pPr>
    </w:p>
    <w:p w:rsidR="006A0F32" w:rsidP="006A0F32">
      <w:pPr>
        <w:bidi w:val="0"/>
        <w:jc w:val="both"/>
        <w:rPr>
          <w:rStyle w:val="PlaceholderText"/>
          <w:b/>
          <w:color w:val="000000"/>
        </w:rPr>
      </w:pPr>
      <w:r>
        <w:rPr>
          <w:rStyle w:val="PlaceholderText"/>
          <w:b/>
          <w:color w:val="000000"/>
        </w:rPr>
        <w:t>K bodu 19</w:t>
      </w:r>
    </w:p>
    <w:p w:rsidR="006A0F32" w:rsidP="006A0F32">
      <w:pPr>
        <w:bidi w:val="0"/>
        <w:jc w:val="both"/>
        <w:rPr>
          <w:rStyle w:val="PlaceholderText"/>
          <w:color w:val="000000"/>
        </w:rPr>
      </w:pPr>
      <w:r w:rsidRPr="001649F0">
        <w:rPr>
          <w:rStyle w:val="PlaceholderText"/>
          <w:color w:val="000000"/>
        </w:rPr>
        <w:t>Legislatívno-technická úprava</w:t>
      </w:r>
      <w:r>
        <w:rPr>
          <w:rStyle w:val="PlaceholderText"/>
          <w:color w:val="000000"/>
        </w:rPr>
        <w:t xml:space="preserve"> v nadväznosti na zavedenie nového platiteľa – právnickú osobu, ktorá vypláca dividendy.</w:t>
      </w:r>
    </w:p>
    <w:p w:rsidR="006A0F32" w:rsidP="006A0F32">
      <w:pPr>
        <w:bidi w:val="0"/>
        <w:jc w:val="both"/>
        <w:rPr>
          <w:rStyle w:val="PlaceholderText"/>
          <w:b/>
          <w:color w:val="000000"/>
        </w:rPr>
      </w:pPr>
    </w:p>
    <w:p w:rsidR="006A0F32" w:rsidP="006A0F32">
      <w:pPr>
        <w:bidi w:val="0"/>
        <w:jc w:val="both"/>
        <w:rPr>
          <w:rStyle w:val="PlaceholderText"/>
          <w:b/>
          <w:color w:val="000000"/>
        </w:rPr>
      </w:pPr>
      <w:r>
        <w:rPr>
          <w:rStyle w:val="PlaceholderText"/>
          <w:b/>
          <w:color w:val="000000"/>
        </w:rPr>
        <w:t>K bodu 20</w:t>
      </w:r>
    </w:p>
    <w:p w:rsidR="006A0F32" w:rsidP="006A0F32">
      <w:pPr>
        <w:bidi w:val="0"/>
        <w:jc w:val="both"/>
        <w:rPr>
          <w:rStyle w:val="PlaceholderText"/>
          <w:color w:val="000000"/>
        </w:rPr>
      </w:pPr>
      <w:r w:rsidRPr="001649F0">
        <w:rPr>
          <w:rStyle w:val="PlaceholderText"/>
          <w:color w:val="000000"/>
        </w:rPr>
        <w:t>Legislatívno-technická úprava</w:t>
      </w:r>
      <w:r>
        <w:rPr>
          <w:rStyle w:val="PlaceholderText"/>
          <w:color w:val="000000"/>
        </w:rPr>
        <w:t xml:space="preserve"> v nadväznosti na skúsenosti z praxe pri vymáhaní nedoplatkov na zdravotné poistenie.</w:t>
      </w:r>
    </w:p>
    <w:p w:rsidR="006A0F32" w:rsidP="006A0F32">
      <w:pPr>
        <w:bidi w:val="0"/>
        <w:jc w:val="both"/>
        <w:rPr>
          <w:rStyle w:val="PlaceholderText"/>
          <w:b/>
          <w:color w:val="000000"/>
        </w:rPr>
      </w:pPr>
    </w:p>
    <w:p w:rsidR="006A0F32" w:rsidP="006A0F32">
      <w:pPr>
        <w:bidi w:val="0"/>
        <w:jc w:val="both"/>
        <w:rPr>
          <w:rStyle w:val="PlaceholderText"/>
          <w:b/>
          <w:color w:val="000000"/>
        </w:rPr>
      </w:pPr>
      <w:r>
        <w:rPr>
          <w:rStyle w:val="PlaceholderText"/>
          <w:b/>
          <w:color w:val="000000"/>
        </w:rPr>
        <w:t>K bodu 21</w:t>
      </w:r>
    </w:p>
    <w:p w:rsidR="006A0F32" w:rsidRPr="00D7431C" w:rsidP="006A0F32">
      <w:pPr>
        <w:bidi w:val="0"/>
        <w:jc w:val="both"/>
        <w:rPr>
          <w:rStyle w:val="PlaceholderText"/>
          <w:color w:val="000000"/>
        </w:rPr>
      </w:pPr>
      <w:r w:rsidRPr="00D7431C">
        <w:rPr>
          <w:rStyle w:val="PlaceholderText"/>
          <w:color w:val="000000"/>
        </w:rPr>
        <w:t>Legislatívno-technická úprava. Spresnenie.</w:t>
      </w:r>
    </w:p>
    <w:p w:rsidR="006A0F32" w:rsidP="006A0F32">
      <w:pPr>
        <w:bidi w:val="0"/>
        <w:jc w:val="both"/>
        <w:rPr>
          <w:rStyle w:val="PlaceholderText"/>
          <w:b/>
          <w:color w:val="000000"/>
        </w:rPr>
      </w:pPr>
    </w:p>
    <w:p w:rsidR="006A0F32" w:rsidP="006A0F32">
      <w:pPr>
        <w:bidi w:val="0"/>
        <w:jc w:val="both"/>
        <w:rPr>
          <w:rStyle w:val="PlaceholderText"/>
          <w:b/>
          <w:color w:val="000000"/>
        </w:rPr>
      </w:pPr>
      <w:r>
        <w:rPr>
          <w:rStyle w:val="PlaceholderText"/>
          <w:b/>
          <w:color w:val="000000"/>
        </w:rPr>
        <w:t>K bodu 22</w:t>
      </w:r>
    </w:p>
    <w:p w:rsidR="006A0F32" w:rsidRPr="001649F0" w:rsidP="006A0F32">
      <w:pPr>
        <w:bidi w:val="0"/>
        <w:jc w:val="both"/>
        <w:rPr>
          <w:rFonts w:ascii="Times New Roman" w:hAnsi="Times New Roman"/>
        </w:rPr>
      </w:pPr>
      <w:r w:rsidRPr="001649F0">
        <w:rPr>
          <w:rFonts w:ascii="Times New Roman" w:hAnsi="Times New Roman"/>
        </w:rPr>
        <w:t>Návrh ustanovuje, že povinnosť vykonať ročné zúčtovanie poistného za predchádzajúci kalendárny rok sa nevzťahuje na poistenca,</w:t>
      </w:r>
    </w:p>
    <w:p w:rsidR="006A0F32" w:rsidRPr="001649F0" w:rsidP="006A0F32">
      <w:pPr>
        <w:bidi w:val="0"/>
        <w:ind w:left="360" w:hanging="360"/>
        <w:jc w:val="both"/>
        <w:rPr>
          <w:rFonts w:ascii="Times New Roman" w:hAnsi="Times New Roman"/>
        </w:rPr>
      </w:pPr>
      <w:r w:rsidR="00721461">
        <w:rPr>
          <w:rFonts w:ascii="Times New Roman" w:hAnsi="Times New Roman"/>
        </w:rPr>
        <w:t xml:space="preserve">- </w:t>
        <w:tab/>
      </w:r>
      <w:r w:rsidRPr="001649F0">
        <w:rPr>
          <w:rFonts w:ascii="Times New Roman" w:hAnsi="Times New Roman"/>
        </w:rPr>
        <w:t>ktorý počas predchádzajúceho kalendárneho roka bol len samostatne zárobkovo činnou osobou a jeho vymeriavací základ podľa § 13 ods. 3 nepresiahol úhrn minimálnych základov podľa § 13 ods. 11 a 12,</w:t>
      </w:r>
    </w:p>
    <w:p w:rsidR="006A0F32" w:rsidRPr="001649F0" w:rsidP="006A0F32">
      <w:pPr>
        <w:bidi w:val="0"/>
        <w:ind w:left="360" w:hanging="360"/>
        <w:jc w:val="both"/>
        <w:rPr>
          <w:rFonts w:ascii="Times New Roman" w:hAnsi="Times New Roman"/>
        </w:rPr>
      </w:pPr>
      <w:r w:rsidR="00721461">
        <w:rPr>
          <w:rFonts w:ascii="Times New Roman" w:hAnsi="Times New Roman"/>
        </w:rPr>
        <w:t xml:space="preserve">- </w:t>
        <w:tab/>
      </w:r>
      <w:r w:rsidRPr="001649F0">
        <w:rPr>
          <w:rFonts w:ascii="Times New Roman" w:hAnsi="Times New Roman"/>
        </w:rPr>
        <w:t>ktorému nevznikla povinnosť podať za rozhodujúce obdobie daňové priznanie</w:t>
      </w:r>
      <w:r w:rsidR="00721461">
        <w:rPr>
          <w:rFonts w:ascii="Times New Roman" w:hAnsi="Times New Roman"/>
        </w:rPr>
        <w:t>, okrem poistenca, ktorý mal príjem podľa § 10b ods. 1 písm. e) vyšší ako minimálny základ podľa § 13 ods. 10</w:t>
      </w:r>
      <w:r w:rsidRPr="001649F0">
        <w:rPr>
          <w:rFonts w:ascii="Times New Roman" w:hAnsi="Times New Roman"/>
        </w:rPr>
        <w:t xml:space="preserve">. </w:t>
      </w:r>
    </w:p>
    <w:p w:rsidR="006A0F32" w:rsidRPr="001649F0" w:rsidP="006A0F32">
      <w:pPr>
        <w:bidi w:val="0"/>
        <w:jc w:val="both"/>
        <w:rPr>
          <w:rStyle w:val="PlaceholderText"/>
          <w:color w:val="000000"/>
        </w:rPr>
      </w:pPr>
    </w:p>
    <w:p w:rsidR="006A0F32" w:rsidRPr="001649F0" w:rsidP="006A0F32">
      <w:pPr>
        <w:bidi w:val="0"/>
        <w:jc w:val="both"/>
        <w:rPr>
          <w:rStyle w:val="PlaceholderText"/>
          <w:b/>
          <w:color w:val="000000"/>
        </w:rPr>
      </w:pPr>
      <w:r>
        <w:rPr>
          <w:rStyle w:val="PlaceholderText"/>
          <w:b/>
          <w:color w:val="000000"/>
        </w:rPr>
        <w:t>K bodom 23</w:t>
      </w:r>
      <w:r w:rsidRPr="001649F0">
        <w:rPr>
          <w:rStyle w:val="PlaceholderText"/>
          <w:b/>
          <w:color w:val="000000"/>
        </w:rPr>
        <w:t xml:space="preserve"> až </w:t>
      </w:r>
      <w:r>
        <w:rPr>
          <w:rStyle w:val="PlaceholderText"/>
          <w:b/>
          <w:color w:val="000000"/>
        </w:rPr>
        <w:t>27</w:t>
      </w:r>
    </w:p>
    <w:p w:rsidR="006A0F32" w:rsidRPr="001649F0" w:rsidP="006A0F32">
      <w:pPr>
        <w:bidi w:val="0"/>
        <w:jc w:val="both"/>
        <w:rPr>
          <w:rStyle w:val="PlaceholderText"/>
          <w:color w:val="000000"/>
        </w:rPr>
      </w:pPr>
      <w:r w:rsidRPr="001649F0">
        <w:rPr>
          <w:rStyle w:val="PlaceholderText"/>
          <w:color w:val="000000"/>
        </w:rPr>
        <w:t>Ide o legislatívno-technické úpravy v nadväznosti na zmeny v návrhu zákona.</w:t>
      </w:r>
    </w:p>
    <w:p w:rsidR="006A0F32" w:rsidP="006A0F32">
      <w:pPr>
        <w:bidi w:val="0"/>
        <w:jc w:val="both"/>
        <w:rPr>
          <w:rStyle w:val="PlaceholderText"/>
          <w:b/>
          <w:color w:val="000000"/>
        </w:rPr>
      </w:pPr>
    </w:p>
    <w:p w:rsidR="006A0F32" w:rsidP="006A0F32">
      <w:pPr>
        <w:bidi w:val="0"/>
        <w:jc w:val="both"/>
        <w:rPr>
          <w:rStyle w:val="PlaceholderText"/>
          <w:b/>
          <w:color w:val="000000"/>
        </w:rPr>
      </w:pPr>
      <w:r>
        <w:rPr>
          <w:rStyle w:val="PlaceholderText"/>
          <w:b/>
          <w:color w:val="000000"/>
        </w:rPr>
        <w:t>K bodu 28</w:t>
      </w:r>
    </w:p>
    <w:p w:rsidR="006A0F32" w:rsidRPr="004463AC" w:rsidP="006A0F32">
      <w:pPr>
        <w:bidi w:val="0"/>
        <w:jc w:val="both"/>
        <w:rPr>
          <w:rFonts w:ascii="Times New Roman" w:hAnsi="Times New Roman" w:cs="Calibri"/>
        </w:rPr>
      </w:pPr>
      <w:r w:rsidRPr="004463AC">
        <w:rPr>
          <w:rFonts w:ascii="Times New Roman" w:hAnsi="Times New Roman" w:cs="Calibri"/>
        </w:rPr>
        <w:t>Ustanovenie umožňuje, aby zdravotná poisťovňa bola oprávnená namiesto poistenca alebo zamestnávateľa, ktorý vykonáva ročné zúčtovanie poistného za poistenca oznámiť ostatným platiteľom poistného za poistenca výsledok ročného zúčtovania (výšku ich preplatku alebo nedoplatku). V praxi sa bežne stáva, že povinnosť stanovená v tomto ustanovení nie je splnená, či už zo strany poistenca alebo zamestnávateľa. V takom prípade je aj u ostatných platiteľov poistného za poistenca nesprávny výsledok ročného zúčtovania. Zdravotná poisťovňa obvykle disponuje touto informáciou a preto uvedené doplnenie prispe</w:t>
      </w:r>
      <w:r w:rsidR="00721461">
        <w:rPr>
          <w:rFonts w:ascii="Times New Roman" w:hAnsi="Times New Roman" w:cs="Calibri"/>
        </w:rPr>
        <w:t>je</w:t>
      </w:r>
      <w:r w:rsidRPr="004463AC">
        <w:rPr>
          <w:rFonts w:ascii="Times New Roman" w:hAnsi="Times New Roman" w:cs="Calibri"/>
        </w:rPr>
        <w:t xml:space="preserve"> k odstráneniu nesprávne vykonaných ročných zúčtovaní.</w:t>
      </w:r>
    </w:p>
    <w:p w:rsidR="006A0F32" w:rsidRPr="004463AC" w:rsidP="006A0F32">
      <w:pPr>
        <w:bidi w:val="0"/>
        <w:jc w:val="both"/>
        <w:rPr>
          <w:rStyle w:val="PlaceholderText"/>
          <w:b/>
          <w:color w:val="000000"/>
        </w:rPr>
      </w:pPr>
      <w:r w:rsidRPr="004463AC">
        <w:rPr>
          <w:rFonts w:ascii="Times New Roman" w:hAnsi="Times New Roman" w:cs="Calibri"/>
        </w:rPr>
        <w:br/>
      </w:r>
      <w:r w:rsidRPr="004463AC">
        <w:rPr>
          <w:rFonts w:ascii="Times New Roman" w:hAnsi="Times New Roman" w:cs="Calibri"/>
          <w:b/>
        </w:rPr>
        <w:t>K bodu 29</w:t>
      </w:r>
    </w:p>
    <w:p w:rsidR="006A0F32" w:rsidRPr="001649F0" w:rsidP="006A0F32">
      <w:pPr>
        <w:bidi w:val="0"/>
        <w:jc w:val="both"/>
        <w:rPr>
          <w:rStyle w:val="PlaceholderText"/>
          <w:color w:val="000000"/>
        </w:rPr>
      </w:pPr>
      <w:r w:rsidRPr="001649F0">
        <w:rPr>
          <w:rStyle w:val="PlaceholderText"/>
          <w:color w:val="000000"/>
        </w:rPr>
        <w:t>Ide o legislatívn</w:t>
      </w:r>
      <w:r>
        <w:rPr>
          <w:rStyle w:val="PlaceholderText"/>
          <w:color w:val="000000"/>
        </w:rPr>
        <w:t>o-technickú</w:t>
      </w:r>
      <w:r w:rsidRPr="001649F0">
        <w:rPr>
          <w:rStyle w:val="PlaceholderText"/>
          <w:color w:val="000000"/>
        </w:rPr>
        <w:t xml:space="preserve"> úprav</w:t>
      </w:r>
      <w:r>
        <w:rPr>
          <w:rStyle w:val="PlaceholderText"/>
          <w:color w:val="000000"/>
        </w:rPr>
        <w:t>u</w:t>
      </w:r>
      <w:r w:rsidRPr="001649F0">
        <w:rPr>
          <w:rStyle w:val="PlaceholderText"/>
          <w:color w:val="000000"/>
        </w:rPr>
        <w:t>.</w:t>
      </w:r>
    </w:p>
    <w:p w:rsidR="006A0F32" w:rsidP="006A0F32">
      <w:pPr>
        <w:bidi w:val="0"/>
        <w:jc w:val="both"/>
        <w:rPr>
          <w:rStyle w:val="PlaceholderText"/>
          <w:color w:val="000000"/>
        </w:rPr>
      </w:pPr>
    </w:p>
    <w:p w:rsidR="006A0F32" w:rsidRPr="004463AC" w:rsidP="006A0F32">
      <w:pPr>
        <w:bidi w:val="0"/>
        <w:jc w:val="both"/>
        <w:rPr>
          <w:rStyle w:val="PlaceholderText"/>
          <w:b/>
          <w:color w:val="000000"/>
        </w:rPr>
      </w:pPr>
      <w:r w:rsidRPr="004463AC">
        <w:rPr>
          <w:rStyle w:val="PlaceholderText"/>
          <w:b/>
          <w:color w:val="000000"/>
        </w:rPr>
        <w:t>K bodu 30</w:t>
      </w:r>
    </w:p>
    <w:p w:rsidR="006A0F32" w:rsidRPr="001649F0" w:rsidP="006A0F32">
      <w:pPr>
        <w:bidi w:val="0"/>
        <w:jc w:val="both"/>
        <w:rPr>
          <w:rStyle w:val="PlaceholderText"/>
          <w:color w:val="000000"/>
        </w:rPr>
      </w:pPr>
      <w:r w:rsidRPr="001649F0">
        <w:rPr>
          <w:rStyle w:val="PlaceholderText"/>
          <w:color w:val="000000"/>
        </w:rPr>
        <w:t>Ide o legislatívno-technické úpravy v nadväznosti na zmeny v návrhu zákona.</w:t>
      </w:r>
    </w:p>
    <w:p w:rsidR="006A0F32" w:rsidP="006A0F32">
      <w:pPr>
        <w:bidi w:val="0"/>
        <w:jc w:val="both"/>
        <w:rPr>
          <w:rStyle w:val="PlaceholderText"/>
          <w:color w:val="000000"/>
        </w:rPr>
      </w:pPr>
    </w:p>
    <w:p w:rsidR="00F920F8" w:rsidP="006A0F32">
      <w:pPr>
        <w:bidi w:val="0"/>
        <w:jc w:val="both"/>
        <w:rPr>
          <w:rStyle w:val="PlaceholderText"/>
          <w:color w:val="000000"/>
        </w:rPr>
      </w:pPr>
    </w:p>
    <w:p w:rsidR="00F920F8" w:rsidP="006A0F32">
      <w:pPr>
        <w:bidi w:val="0"/>
        <w:jc w:val="both"/>
        <w:rPr>
          <w:rStyle w:val="PlaceholderText"/>
          <w:color w:val="000000"/>
        </w:rPr>
      </w:pPr>
    </w:p>
    <w:p w:rsidR="006A0F32" w:rsidRPr="004463AC" w:rsidP="006A0F32">
      <w:pPr>
        <w:bidi w:val="0"/>
        <w:jc w:val="both"/>
        <w:rPr>
          <w:rStyle w:val="PlaceholderText"/>
          <w:b/>
          <w:color w:val="000000"/>
        </w:rPr>
      </w:pPr>
      <w:r w:rsidRPr="004463AC">
        <w:rPr>
          <w:rStyle w:val="PlaceholderText"/>
          <w:b/>
          <w:color w:val="000000"/>
        </w:rPr>
        <w:t>K bodu 31</w:t>
      </w:r>
    </w:p>
    <w:p w:rsidR="00F920F8" w:rsidP="006A0F32">
      <w:pPr>
        <w:bidi w:val="0"/>
        <w:jc w:val="both"/>
        <w:rPr>
          <w:rFonts w:ascii="Times New Roman" w:hAnsi="Times New Roman" w:cs="Calibri"/>
        </w:rPr>
      </w:pPr>
      <w:r w:rsidR="006A0F32">
        <w:rPr>
          <w:rStyle w:val="PlaceholderText"/>
          <w:color w:val="000000"/>
        </w:rPr>
        <w:t xml:space="preserve">Stanovujú sa lehoty pri ročnom zúčtovaní poistného z poistencami štátu. </w:t>
      </w:r>
      <w:r w:rsidRPr="004463AC" w:rsidR="006A0F32">
        <w:rPr>
          <w:rFonts w:ascii="Times New Roman" w:hAnsi="Times New Roman" w:cs="Calibri"/>
        </w:rPr>
        <w:t>Pri návrhu vychádzame z aplikačnej praxe a problémov, ktoré spôsobuje skutočnosť, že v prípade vykonávania ročného zúčtovania so štátom nie je stanovená lehota splatnosti, dokedy je povinnosť uhradiť prípadný nedoplatok (preplatok) z ročného zúčtovania obdobne, ako je takáto lehota stanovená pre ostat</w:t>
      </w:r>
      <w:r>
        <w:rPr>
          <w:rFonts w:ascii="Times New Roman" w:hAnsi="Times New Roman" w:cs="Calibri"/>
        </w:rPr>
        <w:t>né skupiny platiteľov poistného.</w:t>
      </w:r>
    </w:p>
    <w:p w:rsidR="006A0F32" w:rsidRPr="004463AC" w:rsidP="006A0F32">
      <w:pPr>
        <w:bidi w:val="0"/>
        <w:jc w:val="both"/>
        <w:rPr>
          <w:rFonts w:ascii="Times New Roman" w:hAnsi="Times New Roman" w:cs="Calibri"/>
          <w:b/>
        </w:rPr>
      </w:pPr>
      <w:r w:rsidRPr="004463AC">
        <w:rPr>
          <w:rFonts w:ascii="Times New Roman" w:hAnsi="Times New Roman" w:cs="Calibri"/>
        </w:rPr>
        <w:br/>
      </w:r>
      <w:r w:rsidRPr="004463AC">
        <w:rPr>
          <w:rFonts w:ascii="Times New Roman" w:hAnsi="Times New Roman" w:cs="Calibri"/>
          <w:b/>
        </w:rPr>
        <w:t>K bodu 32</w:t>
      </w:r>
    </w:p>
    <w:p w:rsidR="006A0F32" w:rsidRPr="002F3C7F" w:rsidP="006A0F32">
      <w:pPr>
        <w:bidi w:val="0"/>
        <w:jc w:val="both"/>
        <w:rPr>
          <w:rStyle w:val="PlaceholderText"/>
          <w:color w:val="000000"/>
        </w:rPr>
      </w:pPr>
      <w:r>
        <w:rPr>
          <w:rStyle w:val="PlaceholderText"/>
          <w:color w:val="000000"/>
        </w:rPr>
        <w:t>Dopĺňajú sa oznamovacie povinnosti.</w:t>
      </w:r>
      <w:r w:rsidRPr="004463AC">
        <w:rPr>
          <w:rStyle w:val="PlaceholderText"/>
          <w:color w:val="000000"/>
        </w:rPr>
        <w:t xml:space="preserve"> </w:t>
      </w:r>
    </w:p>
    <w:p w:rsidR="006A0F32" w:rsidP="006A0F32">
      <w:pPr>
        <w:bidi w:val="0"/>
        <w:jc w:val="both"/>
        <w:rPr>
          <w:rStyle w:val="PlaceholderText"/>
          <w:color w:val="000000"/>
        </w:rPr>
      </w:pPr>
    </w:p>
    <w:p w:rsidR="006A0F32" w:rsidRPr="002F3C7F" w:rsidP="006A0F32">
      <w:pPr>
        <w:bidi w:val="0"/>
        <w:jc w:val="both"/>
        <w:rPr>
          <w:rStyle w:val="PlaceholderText"/>
          <w:color w:val="000000"/>
        </w:rPr>
      </w:pPr>
      <w:r>
        <w:rPr>
          <w:rStyle w:val="PlaceholderText"/>
          <w:b/>
          <w:color w:val="000000"/>
        </w:rPr>
        <w:t>K bodom 33 až 37</w:t>
      </w:r>
    </w:p>
    <w:p w:rsidR="006A0F32" w:rsidRPr="001649F0" w:rsidP="006A0F32">
      <w:pPr>
        <w:bidi w:val="0"/>
        <w:jc w:val="both"/>
        <w:rPr>
          <w:rStyle w:val="PlaceholderText"/>
          <w:color w:val="000000"/>
        </w:rPr>
      </w:pPr>
      <w:r w:rsidRPr="001649F0">
        <w:rPr>
          <w:rStyle w:val="PlaceholderText"/>
          <w:color w:val="000000"/>
        </w:rPr>
        <w:t>Ide o legislatívno-technické úpravy v nadväznosti na zmeny v návrhu zákona.</w:t>
      </w:r>
    </w:p>
    <w:p w:rsidR="006A0F32" w:rsidP="006A0F32">
      <w:pPr>
        <w:bidi w:val="0"/>
        <w:jc w:val="both"/>
        <w:rPr>
          <w:rStyle w:val="PlaceholderText"/>
          <w:color w:val="000000"/>
        </w:rPr>
      </w:pPr>
    </w:p>
    <w:p w:rsidR="006A0F32" w:rsidRPr="004463AC" w:rsidP="006A0F32">
      <w:pPr>
        <w:bidi w:val="0"/>
        <w:jc w:val="both"/>
        <w:rPr>
          <w:rStyle w:val="PlaceholderText"/>
          <w:b/>
          <w:color w:val="000000"/>
        </w:rPr>
      </w:pPr>
      <w:r w:rsidRPr="004463AC">
        <w:rPr>
          <w:rStyle w:val="PlaceholderText"/>
          <w:b/>
          <w:color w:val="000000"/>
        </w:rPr>
        <w:t>K bodu 3</w:t>
      </w:r>
      <w:r>
        <w:rPr>
          <w:rStyle w:val="PlaceholderText"/>
          <w:b/>
          <w:color w:val="000000"/>
        </w:rPr>
        <w:t>8</w:t>
      </w:r>
    </w:p>
    <w:p w:rsidR="006A0F32" w:rsidP="006A0F32">
      <w:pPr>
        <w:bidi w:val="0"/>
        <w:jc w:val="both"/>
        <w:rPr>
          <w:rStyle w:val="PlaceholderText"/>
          <w:color w:val="000000"/>
        </w:rPr>
      </w:pPr>
      <w:r w:rsidRPr="002F3C7F">
        <w:rPr>
          <w:rStyle w:val="PlaceholderText"/>
          <w:color w:val="000000"/>
        </w:rPr>
        <w:t>Ustanovujú sa povinnosti pri vykazovaní.</w:t>
      </w:r>
      <w:r w:rsidRPr="004463AC">
        <w:rPr>
          <w:rStyle w:val="PlaceholderText"/>
          <w:color w:val="000000"/>
        </w:rPr>
        <w:t xml:space="preserve"> </w:t>
      </w:r>
      <w:r>
        <w:rPr>
          <w:rStyle w:val="PlaceholderText"/>
          <w:color w:val="000000"/>
        </w:rPr>
        <w:t>Ustanovuje sa povinnosť osobe so zdravotným postihnutím preukázať sa zdravotnej poisťovni.</w:t>
      </w:r>
    </w:p>
    <w:p w:rsidR="006A0F32" w:rsidP="006A0F32">
      <w:pPr>
        <w:bidi w:val="0"/>
        <w:jc w:val="both"/>
        <w:rPr>
          <w:rStyle w:val="PlaceholderText"/>
          <w:color w:val="000000"/>
        </w:rPr>
      </w:pPr>
    </w:p>
    <w:p w:rsidR="006A0F32" w:rsidRPr="001649F0" w:rsidP="006A0F32">
      <w:pPr>
        <w:bidi w:val="0"/>
        <w:jc w:val="both"/>
        <w:rPr>
          <w:rStyle w:val="PlaceholderText"/>
          <w:b/>
          <w:color w:val="000000"/>
        </w:rPr>
      </w:pPr>
      <w:r>
        <w:rPr>
          <w:rStyle w:val="PlaceholderText"/>
          <w:b/>
          <w:color w:val="000000"/>
        </w:rPr>
        <w:t>K bodu 39 až 42</w:t>
      </w:r>
    </w:p>
    <w:p w:rsidR="006A0F32" w:rsidP="006A0F32">
      <w:pPr>
        <w:bidi w:val="0"/>
        <w:jc w:val="both"/>
        <w:rPr>
          <w:rStyle w:val="PlaceholderText"/>
          <w:color w:val="000000"/>
        </w:rPr>
      </w:pPr>
      <w:r w:rsidRPr="001649F0">
        <w:rPr>
          <w:rStyle w:val="PlaceholderText"/>
          <w:color w:val="000000"/>
        </w:rPr>
        <w:t>Ide o legislatívno-technické úpravy v nadväznosti na zmeny v návrhu zákona.</w:t>
      </w:r>
    </w:p>
    <w:p w:rsidR="006A0F32" w:rsidP="006A0F32">
      <w:pPr>
        <w:bidi w:val="0"/>
        <w:jc w:val="both"/>
        <w:rPr>
          <w:rStyle w:val="PlaceholderText"/>
          <w:color w:val="000000"/>
        </w:rPr>
      </w:pPr>
    </w:p>
    <w:p w:rsidR="006A0F32" w:rsidRPr="00E67F02" w:rsidP="006A0F32">
      <w:pPr>
        <w:bidi w:val="0"/>
        <w:jc w:val="both"/>
        <w:rPr>
          <w:rStyle w:val="PlaceholderText"/>
          <w:b/>
          <w:color w:val="000000"/>
        </w:rPr>
      </w:pPr>
      <w:r w:rsidRPr="00E67F02">
        <w:rPr>
          <w:rStyle w:val="PlaceholderText"/>
          <w:b/>
          <w:color w:val="000000"/>
        </w:rPr>
        <w:t xml:space="preserve">K bodu </w:t>
      </w:r>
      <w:r>
        <w:rPr>
          <w:rStyle w:val="PlaceholderText"/>
          <w:b/>
          <w:color w:val="000000"/>
        </w:rPr>
        <w:t>43</w:t>
      </w:r>
    </w:p>
    <w:p w:rsidR="006A0F32" w:rsidP="006A0F32">
      <w:pPr>
        <w:bidi w:val="0"/>
        <w:jc w:val="both"/>
        <w:rPr>
          <w:rStyle w:val="PlaceholderText"/>
          <w:color w:val="000000"/>
        </w:rPr>
      </w:pPr>
      <w:r>
        <w:rPr>
          <w:rStyle w:val="PlaceholderText"/>
          <w:color w:val="000000"/>
        </w:rPr>
        <w:t>Ustanovuje sa povinnosť oznámiť vznik platiteľa.</w:t>
      </w:r>
    </w:p>
    <w:p w:rsidR="006A0F32" w:rsidP="006A0F32">
      <w:pPr>
        <w:bidi w:val="0"/>
        <w:jc w:val="both"/>
        <w:rPr>
          <w:rStyle w:val="PlaceholderText"/>
          <w:color w:val="000000"/>
        </w:rPr>
      </w:pPr>
    </w:p>
    <w:p w:rsidR="006A0F32" w:rsidRPr="00E67F02" w:rsidP="006A0F32">
      <w:pPr>
        <w:bidi w:val="0"/>
        <w:jc w:val="both"/>
        <w:rPr>
          <w:rStyle w:val="PlaceholderText"/>
          <w:b/>
          <w:color w:val="000000"/>
        </w:rPr>
      </w:pPr>
      <w:r w:rsidRPr="00E67F02">
        <w:rPr>
          <w:rStyle w:val="PlaceholderText"/>
          <w:b/>
          <w:color w:val="000000"/>
        </w:rPr>
        <w:t xml:space="preserve">K bodom </w:t>
      </w:r>
      <w:r>
        <w:rPr>
          <w:rStyle w:val="PlaceholderText"/>
          <w:b/>
          <w:color w:val="000000"/>
        </w:rPr>
        <w:t>44 až 51</w:t>
      </w:r>
    </w:p>
    <w:p w:rsidR="006A0F32" w:rsidP="006A0F32">
      <w:pPr>
        <w:bidi w:val="0"/>
        <w:jc w:val="both"/>
        <w:rPr>
          <w:rStyle w:val="PlaceholderText"/>
          <w:color w:val="000000"/>
        </w:rPr>
      </w:pPr>
      <w:r>
        <w:rPr>
          <w:rStyle w:val="PlaceholderText"/>
          <w:color w:val="000000"/>
        </w:rPr>
        <w:t>Ide o spresňujúce ustanovenia k prerozdeľovaniu poistného.</w:t>
      </w:r>
    </w:p>
    <w:p w:rsidR="006A0F32" w:rsidP="006A0F32">
      <w:pPr>
        <w:bidi w:val="0"/>
        <w:jc w:val="both"/>
        <w:rPr>
          <w:rStyle w:val="PlaceholderText"/>
          <w:color w:val="000000"/>
        </w:rPr>
      </w:pPr>
    </w:p>
    <w:p w:rsidR="006A0F32" w:rsidRPr="004463AC" w:rsidP="006A0F32">
      <w:pPr>
        <w:bidi w:val="0"/>
        <w:jc w:val="both"/>
        <w:rPr>
          <w:rStyle w:val="PlaceholderText"/>
          <w:b/>
          <w:color w:val="000000"/>
        </w:rPr>
      </w:pPr>
      <w:r w:rsidRPr="004463AC">
        <w:rPr>
          <w:rStyle w:val="PlaceholderText"/>
          <w:b/>
          <w:color w:val="000000"/>
        </w:rPr>
        <w:t>K bodom 52 až 56</w:t>
      </w:r>
    </w:p>
    <w:p w:rsidR="006A0F32" w:rsidP="006A0F32">
      <w:pPr>
        <w:bidi w:val="0"/>
        <w:jc w:val="both"/>
        <w:rPr>
          <w:rStyle w:val="PlaceholderText"/>
          <w:color w:val="000000"/>
        </w:rPr>
      </w:pPr>
      <w:r w:rsidRPr="001649F0">
        <w:rPr>
          <w:rStyle w:val="PlaceholderText"/>
          <w:color w:val="000000"/>
        </w:rPr>
        <w:t>Ide o legislatívno-technické úpravy v nadväznosti na zmeny v návrhu zákona.</w:t>
      </w:r>
    </w:p>
    <w:p w:rsidR="006A0F32" w:rsidP="006A0F32">
      <w:pPr>
        <w:bidi w:val="0"/>
        <w:jc w:val="both"/>
        <w:rPr>
          <w:rStyle w:val="PlaceholderText"/>
          <w:color w:val="000000"/>
        </w:rPr>
      </w:pPr>
    </w:p>
    <w:p w:rsidR="006A0F32" w:rsidRPr="00236E23" w:rsidP="006A0F32">
      <w:pPr>
        <w:bidi w:val="0"/>
        <w:jc w:val="both"/>
        <w:rPr>
          <w:rStyle w:val="PlaceholderText"/>
          <w:b/>
          <w:color w:val="000000"/>
        </w:rPr>
      </w:pPr>
      <w:r>
        <w:rPr>
          <w:rStyle w:val="PlaceholderText"/>
          <w:b/>
          <w:color w:val="000000"/>
        </w:rPr>
        <w:t>K bodu 57</w:t>
      </w:r>
    </w:p>
    <w:p w:rsidR="006A0F32" w:rsidP="006A0F32">
      <w:pPr>
        <w:bidi w:val="0"/>
        <w:jc w:val="both"/>
        <w:rPr>
          <w:rStyle w:val="PlaceholderText"/>
          <w:color w:val="000000"/>
        </w:rPr>
      </w:pPr>
      <w:r w:rsidRPr="001649F0">
        <w:rPr>
          <w:rStyle w:val="PlaceholderText"/>
          <w:color w:val="000000"/>
        </w:rPr>
        <w:t>Ustanovujú sa prechodné ustanovenia.</w:t>
      </w:r>
    </w:p>
    <w:p w:rsidR="006A0F32" w:rsidP="006A0F32">
      <w:pPr>
        <w:bidi w:val="0"/>
        <w:jc w:val="both"/>
        <w:rPr>
          <w:rStyle w:val="PlaceholderText"/>
          <w:b/>
          <w:color w:val="000000"/>
        </w:rPr>
      </w:pPr>
    </w:p>
    <w:p w:rsidR="006A0F32" w:rsidRPr="001649F0" w:rsidP="006A0F32">
      <w:pPr>
        <w:bidi w:val="0"/>
        <w:jc w:val="both"/>
        <w:rPr>
          <w:rStyle w:val="PlaceholderText"/>
          <w:b/>
          <w:color w:val="000000"/>
        </w:rPr>
      </w:pPr>
      <w:r w:rsidRPr="001649F0">
        <w:rPr>
          <w:rStyle w:val="PlaceholderText"/>
          <w:b/>
          <w:color w:val="000000"/>
        </w:rPr>
        <w:t>K Čl. II</w:t>
      </w:r>
    </w:p>
    <w:p w:rsidR="006A0F32" w:rsidP="006A0F32">
      <w:pPr>
        <w:bidi w:val="0"/>
        <w:jc w:val="both"/>
        <w:rPr>
          <w:rFonts w:ascii="Times New Roman" w:hAnsi="Times New Roman"/>
        </w:rPr>
      </w:pPr>
      <w:r w:rsidRPr="001649F0">
        <w:rPr>
          <w:rStyle w:val="PlaceholderText"/>
          <w:color w:val="000000"/>
        </w:rPr>
        <w:t>Stanovuje sa účinnosť návrhu zákona.</w:t>
      </w:r>
    </w:p>
    <w:p w:rsidR="001676A3">
      <w:pPr>
        <w:bidi w:val="0"/>
        <w:rPr>
          <w:rFonts w:ascii="Times New Roman" w:hAnsi="Times New Roman"/>
        </w:rPr>
      </w:pPr>
    </w:p>
    <w:p w:rsidR="002727AA" w:rsidRPr="002727AA" w:rsidP="002727AA">
      <w:pPr>
        <w:bidi w:val="0"/>
        <w:spacing w:after="280" w:afterAutospacing="1"/>
        <w:jc w:val="both"/>
        <w:rPr>
          <w:rStyle w:val="PlaceholderText"/>
          <w:color w:val="000000"/>
        </w:rPr>
      </w:pPr>
      <w:r w:rsidRPr="002727AA">
        <w:rPr>
          <w:rStyle w:val="PlaceholderText"/>
          <w:color w:val="000000"/>
        </w:rPr>
        <w:t>Bratislava, 22. septembra 2010</w:t>
      </w:r>
    </w:p>
    <w:p w:rsidR="00F920F8" w:rsidRPr="002727AA" w:rsidP="002727AA">
      <w:pPr>
        <w:bidi w:val="0"/>
        <w:spacing w:after="280" w:afterAutospacing="1"/>
        <w:jc w:val="center"/>
        <w:rPr>
          <w:rStyle w:val="PlaceholderText"/>
          <w:color w:val="000000"/>
        </w:rPr>
      </w:pPr>
    </w:p>
    <w:p w:rsidR="002727AA" w:rsidRPr="002727AA" w:rsidP="002727AA">
      <w:pPr>
        <w:tabs>
          <w:tab w:val="left" w:pos="4320"/>
          <w:tab w:val="left" w:pos="4680"/>
          <w:tab w:val="left" w:pos="4860"/>
          <w:tab w:val="left" w:pos="5760"/>
        </w:tabs>
        <w:bidi w:val="0"/>
        <w:jc w:val="both"/>
        <w:rPr>
          <w:rStyle w:val="PlaceholderText"/>
          <w:b/>
          <w:color w:val="000000"/>
        </w:rPr>
      </w:pPr>
      <w:r w:rsidRPr="002727AA">
        <w:rPr>
          <w:rStyle w:val="PlaceholderText"/>
          <w:b/>
          <w:color w:val="000000"/>
        </w:rPr>
        <w:tab/>
        <w:t>Iveta Radičová</w:t>
      </w:r>
      <w:r w:rsidR="005127B5">
        <w:rPr>
          <w:rStyle w:val="PlaceholderText"/>
          <w:b/>
          <w:color w:val="000000"/>
        </w:rPr>
        <w:t>, v.r.</w:t>
      </w:r>
    </w:p>
    <w:p w:rsidR="002727AA" w:rsidRPr="002727AA" w:rsidP="002727AA">
      <w:pPr>
        <w:tabs>
          <w:tab w:val="left" w:pos="4320"/>
          <w:tab w:val="left" w:pos="4680"/>
          <w:tab w:val="left" w:pos="5760"/>
        </w:tabs>
        <w:bidi w:val="0"/>
        <w:jc w:val="both"/>
        <w:rPr>
          <w:rStyle w:val="PlaceholderText"/>
          <w:color w:val="000000"/>
        </w:rPr>
      </w:pPr>
      <w:r w:rsidRPr="002727AA">
        <w:rPr>
          <w:rStyle w:val="PlaceholderText"/>
          <w:color w:val="000000"/>
        </w:rPr>
        <w:tab/>
        <w:t>predsedníčka vlády</w:t>
      </w:r>
    </w:p>
    <w:p w:rsidR="002727AA" w:rsidRPr="002727AA" w:rsidP="002727AA">
      <w:pPr>
        <w:tabs>
          <w:tab w:val="left" w:pos="4320"/>
          <w:tab w:val="left" w:pos="4680"/>
          <w:tab w:val="left" w:pos="5760"/>
        </w:tabs>
        <w:bidi w:val="0"/>
        <w:jc w:val="both"/>
        <w:rPr>
          <w:rStyle w:val="PlaceholderText"/>
          <w:color w:val="000000"/>
        </w:rPr>
      </w:pPr>
      <w:r w:rsidRPr="002727AA">
        <w:rPr>
          <w:rStyle w:val="PlaceholderText"/>
          <w:color w:val="000000"/>
        </w:rPr>
        <w:tab/>
        <w:t>Slovenskej republiky</w:t>
      </w:r>
    </w:p>
    <w:p w:rsidR="002727AA" w:rsidP="002727AA">
      <w:pPr>
        <w:tabs>
          <w:tab w:val="left" w:pos="5760"/>
        </w:tabs>
        <w:bidi w:val="0"/>
        <w:jc w:val="both"/>
        <w:rPr>
          <w:rStyle w:val="PlaceholderText"/>
          <w:color w:val="000000"/>
        </w:rPr>
      </w:pPr>
    </w:p>
    <w:p w:rsidR="00F920F8" w:rsidRPr="002727AA" w:rsidP="002727AA">
      <w:pPr>
        <w:tabs>
          <w:tab w:val="left" w:pos="5760"/>
        </w:tabs>
        <w:bidi w:val="0"/>
        <w:jc w:val="both"/>
        <w:rPr>
          <w:rStyle w:val="PlaceholderText"/>
          <w:color w:val="000000"/>
        </w:rPr>
      </w:pPr>
    </w:p>
    <w:p w:rsidR="002727AA" w:rsidRPr="002727AA" w:rsidP="002727AA">
      <w:pPr>
        <w:tabs>
          <w:tab w:val="left" w:pos="5760"/>
        </w:tabs>
        <w:bidi w:val="0"/>
        <w:jc w:val="both"/>
        <w:rPr>
          <w:rStyle w:val="PlaceholderText"/>
          <w:color w:val="000000"/>
        </w:rPr>
      </w:pPr>
    </w:p>
    <w:p w:rsidR="002727AA" w:rsidRPr="002727AA" w:rsidP="002727AA">
      <w:pPr>
        <w:tabs>
          <w:tab w:val="left" w:pos="5760"/>
        </w:tabs>
        <w:bidi w:val="0"/>
        <w:jc w:val="both"/>
        <w:rPr>
          <w:rStyle w:val="PlaceholderText"/>
          <w:color w:val="000000"/>
        </w:rPr>
      </w:pPr>
    </w:p>
    <w:p w:rsidR="002727AA" w:rsidRPr="002727AA" w:rsidP="002727AA">
      <w:pPr>
        <w:tabs>
          <w:tab w:val="left" w:pos="4320"/>
          <w:tab w:val="left" w:pos="4500"/>
          <w:tab w:val="left" w:pos="4680"/>
          <w:tab w:val="left" w:pos="5760"/>
        </w:tabs>
        <w:bidi w:val="0"/>
        <w:jc w:val="both"/>
        <w:rPr>
          <w:rStyle w:val="PlaceholderText"/>
          <w:b/>
          <w:color w:val="000000"/>
        </w:rPr>
      </w:pPr>
      <w:r w:rsidRPr="002727AA">
        <w:rPr>
          <w:rStyle w:val="PlaceholderText"/>
          <w:b/>
          <w:color w:val="000000"/>
        </w:rPr>
        <w:tab/>
        <w:t>Ivan Uhliarik</w:t>
      </w:r>
      <w:r w:rsidR="005127B5">
        <w:rPr>
          <w:rStyle w:val="PlaceholderText"/>
          <w:b/>
          <w:color w:val="000000"/>
        </w:rPr>
        <w:t>, v.r.</w:t>
      </w:r>
    </w:p>
    <w:p w:rsidR="002727AA" w:rsidRPr="002727AA" w:rsidP="002727AA">
      <w:pPr>
        <w:tabs>
          <w:tab w:val="left" w:pos="4320"/>
          <w:tab w:val="left" w:pos="4680"/>
          <w:tab w:val="left" w:pos="5760"/>
        </w:tabs>
        <w:bidi w:val="0"/>
        <w:jc w:val="both"/>
        <w:rPr>
          <w:rStyle w:val="PlaceholderText"/>
          <w:color w:val="000000"/>
        </w:rPr>
      </w:pPr>
      <w:r w:rsidRPr="002727AA">
        <w:rPr>
          <w:rStyle w:val="PlaceholderText"/>
          <w:color w:val="000000"/>
        </w:rPr>
        <w:tab/>
        <w:t>minister zdravotníctva</w:t>
      </w:r>
    </w:p>
    <w:p w:rsidR="002727AA" w:rsidRPr="002727AA" w:rsidP="00F920F8">
      <w:pPr>
        <w:tabs>
          <w:tab w:val="left" w:pos="4320"/>
          <w:tab w:val="left" w:pos="4680"/>
          <w:tab w:val="left" w:pos="5760"/>
        </w:tabs>
        <w:bidi w:val="0"/>
        <w:jc w:val="both"/>
        <w:rPr>
          <w:rFonts w:ascii="Times New Roman" w:hAnsi="Times New Roman"/>
          <w:color w:val="000000"/>
        </w:rPr>
      </w:pPr>
      <w:r w:rsidRPr="002727AA">
        <w:rPr>
          <w:rStyle w:val="PlaceholderText"/>
          <w:color w:val="000000"/>
        </w:rPr>
        <w:tab/>
        <w:t>Slovenskej republiky</w:t>
      </w:r>
    </w:p>
    <w:sectPr w:rsidSect="00A977D2">
      <w:footerReference w:type="even" r:id="rId4"/>
      <w:footerReference w:type="default" r:id="rId5"/>
      <w:pgSz w:w="11906" w:h="16838"/>
      <w:pgMar w:top="1417" w:right="1417" w:bottom="1417" w:left="1417" w:header="708" w:footer="708" w:gutter="0"/>
      <w:lnNumType w:distance="0"/>
      <w:pgNumType w:start="35"/>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7B5" w:rsidP="001E26D4">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5127B5" w:rsidP="00A977D2">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7B5" w:rsidP="001E26D4">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1D71DE">
      <w:rPr>
        <w:rStyle w:val="PageNumber"/>
        <w:rFonts w:ascii="Times New Roman" w:hAnsi="Times New Roman"/>
        <w:noProof/>
      </w:rPr>
      <w:t>35</w:t>
    </w:r>
    <w:r>
      <w:rPr>
        <w:rStyle w:val="PageNumber"/>
        <w:rFonts w:ascii="Times New Roman" w:hAnsi="Times New Roman"/>
      </w:rPr>
      <w:fldChar w:fldCharType="end"/>
    </w:r>
  </w:p>
  <w:p w:rsidR="005127B5" w:rsidP="00A977D2">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692D6F"/>
    <w:multiLevelType w:val="hybridMultilevel"/>
    <w:tmpl w:val="0598DEF6"/>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6A0F32"/>
    <w:rsid w:val="0000027A"/>
    <w:rsid w:val="00000B86"/>
    <w:rsid w:val="000020B2"/>
    <w:rsid w:val="00005C22"/>
    <w:rsid w:val="000068C7"/>
    <w:rsid w:val="00006A37"/>
    <w:rsid w:val="00011E92"/>
    <w:rsid w:val="00012B13"/>
    <w:rsid w:val="00014C04"/>
    <w:rsid w:val="00015FB5"/>
    <w:rsid w:val="00017EB4"/>
    <w:rsid w:val="00020B86"/>
    <w:rsid w:val="00021514"/>
    <w:rsid w:val="00021906"/>
    <w:rsid w:val="00021E5F"/>
    <w:rsid w:val="00023AF1"/>
    <w:rsid w:val="00024CDB"/>
    <w:rsid w:val="00024CE2"/>
    <w:rsid w:val="00024F9B"/>
    <w:rsid w:val="0002668B"/>
    <w:rsid w:val="0002713A"/>
    <w:rsid w:val="000308E3"/>
    <w:rsid w:val="0003428B"/>
    <w:rsid w:val="00035042"/>
    <w:rsid w:val="0003573F"/>
    <w:rsid w:val="00037FCA"/>
    <w:rsid w:val="00041BE2"/>
    <w:rsid w:val="00041DF7"/>
    <w:rsid w:val="00042725"/>
    <w:rsid w:val="00046041"/>
    <w:rsid w:val="000474B9"/>
    <w:rsid w:val="00051176"/>
    <w:rsid w:val="00052DAE"/>
    <w:rsid w:val="000530DD"/>
    <w:rsid w:val="000541A9"/>
    <w:rsid w:val="0005539D"/>
    <w:rsid w:val="000555F6"/>
    <w:rsid w:val="000614B8"/>
    <w:rsid w:val="000640C3"/>
    <w:rsid w:val="000652D0"/>
    <w:rsid w:val="00065E30"/>
    <w:rsid w:val="00066FF3"/>
    <w:rsid w:val="000700AC"/>
    <w:rsid w:val="000726A6"/>
    <w:rsid w:val="00075DAD"/>
    <w:rsid w:val="00077A93"/>
    <w:rsid w:val="00080E98"/>
    <w:rsid w:val="000840D0"/>
    <w:rsid w:val="00084ABF"/>
    <w:rsid w:val="00084C15"/>
    <w:rsid w:val="0008507A"/>
    <w:rsid w:val="00090C29"/>
    <w:rsid w:val="00093A88"/>
    <w:rsid w:val="000943E9"/>
    <w:rsid w:val="00094EA8"/>
    <w:rsid w:val="0009614C"/>
    <w:rsid w:val="00096290"/>
    <w:rsid w:val="000A2932"/>
    <w:rsid w:val="000A34C6"/>
    <w:rsid w:val="000A474C"/>
    <w:rsid w:val="000A5731"/>
    <w:rsid w:val="000A64D6"/>
    <w:rsid w:val="000A76D1"/>
    <w:rsid w:val="000B057B"/>
    <w:rsid w:val="000B0D79"/>
    <w:rsid w:val="000B0FFF"/>
    <w:rsid w:val="000B444A"/>
    <w:rsid w:val="000B45D3"/>
    <w:rsid w:val="000C0087"/>
    <w:rsid w:val="000C064D"/>
    <w:rsid w:val="000C1224"/>
    <w:rsid w:val="000C301E"/>
    <w:rsid w:val="000C4A16"/>
    <w:rsid w:val="000C4DA7"/>
    <w:rsid w:val="000C4E1E"/>
    <w:rsid w:val="000C5587"/>
    <w:rsid w:val="000C6C7C"/>
    <w:rsid w:val="000C7636"/>
    <w:rsid w:val="000D0AC5"/>
    <w:rsid w:val="000D2934"/>
    <w:rsid w:val="000D2A85"/>
    <w:rsid w:val="000D7356"/>
    <w:rsid w:val="000E2802"/>
    <w:rsid w:val="000E57BC"/>
    <w:rsid w:val="000E6628"/>
    <w:rsid w:val="000F0AC0"/>
    <w:rsid w:val="000F0B10"/>
    <w:rsid w:val="000F27C3"/>
    <w:rsid w:val="000F426A"/>
    <w:rsid w:val="000F5E90"/>
    <w:rsid w:val="000F7880"/>
    <w:rsid w:val="001014FE"/>
    <w:rsid w:val="0010169B"/>
    <w:rsid w:val="001022CF"/>
    <w:rsid w:val="0010339C"/>
    <w:rsid w:val="00103893"/>
    <w:rsid w:val="00104EF3"/>
    <w:rsid w:val="00105EC8"/>
    <w:rsid w:val="0010643F"/>
    <w:rsid w:val="0010764F"/>
    <w:rsid w:val="00111D5E"/>
    <w:rsid w:val="0011352D"/>
    <w:rsid w:val="001149A1"/>
    <w:rsid w:val="00115216"/>
    <w:rsid w:val="00117F24"/>
    <w:rsid w:val="001209EE"/>
    <w:rsid w:val="00121DA2"/>
    <w:rsid w:val="001229F4"/>
    <w:rsid w:val="00131743"/>
    <w:rsid w:val="0013210C"/>
    <w:rsid w:val="001324F5"/>
    <w:rsid w:val="00132517"/>
    <w:rsid w:val="001327C7"/>
    <w:rsid w:val="00134826"/>
    <w:rsid w:val="00137986"/>
    <w:rsid w:val="00140528"/>
    <w:rsid w:val="001432C7"/>
    <w:rsid w:val="00143652"/>
    <w:rsid w:val="0014751B"/>
    <w:rsid w:val="00147B65"/>
    <w:rsid w:val="001501ED"/>
    <w:rsid w:val="0015082E"/>
    <w:rsid w:val="00150D39"/>
    <w:rsid w:val="001538EA"/>
    <w:rsid w:val="00154A03"/>
    <w:rsid w:val="00161080"/>
    <w:rsid w:val="00161679"/>
    <w:rsid w:val="00161EB7"/>
    <w:rsid w:val="0016245E"/>
    <w:rsid w:val="00162A5E"/>
    <w:rsid w:val="001631DD"/>
    <w:rsid w:val="001649F0"/>
    <w:rsid w:val="001669B3"/>
    <w:rsid w:val="00167689"/>
    <w:rsid w:val="001676A3"/>
    <w:rsid w:val="00170664"/>
    <w:rsid w:val="0017359B"/>
    <w:rsid w:val="001740CE"/>
    <w:rsid w:val="001819A6"/>
    <w:rsid w:val="0018656F"/>
    <w:rsid w:val="00190A88"/>
    <w:rsid w:val="0019106F"/>
    <w:rsid w:val="00191B42"/>
    <w:rsid w:val="001924A5"/>
    <w:rsid w:val="001925D2"/>
    <w:rsid w:val="00193D48"/>
    <w:rsid w:val="00194F50"/>
    <w:rsid w:val="00195AA2"/>
    <w:rsid w:val="00195B56"/>
    <w:rsid w:val="00195DCC"/>
    <w:rsid w:val="001978CB"/>
    <w:rsid w:val="001A09F3"/>
    <w:rsid w:val="001A0F30"/>
    <w:rsid w:val="001A17EC"/>
    <w:rsid w:val="001A3B2C"/>
    <w:rsid w:val="001B206A"/>
    <w:rsid w:val="001B3057"/>
    <w:rsid w:val="001B3106"/>
    <w:rsid w:val="001B4FE9"/>
    <w:rsid w:val="001C1C23"/>
    <w:rsid w:val="001C7ACD"/>
    <w:rsid w:val="001D3E54"/>
    <w:rsid w:val="001D5522"/>
    <w:rsid w:val="001D5D94"/>
    <w:rsid w:val="001D71DE"/>
    <w:rsid w:val="001D7DFD"/>
    <w:rsid w:val="001E026A"/>
    <w:rsid w:val="001E059D"/>
    <w:rsid w:val="001E1B9B"/>
    <w:rsid w:val="001E1BF3"/>
    <w:rsid w:val="001E26D4"/>
    <w:rsid w:val="001E6DBE"/>
    <w:rsid w:val="001F0121"/>
    <w:rsid w:val="001F0F77"/>
    <w:rsid w:val="001F1C64"/>
    <w:rsid w:val="001F36CB"/>
    <w:rsid w:val="001F4DB0"/>
    <w:rsid w:val="00201439"/>
    <w:rsid w:val="00202408"/>
    <w:rsid w:val="002036D7"/>
    <w:rsid w:val="00204238"/>
    <w:rsid w:val="002042FB"/>
    <w:rsid w:val="0020779D"/>
    <w:rsid w:val="00214589"/>
    <w:rsid w:val="00215469"/>
    <w:rsid w:val="002156B7"/>
    <w:rsid w:val="00215B51"/>
    <w:rsid w:val="00216B25"/>
    <w:rsid w:val="00217D9F"/>
    <w:rsid w:val="00220A00"/>
    <w:rsid w:val="00222663"/>
    <w:rsid w:val="00224209"/>
    <w:rsid w:val="002271C8"/>
    <w:rsid w:val="002324C7"/>
    <w:rsid w:val="002334A2"/>
    <w:rsid w:val="00234216"/>
    <w:rsid w:val="00235B64"/>
    <w:rsid w:val="00235BC9"/>
    <w:rsid w:val="00236D66"/>
    <w:rsid w:val="00236E23"/>
    <w:rsid w:val="002375B3"/>
    <w:rsid w:val="002375F1"/>
    <w:rsid w:val="002409EB"/>
    <w:rsid w:val="00241FB7"/>
    <w:rsid w:val="00242539"/>
    <w:rsid w:val="00244180"/>
    <w:rsid w:val="002502E8"/>
    <w:rsid w:val="0025070E"/>
    <w:rsid w:val="002536CE"/>
    <w:rsid w:val="0025411A"/>
    <w:rsid w:val="00254C30"/>
    <w:rsid w:val="002555C6"/>
    <w:rsid w:val="00256AB7"/>
    <w:rsid w:val="00256B70"/>
    <w:rsid w:val="002626C5"/>
    <w:rsid w:val="002630E5"/>
    <w:rsid w:val="00266C98"/>
    <w:rsid w:val="002677B5"/>
    <w:rsid w:val="002717E8"/>
    <w:rsid w:val="002727AA"/>
    <w:rsid w:val="00275ADA"/>
    <w:rsid w:val="002762EA"/>
    <w:rsid w:val="002809F6"/>
    <w:rsid w:val="00282FFE"/>
    <w:rsid w:val="002845EE"/>
    <w:rsid w:val="00284823"/>
    <w:rsid w:val="00284C8D"/>
    <w:rsid w:val="00284E5A"/>
    <w:rsid w:val="002853F6"/>
    <w:rsid w:val="002900DD"/>
    <w:rsid w:val="002926CA"/>
    <w:rsid w:val="002928D9"/>
    <w:rsid w:val="002929B8"/>
    <w:rsid w:val="00292C7B"/>
    <w:rsid w:val="00292DF0"/>
    <w:rsid w:val="002937D7"/>
    <w:rsid w:val="00293C57"/>
    <w:rsid w:val="00293FF1"/>
    <w:rsid w:val="00294A7E"/>
    <w:rsid w:val="00297587"/>
    <w:rsid w:val="002A1113"/>
    <w:rsid w:val="002A6E32"/>
    <w:rsid w:val="002B04F7"/>
    <w:rsid w:val="002B23F5"/>
    <w:rsid w:val="002B349D"/>
    <w:rsid w:val="002B425C"/>
    <w:rsid w:val="002B5399"/>
    <w:rsid w:val="002C0B75"/>
    <w:rsid w:val="002C1896"/>
    <w:rsid w:val="002C25ED"/>
    <w:rsid w:val="002C2DC9"/>
    <w:rsid w:val="002C381F"/>
    <w:rsid w:val="002C3B2E"/>
    <w:rsid w:val="002C6E5A"/>
    <w:rsid w:val="002C7AD3"/>
    <w:rsid w:val="002C7E35"/>
    <w:rsid w:val="002D3A09"/>
    <w:rsid w:val="002D3B77"/>
    <w:rsid w:val="002D56BE"/>
    <w:rsid w:val="002D581B"/>
    <w:rsid w:val="002D5F36"/>
    <w:rsid w:val="002D705D"/>
    <w:rsid w:val="002E0A50"/>
    <w:rsid w:val="002E19F7"/>
    <w:rsid w:val="002E1E8F"/>
    <w:rsid w:val="002E664B"/>
    <w:rsid w:val="002F129B"/>
    <w:rsid w:val="002F3C7F"/>
    <w:rsid w:val="002F4464"/>
    <w:rsid w:val="002F4E03"/>
    <w:rsid w:val="002F5F0B"/>
    <w:rsid w:val="002F6594"/>
    <w:rsid w:val="002F6C4D"/>
    <w:rsid w:val="002F7695"/>
    <w:rsid w:val="002F7924"/>
    <w:rsid w:val="002F7F39"/>
    <w:rsid w:val="00301B38"/>
    <w:rsid w:val="003023AC"/>
    <w:rsid w:val="003035C9"/>
    <w:rsid w:val="0030419A"/>
    <w:rsid w:val="00305D30"/>
    <w:rsid w:val="00307ACA"/>
    <w:rsid w:val="00310C29"/>
    <w:rsid w:val="003121FF"/>
    <w:rsid w:val="00312C76"/>
    <w:rsid w:val="00313956"/>
    <w:rsid w:val="003148FC"/>
    <w:rsid w:val="00317ECA"/>
    <w:rsid w:val="00320BA0"/>
    <w:rsid w:val="003217D6"/>
    <w:rsid w:val="00322205"/>
    <w:rsid w:val="00323179"/>
    <w:rsid w:val="00324CAF"/>
    <w:rsid w:val="003255D6"/>
    <w:rsid w:val="003266DC"/>
    <w:rsid w:val="0033195A"/>
    <w:rsid w:val="00333AB2"/>
    <w:rsid w:val="00334F3F"/>
    <w:rsid w:val="00336905"/>
    <w:rsid w:val="003378C1"/>
    <w:rsid w:val="00344058"/>
    <w:rsid w:val="003456D6"/>
    <w:rsid w:val="0034772E"/>
    <w:rsid w:val="00347D73"/>
    <w:rsid w:val="00347F0F"/>
    <w:rsid w:val="0035227F"/>
    <w:rsid w:val="00353874"/>
    <w:rsid w:val="00355422"/>
    <w:rsid w:val="003568C2"/>
    <w:rsid w:val="00361AC9"/>
    <w:rsid w:val="0036241C"/>
    <w:rsid w:val="0036404D"/>
    <w:rsid w:val="003652C5"/>
    <w:rsid w:val="003665FB"/>
    <w:rsid w:val="00366A44"/>
    <w:rsid w:val="0036734D"/>
    <w:rsid w:val="00367ED4"/>
    <w:rsid w:val="00370834"/>
    <w:rsid w:val="00370DAE"/>
    <w:rsid w:val="00371676"/>
    <w:rsid w:val="00373C3B"/>
    <w:rsid w:val="00375063"/>
    <w:rsid w:val="0037581B"/>
    <w:rsid w:val="003759F0"/>
    <w:rsid w:val="0037701A"/>
    <w:rsid w:val="00377041"/>
    <w:rsid w:val="00382541"/>
    <w:rsid w:val="0038377B"/>
    <w:rsid w:val="00384CB0"/>
    <w:rsid w:val="00390B3A"/>
    <w:rsid w:val="00390C9D"/>
    <w:rsid w:val="003918E7"/>
    <w:rsid w:val="00392499"/>
    <w:rsid w:val="003940AE"/>
    <w:rsid w:val="00395A57"/>
    <w:rsid w:val="003965A7"/>
    <w:rsid w:val="00396D01"/>
    <w:rsid w:val="00397392"/>
    <w:rsid w:val="003977F2"/>
    <w:rsid w:val="003A3254"/>
    <w:rsid w:val="003A3E08"/>
    <w:rsid w:val="003A66E0"/>
    <w:rsid w:val="003A6882"/>
    <w:rsid w:val="003A75CC"/>
    <w:rsid w:val="003A7A4E"/>
    <w:rsid w:val="003B0E66"/>
    <w:rsid w:val="003B1FC7"/>
    <w:rsid w:val="003B2AF5"/>
    <w:rsid w:val="003B339D"/>
    <w:rsid w:val="003B365D"/>
    <w:rsid w:val="003B62E0"/>
    <w:rsid w:val="003C0B48"/>
    <w:rsid w:val="003C4B39"/>
    <w:rsid w:val="003C6B72"/>
    <w:rsid w:val="003D1CD3"/>
    <w:rsid w:val="003D1F75"/>
    <w:rsid w:val="003D2C9A"/>
    <w:rsid w:val="003D43A5"/>
    <w:rsid w:val="003D5501"/>
    <w:rsid w:val="003D7F82"/>
    <w:rsid w:val="003D7F8C"/>
    <w:rsid w:val="003E15A1"/>
    <w:rsid w:val="003E176A"/>
    <w:rsid w:val="003E18EA"/>
    <w:rsid w:val="003E2248"/>
    <w:rsid w:val="003E5E64"/>
    <w:rsid w:val="003E5EA8"/>
    <w:rsid w:val="003E7B2F"/>
    <w:rsid w:val="003F2274"/>
    <w:rsid w:val="003F376F"/>
    <w:rsid w:val="003F4C51"/>
    <w:rsid w:val="003F53C2"/>
    <w:rsid w:val="003F5E76"/>
    <w:rsid w:val="00402E16"/>
    <w:rsid w:val="00404B8B"/>
    <w:rsid w:val="00407BE7"/>
    <w:rsid w:val="00407DFC"/>
    <w:rsid w:val="00411C05"/>
    <w:rsid w:val="00413876"/>
    <w:rsid w:val="00414980"/>
    <w:rsid w:val="004154AD"/>
    <w:rsid w:val="00417BBD"/>
    <w:rsid w:val="00417C70"/>
    <w:rsid w:val="00422CD1"/>
    <w:rsid w:val="00422FA1"/>
    <w:rsid w:val="00424399"/>
    <w:rsid w:val="00425B54"/>
    <w:rsid w:val="004263DF"/>
    <w:rsid w:val="00427D46"/>
    <w:rsid w:val="00432AD2"/>
    <w:rsid w:val="00433BBE"/>
    <w:rsid w:val="00440932"/>
    <w:rsid w:val="00440C03"/>
    <w:rsid w:val="00440FF9"/>
    <w:rsid w:val="00442CD3"/>
    <w:rsid w:val="0044357A"/>
    <w:rsid w:val="004435C4"/>
    <w:rsid w:val="00445492"/>
    <w:rsid w:val="004463AC"/>
    <w:rsid w:val="00446A5D"/>
    <w:rsid w:val="004506C0"/>
    <w:rsid w:val="0045160B"/>
    <w:rsid w:val="004548AE"/>
    <w:rsid w:val="00454B33"/>
    <w:rsid w:val="0045502F"/>
    <w:rsid w:val="00455145"/>
    <w:rsid w:val="004558DF"/>
    <w:rsid w:val="0045685F"/>
    <w:rsid w:val="004571AD"/>
    <w:rsid w:val="00457DA5"/>
    <w:rsid w:val="00457FD5"/>
    <w:rsid w:val="00460016"/>
    <w:rsid w:val="00461FFD"/>
    <w:rsid w:val="00462869"/>
    <w:rsid w:val="00462B98"/>
    <w:rsid w:val="004650F2"/>
    <w:rsid w:val="00466001"/>
    <w:rsid w:val="0046660B"/>
    <w:rsid w:val="00467072"/>
    <w:rsid w:val="0046721B"/>
    <w:rsid w:val="0047170E"/>
    <w:rsid w:val="00472296"/>
    <w:rsid w:val="00472A3F"/>
    <w:rsid w:val="00472ED3"/>
    <w:rsid w:val="00473554"/>
    <w:rsid w:val="00473E77"/>
    <w:rsid w:val="00474B48"/>
    <w:rsid w:val="00476DB1"/>
    <w:rsid w:val="004772A9"/>
    <w:rsid w:val="004779CB"/>
    <w:rsid w:val="00480E28"/>
    <w:rsid w:val="00480F85"/>
    <w:rsid w:val="004831DB"/>
    <w:rsid w:val="00483989"/>
    <w:rsid w:val="004845E0"/>
    <w:rsid w:val="00485225"/>
    <w:rsid w:val="004859EE"/>
    <w:rsid w:val="00491D9F"/>
    <w:rsid w:val="004920A7"/>
    <w:rsid w:val="00492286"/>
    <w:rsid w:val="00493519"/>
    <w:rsid w:val="00493B29"/>
    <w:rsid w:val="00495C89"/>
    <w:rsid w:val="004A1123"/>
    <w:rsid w:val="004A126C"/>
    <w:rsid w:val="004A23A8"/>
    <w:rsid w:val="004A3411"/>
    <w:rsid w:val="004A3629"/>
    <w:rsid w:val="004A3B75"/>
    <w:rsid w:val="004A4E40"/>
    <w:rsid w:val="004A4F46"/>
    <w:rsid w:val="004B0750"/>
    <w:rsid w:val="004B0F0C"/>
    <w:rsid w:val="004B0FF1"/>
    <w:rsid w:val="004B1B25"/>
    <w:rsid w:val="004B1C08"/>
    <w:rsid w:val="004B2EBE"/>
    <w:rsid w:val="004B31C1"/>
    <w:rsid w:val="004B3D26"/>
    <w:rsid w:val="004B4ABF"/>
    <w:rsid w:val="004B63A2"/>
    <w:rsid w:val="004C03EA"/>
    <w:rsid w:val="004C51A7"/>
    <w:rsid w:val="004D02B6"/>
    <w:rsid w:val="004D0599"/>
    <w:rsid w:val="004D1B8B"/>
    <w:rsid w:val="004D1C5C"/>
    <w:rsid w:val="004D2797"/>
    <w:rsid w:val="004D35F6"/>
    <w:rsid w:val="004D508C"/>
    <w:rsid w:val="004D5D8A"/>
    <w:rsid w:val="004D7021"/>
    <w:rsid w:val="004D7C61"/>
    <w:rsid w:val="004D7D28"/>
    <w:rsid w:val="004E00C2"/>
    <w:rsid w:val="004E37A1"/>
    <w:rsid w:val="004E5EEB"/>
    <w:rsid w:val="004E643D"/>
    <w:rsid w:val="004E707C"/>
    <w:rsid w:val="004F03E4"/>
    <w:rsid w:val="004F0674"/>
    <w:rsid w:val="004F0907"/>
    <w:rsid w:val="004F1A13"/>
    <w:rsid w:val="004F276A"/>
    <w:rsid w:val="004F37C8"/>
    <w:rsid w:val="004F3CA6"/>
    <w:rsid w:val="004F5257"/>
    <w:rsid w:val="004F597A"/>
    <w:rsid w:val="004F59AE"/>
    <w:rsid w:val="004F6498"/>
    <w:rsid w:val="004F6565"/>
    <w:rsid w:val="004F70FB"/>
    <w:rsid w:val="00500199"/>
    <w:rsid w:val="00500A97"/>
    <w:rsid w:val="00500D2D"/>
    <w:rsid w:val="00502A77"/>
    <w:rsid w:val="0050638C"/>
    <w:rsid w:val="00506FC6"/>
    <w:rsid w:val="005073A0"/>
    <w:rsid w:val="005073B8"/>
    <w:rsid w:val="00510BF3"/>
    <w:rsid w:val="00510EE9"/>
    <w:rsid w:val="00511A17"/>
    <w:rsid w:val="005127B5"/>
    <w:rsid w:val="005134F4"/>
    <w:rsid w:val="00514F57"/>
    <w:rsid w:val="00515C36"/>
    <w:rsid w:val="005202A7"/>
    <w:rsid w:val="00521342"/>
    <w:rsid w:val="005228CB"/>
    <w:rsid w:val="00523B49"/>
    <w:rsid w:val="005250B7"/>
    <w:rsid w:val="00526C6F"/>
    <w:rsid w:val="00527159"/>
    <w:rsid w:val="00527C0A"/>
    <w:rsid w:val="00527E43"/>
    <w:rsid w:val="00532DAC"/>
    <w:rsid w:val="005336AC"/>
    <w:rsid w:val="00533B53"/>
    <w:rsid w:val="00535432"/>
    <w:rsid w:val="0053621F"/>
    <w:rsid w:val="005368D7"/>
    <w:rsid w:val="005412A8"/>
    <w:rsid w:val="00542DBE"/>
    <w:rsid w:val="00543A57"/>
    <w:rsid w:val="005440E8"/>
    <w:rsid w:val="00544E05"/>
    <w:rsid w:val="0054516A"/>
    <w:rsid w:val="00545C60"/>
    <w:rsid w:val="0054608C"/>
    <w:rsid w:val="00546D21"/>
    <w:rsid w:val="00547D91"/>
    <w:rsid w:val="00547FD1"/>
    <w:rsid w:val="00552C1C"/>
    <w:rsid w:val="00553773"/>
    <w:rsid w:val="005537DC"/>
    <w:rsid w:val="00554045"/>
    <w:rsid w:val="0055488C"/>
    <w:rsid w:val="005555B9"/>
    <w:rsid w:val="005569CF"/>
    <w:rsid w:val="00557A63"/>
    <w:rsid w:val="005612C3"/>
    <w:rsid w:val="00561898"/>
    <w:rsid w:val="00562013"/>
    <w:rsid w:val="00563325"/>
    <w:rsid w:val="00563FE9"/>
    <w:rsid w:val="0056445F"/>
    <w:rsid w:val="005654E1"/>
    <w:rsid w:val="005657FB"/>
    <w:rsid w:val="00566798"/>
    <w:rsid w:val="00567EB8"/>
    <w:rsid w:val="00572827"/>
    <w:rsid w:val="00574380"/>
    <w:rsid w:val="005754A1"/>
    <w:rsid w:val="00576B18"/>
    <w:rsid w:val="00577419"/>
    <w:rsid w:val="00577F34"/>
    <w:rsid w:val="00580176"/>
    <w:rsid w:val="005809D0"/>
    <w:rsid w:val="0059069F"/>
    <w:rsid w:val="00593699"/>
    <w:rsid w:val="0059378D"/>
    <w:rsid w:val="00593AA0"/>
    <w:rsid w:val="00593BFE"/>
    <w:rsid w:val="00594DC3"/>
    <w:rsid w:val="00595ACF"/>
    <w:rsid w:val="0059616C"/>
    <w:rsid w:val="00596FCC"/>
    <w:rsid w:val="00597846"/>
    <w:rsid w:val="00597BFB"/>
    <w:rsid w:val="005A0DEB"/>
    <w:rsid w:val="005A1019"/>
    <w:rsid w:val="005A3B36"/>
    <w:rsid w:val="005A4572"/>
    <w:rsid w:val="005A5269"/>
    <w:rsid w:val="005A553A"/>
    <w:rsid w:val="005A67D8"/>
    <w:rsid w:val="005A6BA0"/>
    <w:rsid w:val="005B079C"/>
    <w:rsid w:val="005B1099"/>
    <w:rsid w:val="005B1204"/>
    <w:rsid w:val="005B14AB"/>
    <w:rsid w:val="005B184B"/>
    <w:rsid w:val="005B1E99"/>
    <w:rsid w:val="005B202F"/>
    <w:rsid w:val="005B228B"/>
    <w:rsid w:val="005B2C3B"/>
    <w:rsid w:val="005B32C6"/>
    <w:rsid w:val="005B47D9"/>
    <w:rsid w:val="005B4DEF"/>
    <w:rsid w:val="005B53F0"/>
    <w:rsid w:val="005B595F"/>
    <w:rsid w:val="005B5DBD"/>
    <w:rsid w:val="005B65D7"/>
    <w:rsid w:val="005B7815"/>
    <w:rsid w:val="005C0B3B"/>
    <w:rsid w:val="005C555C"/>
    <w:rsid w:val="005C6118"/>
    <w:rsid w:val="005C7994"/>
    <w:rsid w:val="005D0370"/>
    <w:rsid w:val="005D075D"/>
    <w:rsid w:val="005D496D"/>
    <w:rsid w:val="005D64C3"/>
    <w:rsid w:val="005E2245"/>
    <w:rsid w:val="005E2E77"/>
    <w:rsid w:val="005E36CE"/>
    <w:rsid w:val="005E5A34"/>
    <w:rsid w:val="005E6EAF"/>
    <w:rsid w:val="005F16F7"/>
    <w:rsid w:val="005F17E3"/>
    <w:rsid w:val="005F1E3F"/>
    <w:rsid w:val="005F245B"/>
    <w:rsid w:val="005F42CC"/>
    <w:rsid w:val="005F665A"/>
    <w:rsid w:val="005F6854"/>
    <w:rsid w:val="00602A62"/>
    <w:rsid w:val="006057FF"/>
    <w:rsid w:val="006108A9"/>
    <w:rsid w:val="00611758"/>
    <w:rsid w:val="00611D4D"/>
    <w:rsid w:val="00623662"/>
    <w:rsid w:val="006246D5"/>
    <w:rsid w:val="00625275"/>
    <w:rsid w:val="006254D8"/>
    <w:rsid w:val="00630799"/>
    <w:rsid w:val="00632C7E"/>
    <w:rsid w:val="0063346C"/>
    <w:rsid w:val="00634B65"/>
    <w:rsid w:val="00636817"/>
    <w:rsid w:val="0064339F"/>
    <w:rsid w:val="00647DB8"/>
    <w:rsid w:val="006515C4"/>
    <w:rsid w:val="00653B7F"/>
    <w:rsid w:val="00654262"/>
    <w:rsid w:val="0065538B"/>
    <w:rsid w:val="00655F63"/>
    <w:rsid w:val="00657A14"/>
    <w:rsid w:val="00657A9A"/>
    <w:rsid w:val="00660CC8"/>
    <w:rsid w:val="00662451"/>
    <w:rsid w:val="00662802"/>
    <w:rsid w:val="00662A74"/>
    <w:rsid w:val="00662C0E"/>
    <w:rsid w:val="00664AC6"/>
    <w:rsid w:val="006665EC"/>
    <w:rsid w:val="0066682C"/>
    <w:rsid w:val="0066737B"/>
    <w:rsid w:val="006679D4"/>
    <w:rsid w:val="00667F4A"/>
    <w:rsid w:val="00667FBA"/>
    <w:rsid w:val="006709B8"/>
    <w:rsid w:val="00670ED5"/>
    <w:rsid w:val="00671BBA"/>
    <w:rsid w:val="00672316"/>
    <w:rsid w:val="00673983"/>
    <w:rsid w:val="0067429C"/>
    <w:rsid w:val="00674C4F"/>
    <w:rsid w:val="00675B1F"/>
    <w:rsid w:val="00676AFC"/>
    <w:rsid w:val="00676BC0"/>
    <w:rsid w:val="006772F9"/>
    <w:rsid w:val="006777BB"/>
    <w:rsid w:val="00677965"/>
    <w:rsid w:val="00681B05"/>
    <w:rsid w:val="006857D9"/>
    <w:rsid w:val="006863A1"/>
    <w:rsid w:val="00691C68"/>
    <w:rsid w:val="00692A65"/>
    <w:rsid w:val="00694D5C"/>
    <w:rsid w:val="0069650E"/>
    <w:rsid w:val="00696F60"/>
    <w:rsid w:val="0069776E"/>
    <w:rsid w:val="006A0F32"/>
    <w:rsid w:val="006A13D8"/>
    <w:rsid w:val="006A1C53"/>
    <w:rsid w:val="006A43D3"/>
    <w:rsid w:val="006A4E7D"/>
    <w:rsid w:val="006A5034"/>
    <w:rsid w:val="006A5910"/>
    <w:rsid w:val="006A6855"/>
    <w:rsid w:val="006A7C38"/>
    <w:rsid w:val="006A7D57"/>
    <w:rsid w:val="006B107B"/>
    <w:rsid w:val="006B1AAF"/>
    <w:rsid w:val="006B1BC0"/>
    <w:rsid w:val="006B344B"/>
    <w:rsid w:val="006B4383"/>
    <w:rsid w:val="006B58BC"/>
    <w:rsid w:val="006B5F14"/>
    <w:rsid w:val="006B78BB"/>
    <w:rsid w:val="006C0600"/>
    <w:rsid w:val="006D0627"/>
    <w:rsid w:val="006D06E6"/>
    <w:rsid w:val="006D131A"/>
    <w:rsid w:val="006D29D2"/>
    <w:rsid w:val="006D2AE8"/>
    <w:rsid w:val="006D2E36"/>
    <w:rsid w:val="006D365C"/>
    <w:rsid w:val="006D46CC"/>
    <w:rsid w:val="006D73CA"/>
    <w:rsid w:val="006E05C2"/>
    <w:rsid w:val="006E063C"/>
    <w:rsid w:val="006E3380"/>
    <w:rsid w:val="006E43FE"/>
    <w:rsid w:val="006F01A0"/>
    <w:rsid w:val="006F1876"/>
    <w:rsid w:val="006F2E2D"/>
    <w:rsid w:val="006F36E2"/>
    <w:rsid w:val="006F4140"/>
    <w:rsid w:val="006F70EF"/>
    <w:rsid w:val="006F75C1"/>
    <w:rsid w:val="006F7FCE"/>
    <w:rsid w:val="00700830"/>
    <w:rsid w:val="00702097"/>
    <w:rsid w:val="007024B0"/>
    <w:rsid w:val="00705A65"/>
    <w:rsid w:val="007101F4"/>
    <w:rsid w:val="00711120"/>
    <w:rsid w:val="00712962"/>
    <w:rsid w:val="00712E78"/>
    <w:rsid w:val="007134BF"/>
    <w:rsid w:val="007143BA"/>
    <w:rsid w:val="0071472E"/>
    <w:rsid w:val="007152BD"/>
    <w:rsid w:val="0071577F"/>
    <w:rsid w:val="00716033"/>
    <w:rsid w:val="007179DE"/>
    <w:rsid w:val="00721461"/>
    <w:rsid w:val="007216EA"/>
    <w:rsid w:val="00721E8C"/>
    <w:rsid w:val="00721F84"/>
    <w:rsid w:val="00722DE2"/>
    <w:rsid w:val="00723AD8"/>
    <w:rsid w:val="00723D77"/>
    <w:rsid w:val="00724B89"/>
    <w:rsid w:val="0072734B"/>
    <w:rsid w:val="007309C2"/>
    <w:rsid w:val="007322D5"/>
    <w:rsid w:val="007329BD"/>
    <w:rsid w:val="00732D7E"/>
    <w:rsid w:val="00735A84"/>
    <w:rsid w:val="00735FE1"/>
    <w:rsid w:val="00737EC6"/>
    <w:rsid w:val="00742DE2"/>
    <w:rsid w:val="00744652"/>
    <w:rsid w:val="0074560A"/>
    <w:rsid w:val="00745F9B"/>
    <w:rsid w:val="00746D99"/>
    <w:rsid w:val="00746FC4"/>
    <w:rsid w:val="007516B0"/>
    <w:rsid w:val="007523DF"/>
    <w:rsid w:val="00752505"/>
    <w:rsid w:val="00753F7E"/>
    <w:rsid w:val="00754214"/>
    <w:rsid w:val="0075638C"/>
    <w:rsid w:val="007604F1"/>
    <w:rsid w:val="007608C4"/>
    <w:rsid w:val="007617C9"/>
    <w:rsid w:val="00762197"/>
    <w:rsid w:val="0076357B"/>
    <w:rsid w:val="007661E5"/>
    <w:rsid w:val="0076735C"/>
    <w:rsid w:val="00767F81"/>
    <w:rsid w:val="007707F6"/>
    <w:rsid w:val="0077222B"/>
    <w:rsid w:val="00773C67"/>
    <w:rsid w:val="00776815"/>
    <w:rsid w:val="00776B37"/>
    <w:rsid w:val="00776EB7"/>
    <w:rsid w:val="00780868"/>
    <w:rsid w:val="0078109B"/>
    <w:rsid w:val="00783647"/>
    <w:rsid w:val="00783DA3"/>
    <w:rsid w:val="00783DE9"/>
    <w:rsid w:val="00784FE3"/>
    <w:rsid w:val="00785972"/>
    <w:rsid w:val="00790FEE"/>
    <w:rsid w:val="00793706"/>
    <w:rsid w:val="00794851"/>
    <w:rsid w:val="007959AA"/>
    <w:rsid w:val="00795C00"/>
    <w:rsid w:val="007A18FA"/>
    <w:rsid w:val="007A2427"/>
    <w:rsid w:val="007A2EAA"/>
    <w:rsid w:val="007A3624"/>
    <w:rsid w:val="007A38D7"/>
    <w:rsid w:val="007A5C8A"/>
    <w:rsid w:val="007A66FA"/>
    <w:rsid w:val="007B0371"/>
    <w:rsid w:val="007B570B"/>
    <w:rsid w:val="007C0EF7"/>
    <w:rsid w:val="007C2A24"/>
    <w:rsid w:val="007C372F"/>
    <w:rsid w:val="007C7846"/>
    <w:rsid w:val="007C7F35"/>
    <w:rsid w:val="007D1CA6"/>
    <w:rsid w:val="007D2654"/>
    <w:rsid w:val="007D4A0E"/>
    <w:rsid w:val="007D5386"/>
    <w:rsid w:val="007D57F5"/>
    <w:rsid w:val="007D781B"/>
    <w:rsid w:val="007E034A"/>
    <w:rsid w:val="007E04EE"/>
    <w:rsid w:val="007E1764"/>
    <w:rsid w:val="007E20D0"/>
    <w:rsid w:val="007E3A23"/>
    <w:rsid w:val="007E6E60"/>
    <w:rsid w:val="007E7BE6"/>
    <w:rsid w:val="007E7F3E"/>
    <w:rsid w:val="007F02AD"/>
    <w:rsid w:val="007F1376"/>
    <w:rsid w:val="007F213B"/>
    <w:rsid w:val="007F3A74"/>
    <w:rsid w:val="007F5590"/>
    <w:rsid w:val="007F61CE"/>
    <w:rsid w:val="008024CD"/>
    <w:rsid w:val="00802B70"/>
    <w:rsid w:val="00803112"/>
    <w:rsid w:val="00803517"/>
    <w:rsid w:val="0080386E"/>
    <w:rsid w:val="008050F8"/>
    <w:rsid w:val="0080517D"/>
    <w:rsid w:val="008073CC"/>
    <w:rsid w:val="0080743F"/>
    <w:rsid w:val="00810433"/>
    <w:rsid w:val="0081381A"/>
    <w:rsid w:val="00813C99"/>
    <w:rsid w:val="008142EE"/>
    <w:rsid w:val="00814771"/>
    <w:rsid w:val="008147D4"/>
    <w:rsid w:val="00815055"/>
    <w:rsid w:val="0081508F"/>
    <w:rsid w:val="00815FED"/>
    <w:rsid w:val="0082028C"/>
    <w:rsid w:val="008205BB"/>
    <w:rsid w:val="0082382B"/>
    <w:rsid w:val="00824777"/>
    <w:rsid w:val="008249D8"/>
    <w:rsid w:val="00824EF9"/>
    <w:rsid w:val="00833927"/>
    <w:rsid w:val="0083404E"/>
    <w:rsid w:val="00834A01"/>
    <w:rsid w:val="00835C40"/>
    <w:rsid w:val="00836639"/>
    <w:rsid w:val="00842C55"/>
    <w:rsid w:val="00844021"/>
    <w:rsid w:val="008443D6"/>
    <w:rsid w:val="008455D4"/>
    <w:rsid w:val="0084649D"/>
    <w:rsid w:val="00846B08"/>
    <w:rsid w:val="00851A36"/>
    <w:rsid w:val="008530CB"/>
    <w:rsid w:val="0085718A"/>
    <w:rsid w:val="008573FC"/>
    <w:rsid w:val="008576B0"/>
    <w:rsid w:val="00857D90"/>
    <w:rsid w:val="00861663"/>
    <w:rsid w:val="00861BFD"/>
    <w:rsid w:val="00861F59"/>
    <w:rsid w:val="00864310"/>
    <w:rsid w:val="00866CCA"/>
    <w:rsid w:val="0087092F"/>
    <w:rsid w:val="00871412"/>
    <w:rsid w:val="00871A1C"/>
    <w:rsid w:val="00872D9A"/>
    <w:rsid w:val="008744EE"/>
    <w:rsid w:val="008751D0"/>
    <w:rsid w:val="008802FF"/>
    <w:rsid w:val="008806A5"/>
    <w:rsid w:val="00882C15"/>
    <w:rsid w:val="00882F04"/>
    <w:rsid w:val="00883DF2"/>
    <w:rsid w:val="0088499D"/>
    <w:rsid w:val="008849E7"/>
    <w:rsid w:val="00884FF7"/>
    <w:rsid w:val="008853B8"/>
    <w:rsid w:val="0088758E"/>
    <w:rsid w:val="008876E7"/>
    <w:rsid w:val="008926A1"/>
    <w:rsid w:val="008959BF"/>
    <w:rsid w:val="00896341"/>
    <w:rsid w:val="008A125E"/>
    <w:rsid w:val="008A180A"/>
    <w:rsid w:val="008A325B"/>
    <w:rsid w:val="008A3542"/>
    <w:rsid w:val="008A410C"/>
    <w:rsid w:val="008A579A"/>
    <w:rsid w:val="008A649B"/>
    <w:rsid w:val="008B0A82"/>
    <w:rsid w:val="008B10F3"/>
    <w:rsid w:val="008B1628"/>
    <w:rsid w:val="008B2161"/>
    <w:rsid w:val="008B30B3"/>
    <w:rsid w:val="008B5F42"/>
    <w:rsid w:val="008B7737"/>
    <w:rsid w:val="008C1C09"/>
    <w:rsid w:val="008C414E"/>
    <w:rsid w:val="008C615B"/>
    <w:rsid w:val="008D187B"/>
    <w:rsid w:val="008D43CB"/>
    <w:rsid w:val="008D70DA"/>
    <w:rsid w:val="008E0BE3"/>
    <w:rsid w:val="008E0DB7"/>
    <w:rsid w:val="008E120D"/>
    <w:rsid w:val="008E126D"/>
    <w:rsid w:val="008E1348"/>
    <w:rsid w:val="008E169C"/>
    <w:rsid w:val="008E24FF"/>
    <w:rsid w:val="008E4284"/>
    <w:rsid w:val="008E532F"/>
    <w:rsid w:val="008E71C6"/>
    <w:rsid w:val="008E73D9"/>
    <w:rsid w:val="008F0C75"/>
    <w:rsid w:val="008F219D"/>
    <w:rsid w:val="008F229A"/>
    <w:rsid w:val="008F3413"/>
    <w:rsid w:val="008F349E"/>
    <w:rsid w:val="008F3B21"/>
    <w:rsid w:val="008F6071"/>
    <w:rsid w:val="00901617"/>
    <w:rsid w:val="00904FDA"/>
    <w:rsid w:val="00905199"/>
    <w:rsid w:val="0090556D"/>
    <w:rsid w:val="009062C8"/>
    <w:rsid w:val="00906B80"/>
    <w:rsid w:val="00911E2D"/>
    <w:rsid w:val="00912666"/>
    <w:rsid w:val="00912872"/>
    <w:rsid w:val="009133BF"/>
    <w:rsid w:val="00914E32"/>
    <w:rsid w:val="00917AE0"/>
    <w:rsid w:val="00921C1D"/>
    <w:rsid w:val="00921C36"/>
    <w:rsid w:val="00925A87"/>
    <w:rsid w:val="00926CEC"/>
    <w:rsid w:val="00932D35"/>
    <w:rsid w:val="009351E4"/>
    <w:rsid w:val="00937BF9"/>
    <w:rsid w:val="009400A5"/>
    <w:rsid w:val="009401EA"/>
    <w:rsid w:val="00940280"/>
    <w:rsid w:val="009420AC"/>
    <w:rsid w:val="00943248"/>
    <w:rsid w:val="009478BB"/>
    <w:rsid w:val="00951044"/>
    <w:rsid w:val="009521B1"/>
    <w:rsid w:val="00954DBB"/>
    <w:rsid w:val="00954FF3"/>
    <w:rsid w:val="009618DB"/>
    <w:rsid w:val="00961B2E"/>
    <w:rsid w:val="00967572"/>
    <w:rsid w:val="0097681F"/>
    <w:rsid w:val="00976F94"/>
    <w:rsid w:val="0098138C"/>
    <w:rsid w:val="009818E3"/>
    <w:rsid w:val="00983014"/>
    <w:rsid w:val="00983135"/>
    <w:rsid w:val="00984C44"/>
    <w:rsid w:val="009918D7"/>
    <w:rsid w:val="009926AB"/>
    <w:rsid w:val="009933EC"/>
    <w:rsid w:val="00993CC2"/>
    <w:rsid w:val="009969B2"/>
    <w:rsid w:val="009A013A"/>
    <w:rsid w:val="009A0238"/>
    <w:rsid w:val="009A2CED"/>
    <w:rsid w:val="009A41E3"/>
    <w:rsid w:val="009A59A3"/>
    <w:rsid w:val="009B0660"/>
    <w:rsid w:val="009B0F18"/>
    <w:rsid w:val="009B23EB"/>
    <w:rsid w:val="009B3575"/>
    <w:rsid w:val="009B6632"/>
    <w:rsid w:val="009B73FA"/>
    <w:rsid w:val="009C1EB7"/>
    <w:rsid w:val="009C224B"/>
    <w:rsid w:val="009C258A"/>
    <w:rsid w:val="009C44AA"/>
    <w:rsid w:val="009C456F"/>
    <w:rsid w:val="009C4995"/>
    <w:rsid w:val="009C5C68"/>
    <w:rsid w:val="009C634A"/>
    <w:rsid w:val="009D1859"/>
    <w:rsid w:val="009D28A8"/>
    <w:rsid w:val="009D41D1"/>
    <w:rsid w:val="009D70E8"/>
    <w:rsid w:val="009E3437"/>
    <w:rsid w:val="009E4210"/>
    <w:rsid w:val="009E437F"/>
    <w:rsid w:val="009E44A2"/>
    <w:rsid w:val="009E5301"/>
    <w:rsid w:val="009E53B7"/>
    <w:rsid w:val="009E543B"/>
    <w:rsid w:val="009E5975"/>
    <w:rsid w:val="009E6902"/>
    <w:rsid w:val="009E70B9"/>
    <w:rsid w:val="009F0824"/>
    <w:rsid w:val="009F09AD"/>
    <w:rsid w:val="009F4186"/>
    <w:rsid w:val="009F434C"/>
    <w:rsid w:val="009F550F"/>
    <w:rsid w:val="009F70FC"/>
    <w:rsid w:val="00A00692"/>
    <w:rsid w:val="00A00773"/>
    <w:rsid w:val="00A02182"/>
    <w:rsid w:val="00A03364"/>
    <w:rsid w:val="00A0447D"/>
    <w:rsid w:val="00A05280"/>
    <w:rsid w:val="00A05E08"/>
    <w:rsid w:val="00A07075"/>
    <w:rsid w:val="00A10677"/>
    <w:rsid w:val="00A11AEE"/>
    <w:rsid w:val="00A12D2A"/>
    <w:rsid w:val="00A15291"/>
    <w:rsid w:val="00A1562D"/>
    <w:rsid w:val="00A1588D"/>
    <w:rsid w:val="00A2596B"/>
    <w:rsid w:val="00A26D20"/>
    <w:rsid w:val="00A271F9"/>
    <w:rsid w:val="00A27F82"/>
    <w:rsid w:val="00A30923"/>
    <w:rsid w:val="00A30D45"/>
    <w:rsid w:val="00A3138B"/>
    <w:rsid w:val="00A33878"/>
    <w:rsid w:val="00A359EF"/>
    <w:rsid w:val="00A4114F"/>
    <w:rsid w:val="00A41BC6"/>
    <w:rsid w:val="00A420F1"/>
    <w:rsid w:val="00A421FF"/>
    <w:rsid w:val="00A42268"/>
    <w:rsid w:val="00A445AB"/>
    <w:rsid w:val="00A54758"/>
    <w:rsid w:val="00A608D1"/>
    <w:rsid w:val="00A62496"/>
    <w:rsid w:val="00A62BC7"/>
    <w:rsid w:val="00A6322D"/>
    <w:rsid w:val="00A64046"/>
    <w:rsid w:val="00A65E4E"/>
    <w:rsid w:val="00A71EEF"/>
    <w:rsid w:val="00A72E42"/>
    <w:rsid w:val="00A74315"/>
    <w:rsid w:val="00A82354"/>
    <w:rsid w:val="00A82E04"/>
    <w:rsid w:val="00A832A4"/>
    <w:rsid w:val="00A832FF"/>
    <w:rsid w:val="00A83724"/>
    <w:rsid w:val="00A841BF"/>
    <w:rsid w:val="00A84AA9"/>
    <w:rsid w:val="00A87735"/>
    <w:rsid w:val="00A87BC0"/>
    <w:rsid w:val="00A92CAF"/>
    <w:rsid w:val="00A93B5B"/>
    <w:rsid w:val="00A93C2B"/>
    <w:rsid w:val="00A949C7"/>
    <w:rsid w:val="00A95A14"/>
    <w:rsid w:val="00A95D42"/>
    <w:rsid w:val="00A962C2"/>
    <w:rsid w:val="00A96FB6"/>
    <w:rsid w:val="00A977D2"/>
    <w:rsid w:val="00AA0E9B"/>
    <w:rsid w:val="00AA139E"/>
    <w:rsid w:val="00AA1E80"/>
    <w:rsid w:val="00AA587E"/>
    <w:rsid w:val="00AA6146"/>
    <w:rsid w:val="00AB3F3B"/>
    <w:rsid w:val="00AB58E4"/>
    <w:rsid w:val="00AB611F"/>
    <w:rsid w:val="00AB7EA8"/>
    <w:rsid w:val="00AC0414"/>
    <w:rsid w:val="00AC11F0"/>
    <w:rsid w:val="00AC17D5"/>
    <w:rsid w:val="00AC330A"/>
    <w:rsid w:val="00AC394D"/>
    <w:rsid w:val="00AC464C"/>
    <w:rsid w:val="00AC5306"/>
    <w:rsid w:val="00AC577A"/>
    <w:rsid w:val="00AC6F21"/>
    <w:rsid w:val="00AC7FAD"/>
    <w:rsid w:val="00AD175B"/>
    <w:rsid w:val="00AD29B3"/>
    <w:rsid w:val="00AD3296"/>
    <w:rsid w:val="00AD40F4"/>
    <w:rsid w:val="00AD5A38"/>
    <w:rsid w:val="00AE076B"/>
    <w:rsid w:val="00AE1969"/>
    <w:rsid w:val="00AE2136"/>
    <w:rsid w:val="00AE2229"/>
    <w:rsid w:val="00AE60CF"/>
    <w:rsid w:val="00AE7098"/>
    <w:rsid w:val="00AE71CC"/>
    <w:rsid w:val="00AF02A7"/>
    <w:rsid w:val="00AF05E7"/>
    <w:rsid w:val="00AF0B05"/>
    <w:rsid w:val="00AF253D"/>
    <w:rsid w:val="00AF317D"/>
    <w:rsid w:val="00AF5BCA"/>
    <w:rsid w:val="00AF5D1A"/>
    <w:rsid w:val="00AF5D21"/>
    <w:rsid w:val="00AF6B66"/>
    <w:rsid w:val="00AF7F6F"/>
    <w:rsid w:val="00B000C8"/>
    <w:rsid w:val="00B02502"/>
    <w:rsid w:val="00B0328E"/>
    <w:rsid w:val="00B044FB"/>
    <w:rsid w:val="00B045F0"/>
    <w:rsid w:val="00B1076B"/>
    <w:rsid w:val="00B10788"/>
    <w:rsid w:val="00B1086B"/>
    <w:rsid w:val="00B10FB3"/>
    <w:rsid w:val="00B11B2C"/>
    <w:rsid w:val="00B145E5"/>
    <w:rsid w:val="00B154EF"/>
    <w:rsid w:val="00B15FAB"/>
    <w:rsid w:val="00B163B1"/>
    <w:rsid w:val="00B16EF7"/>
    <w:rsid w:val="00B22BE6"/>
    <w:rsid w:val="00B22E75"/>
    <w:rsid w:val="00B23B79"/>
    <w:rsid w:val="00B26EE5"/>
    <w:rsid w:val="00B32F1B"/>
    <w:rsid w:val="00B3327C"/>
    <w:rsid w:val="00B33DA9"/>
    <w:rsid w:val="00B349F8"/>
    <w:rsid w:val="00B35399"/>
    <w:rsid w:val="00B358EB"/>
    <w:rsid w:val="00B37703"/>
    <w:rsid w:val="00B40DB5"/>
    <w:rsid w:val="00B42996"/>
    <w:rsid w:val="00B44134"/>
    <w:rsid w:val="00B46280"/>
    <w:rsid w:val="00B51236"/>
    <w:rsid w:val="00B54B81"/>
    <w:rsid w:val="00B55060"/>
    <w:rsid w:val="00B5590D"/>
    <w:rsid w:val="00B5617C"/>
    <w:rsid w:val="00B620DC"/>
    <w:rsid w:val="00B6297D"/>
    <w:rsid w:val="00B62C7C"/>
    <w:rsid w:val="00B632FC"/>
    <w:rsid w:val="00B639FC"/>
    <w:rsid w:val="00B647F5"/>
    <w:rsid w:val="00B659CD"/>
    <w:rsid w:val="00B65BE5"/>
    <w:rsid w:val="00B70799"/>
    <w:rsid w:val="00B72B8E"/>
    <w:rsid w:val="00B73BDF"/>
    <w:rsid w:val="00B75252"/>
    <w:rsid w:val="00B75284"/>
    <w:rsid w:val="00B7540D"/>
    <w:rsid w:val="00B75ADD"/>
    <w:rsid w:val="00B75FAD"/>
    <w:rsid w:val="00B80F9E"/>
    <w:rsid w:val="00B81532"/>
    <w:rsid w:val="00B86121"/>
    <w:rsid w:val="00B87CF5"/>
    <w:rsid w:val="00B912A0"/>
    <w:rsid w:val="00B913F5"/>
    <w:rsid w:val="00B93C91"/>
    <w:rsid w:val="00B9404E"/>
    <w:rsid w:val="00B94E9D"/>
    <w:rsid w:val="00B97AFC"/>
    <w:rsid w:val="00BA186C"/>
    <w:rsid w:val="00BA559B"/>
    <w:rsid w:val="00BA65E3"/>
    <w:rsid w:val="00BB31F8"/>
    <w:rsid w:val="00BB3ACE"/>
    <w:rsid w:val="00BB445F"/>
    <w:rsid w:val="00BB65C2"/>
    <w:rsid w:val="00BB7D06"/>
    <w:rsid w:val="00BC4FFB"/>
    <w:rsid w:val="00BC5EAA"/>
    <w:rsid w:val="00BC6D62"/>
    <w:rsid w:val="00BC76D2"/>
    <w:rsid w:val="00BC7964"/>
    <w:rsid w:val="00BC7B24"/>
    <w:rsid w:val="00BC7CF0"/>
    <w:rsid w:val="00BD00A9"/>
    <w:rsid w:val="00BD0D1E"/>
    <w:rsid w:val="00BD1408"/>
    <w:rsid w:val="00BD17EA"/>
    <w:rsid w:val="00BD3D77"/>
    <w:rsid w:val="00BD3E0B"/>
    <w:rsid w:val="00BD44E4"/>
    <w:rsid w:val="00BD4BA7"/>
    <w:rsid w:val="00BD563A"/>
    <w:rsid w:val="00BE154B"/>
    <w:rsid w:val="00BE17BA"/>
    <w:rsid w:val="00BE3A21"/>
    <w:rsid w:val="00BE5D6B"/>
    <w:rsid w:val="00BE79F6"/>
    <w:rsid w:val="00BF393D"/>
    <w:rsid w:val="00BF6F42"/>
    <w:rsid w:val="00C0128B"/>
    <w:rsid w:val="00C03058"/>
    <w:rsid w:val="00C04406"/>
    <w:rsid w:val="00C05DC3"/>
    <w:rsid w:val="00C0714A"/>
    <w:rsid w:val="00C07D93"/>
    <w:rsid w:val="00C10F23"/>
    <w:rsid w:val="00C1462A"/>
    <w:rsid w:val="00C16355"/>
    <w:rsid w:val="00C16805"/>
    <w:rsid w:val="00C206AD"/>
    <w:rsid w:val="00C2262C"/>
    <w:rsid w:val="00C2608A"/>
    <w:rsid w:val="00C2767A"/>
    <w:rsid w:val="00C27FBF"/>
    <w:rsid w:val="00C307E1"/>
    <w:rsid w:val="00C31104"/>
    <w:rsid w:val="00C31C8C"/>
    <w:rsid w:val="00C31FA6"/>
    <w:rsid w:val="00C35D64"/>
    <w:rsid w:val="00C36066"/>
    <w:rsid w:val="00C42466"/>
    <w:rsid w:val="00C425C9"/>
    <w:rsid w:val="00C44375"/>
    <w:rsid w:val="00C454FA"/>
    <w:rsid w:val="00C4761B"/>
    <w:rsid w:val="00C47846"/>
    <w:rsid w:val="00C47E30"/>
    <w:rsid w:val="00C511FE"/>
    <w:rsid w:val="00C51263"/>
    <w:rsid w:val="00C51C6D"/>
    <w:rsid w:val="00C54590"/>
    <w:rsid w:val="00C61849"/>
    <w:rsid w:val="00C62588"/>
    <w:rsid w:val="00C625A7"/>
    <w:rsid w:val="00C63CC7"/>
    <w:rsid w:val="00C64896"/>
    <w:rsid w:val="00C652AB"/>
    <w:rsid w:val="00C66C9E"/>
    <w:rsid w:val="00C67E40"/>
    <w:rsid w:val="00C74560"/>
    <w:rsid w:val="00C7489C"/>
    <w:rsid w:val="00C765F6"/>
    <w:rsid w:val="00C824E9"/>
    <w:rsid w:val="00C82F24"/>
    <w:rsid w:val="00C84622"/>
    <w:rsid w:val="00C85DFE"/>
    <w:rsid w:val="00C919EB"/>
    <w:rsid w:val="00C925D0"/>
    <w:rsid w:val="00C9447A"/>
    <w:rsid w:val="00C94DC9"/>
    <w:rsid w:val="00CA0932"/>
    <w:rsid w:val="00CA1F06"/>
    <w:rsid w:val="00CA343F"/>
    <w:rsid w:val="00CA47E4"/>
    <w:rsid w:val="00CA5C5B"/>
    <w:rsid w:val="00CB0597"/>
    <w:rsid w:val="00CB1B31"/>
    <w:rsid w:val="00CB42ED"/>
    <w:rsid w:val="00CB45E2"/>
    <w:rsid w:val="00CB61A8"/>
    <w:rsid w:val="00CB773B"/>
    <w:rsid w:val="00CC08B0"/>
    <w:rsid w:val="00CC17AF"/>
    <w:rsid w:val="00CC2584"/>
    <w:rsid w:val="00CC2DE6"/>
    <w:rsid w:val="00CC4397"/>
    <w:rsid w:val="00CC5146"/>
    <w:rsid w:val="00CD1427"/>
    <w:rsid w:val="00CD2033"/>
    <w:rsid w:val="00CD28F4"/>
    <w:rsid w:val="00CD41D3"/>
    <w:rsid w:val="00CD4791"/>
    <w:rsid w:val="00CD5A8C"/>
    <w:rsid w:val="00CD7E20"/>
    <w:rsid w:val="00CE2126"/>
    <w:rsid w:val="00CE3FF4"/>
    <w:rsid w:val="00CE5CA1"/>
    <w:rsid w:val="00CE7425"/>
    <w:rsid w:val="00CF1EAD"/>
    <w:rsid w:val="00CF2040"/>
    <w:rsid w:val="00CF4145"/>
    <w:rsid w:val="00CF4D27"/>
    <w:rsid w:val="00CF5714"/>
    <w:rsid w:val="00CF650D"/>
    <w:rsid w:val="00CF6782"/>
    <w:rsid w:val="00CF6D98"/>
    <w:rsid w:val="00CF7F06"/>
    <w:rsid w:val="00D0243E"/>
    <w:rsid w:val="00D06B00"/>
    <w:rsid w:val="00D06CCF"/>
    <w:rsid w:val="00D10ECC"/>
    <w:rsid w:val="00D147FC"/>
    <w:rsid w:val="00D201A9"/>
    <w:rsid w:val="00D2445B"/>
    <w:rsid w:val="00D27818"/>
    <w:rsid w:val="00D30049"/>
    <w:rsid w:val="00D3271B"/>
    <w:rsid w:val="00D33704"/>
    <w:rsid w:val="00D342BF"/>
    <w:rsid w:val="00D37658"/>
    <w:rsid w:val="00D4383B"/>
    <w:rsid w:val="00D468BC"/>
    <w:rsid w:val="00D47522"/>
    <w:rsid w:val="00D5000E"/>
    <w:rsid w:val="00D5089F"/>
    <w:rsid w:val="00D50D44"/>
    <w:rsid w:val="00D52F93"/>
    <w:rsid w:val="00D53283"/>
    <w:rsid w:val="00D53E44"/>
    <w:rsid w:val="00D55465"/>
    <w:rsid w:val="00D55585"/>
    <w:rsid w:val="00D57D4F"/>
    <w:rsid w:val="00D60D25"/>
    <w:rsid w:val="00D64A56"/>
    <w:rsid w:val="00D6569E"/>
    <w:rsid w:val="00D65B3F"/>
    <w:rsid w:val="00D65DEC"/>
    <w:rsid w:val="00D67660"/>
    <w:rsid w:val="00D700E1"/>
    <w:rsid w:val="00D71730"/>
    <w:rsid w:val="00D71EFA"/>
    <w:rsid w:val="00D7431C"/>
    <w:rsid w:val="00D75DFF"/>
    <w:rsid w:val="00D75F85"/>
    <w:rsid w:val="00D827FD"/>
    <w:rsid w:val="00D86C0E"/>
    <w:rsid w:val="00D87476"/>
    <w:rsid w:val="00D87C46"/>
    <w:rsid w:val="00D900DF"/>
    <w:rsid w:val="00D92CC3"/>
    <w:rsid w:val="00D94165"/>
    <w:rsid w:val="00D94366"/>
    <w:rsid w:val="00D97242"/>
    <w:rsid w:val="00D973FA"/>
    <w:rsid w:val="00DA0DC7"/>
    <w:rsid w:val="00DA1234"/>
    <w:rsid w:val="00DA18FD"/>
    <w:rsid w:val="00DA218F"/>
    <w:rsid w:val="00DA3DE7"/>
    <w:rsid w:val="00DA4C47"/>
    <w:rsid w:val="00DB1960"/>
    <w:rsid w:val="00DB1A92"/>
    <w:rsid w:val="00DB1D4D"/>
    <w:rsid w:val="00DB399A"/>
    <w:rsid w:val="00DB4035"/>
    <w:rsid w:val="00DB6C89"/>
    <w:rsid w:val="00DC0B3E"/>
    <w:rsid w:val="00DC5810"/>
    <w:rsid w:val="00DC6EC1"/>
    <w:rsid w:val="00DD1232"/>
    <w:rsid w:val="00DD2404"/>
    <w:rsid w:val="00DD3490"/>
    <w:rsid w:val="00DD4C34"/>
    <w:rsid w:val="00DD6F53"/>
    <w:rsid w:val="00DD74C7"/>
    <w:rsid w:val="00DE0691"/>
    <w:rsid w:val="00DE074A"/>
    <w:rsid w:val="00DE0D89"/>
    <w:rsid w:val="00DE4369"/>
    <w:rsid w:val="00DE4BDB"/>
    <w:rsid w:val="00DE6393"/>
    <w:rsid w:val="00DF0E0D"/>
    <w:rsid w:val="00DF4163"/>
    <w:rsid w:val="00DF44BC"/>
    <w:rsid w:val="00DF5AAF"/>
    <w:rsid w:val="00DF6F97"/>
    <w:rsid w:val="00DF7C5B"/>
    <w:rsid w:val="00DF7DA3"/>
    <w:rsid w:val="00E00D8C"/>
    <w:rsid w:val="00E01538"/>
    <w:rsid w:val="00E02656"/>
    <w:rsid w:val="00E0379F"/>
    <w:rsid w:val="00E03D0D"/>
    <w:rsid w:val="00E04117"/>
    <w:rsid w:val="00E043AD"/>
    <w:rsid w:val="00E04B82"/>
    <w:rsid w:val="00E057B5"/>
    <w:rsid w:val="00E05F68"/>
    <w:rsid w:val="00E062A2"/>
    <w:rsid w:val="00E10605"/>
    <w:rsid w:val="00E10CB4"/>
    <w:rsid w:val="00E12377"/>
    <w:rsid w:val="00E1644A"/>
    <w:rsid w:val="00E17DFC"/>
    <w:rsid w:val="00E22D0F"/>
    <w:rsid w:val="00E22DAC"/>
    <w:rsid w:val="00E22F59"/>
    <w:rsid w:val="00E26563"/>
    <w:rsid w:val="00E26CEF"/>
    <w:rsid w:val="00E3093B"/>
    <w:rsid w:val="00E30B25"/>
    <w:rsid w:val="00E31737"/>
    <w:rsid w:val="00E31B53"/>
    <w:rsid w:val="00E36737"/>
    <w:rsid w:val="00E43681"/>
    <w:rsid w:val="00E437BC"/>
    <w:rsid w:val="00E50AF5"/>
    <w:rsid w:val="00E50EBB"/>
    <w:rsid w:val="00E51FF3"/>
    <w:rsid w:val="00E523EC"/>
    <w:rsid w:val="00E52F5A"/>
    <w:rsid w:val="00E53155"/>
    <w:rsid w:val="00E53DCC"/>
    <w:rsid w:val="00E54329"/>
    <w:rsid w:val="00E545AA"/>
    <w:rsid w:val="00E60C1F"/>
    <w:rsid w:val="00E617E2"/>
    <w:rsid w:val="00E61D0A"/>
    <w:rsid w:val="00E62D7C"/>
    <w:rsid w:val="00E637EE"/>
    <w:rsid w:val="00E66B04"/>
    <w:rsid w:val="00E677DD"/>
    <w:rsid w:val="00E67F02"/>
    <w:rsid w:val="00E71BED"/>
    <w:rsid w:val="00E73E33"/>
    <w:rsid w:val="00E74207"/>
    <w:rsid w:val="00E7553D"/>
    <w:rsid w:val="00E77585"/>
    <w:rsid w:val="00E7794D"/>
    <w:rsid w:val="00E77BAC"/>
    <w:rsid w:val="00E84249"/>
    <w:rsid w:val="00E87907"/>
    <w:rsid w:val="00E87A78"/>
    <w:rsid w:val="00E93816"/>
    <w:rsid w:val="00E942CE"/>
    <w:rsid w:val="00E95C9E"/>
    <w:rsid w:val="00E95FFC"/>
    <w:rsid w:val="00E972B5"/>
    <w:rsid w:val="00EA1B6E"/>
    <w:rsid w:val="00EA1C2D"/>
    <w:rsid w:val="00EA2163"/>
    <w:rsid w:val="00EA4B63"/>
    <w:rsid w:val="00EA6247"/>
    <w:rsid w:val="00EA67B6"/>
    <w:rsid w:val="00EB18A4"/>
    <w:rsid w:val="00EB2404"/>
    <w:rsid w:val="00EB2C41"/>
    <w:rsid w:val="00EB2E7B"/>
    <w:rsid w:val="00EB31EE"/>
    <w:rsid w:val="00EB4B29"/>
    <w:rsid w:val="00EB4F17"/>
    <w:rsid w:val="00EB52FA"/>
    <w:rsid w:val="00EC4440"/>
    <w:rsid w:val="00EC5814"/>
    <w:rsid w:val="00EC6BE8"/>
    <w:rsid w:val="00EC7CFC"/>
    <w:rsid w:val="00EC7D7E"/>
    <w:rsid w:val="00ED25BC"/>
    <w:rsid w:val="00ED59C5"/>
    <w:rsid w:val="00ED5C30"/>
    <w:rsid w:val="00ED6034"/>
    <w:rsid w:val="00ED61CF"/>
    <w:rsid w:val="00ED7904"/>
    <w:rsid w:val="00EE14B4"/>
    <w:rsid w:val="00EE1A51"/>
    <w:rsid w:val="00EE3D80"/>
    <w:rsid w:val="00EE4006"/>
    <w:rsid w:val="00EE5EB8"/>
    <w:rsid w:val="00EE6726"/>
    <w:rsid w:val="00EF149F"/>
    <w:rsid w:val="00EF53B1"/>
    <w:rsid w:val="00EF5BBA"/>
    <w:rsid w:val="00EF6652"/>
    <w:rsid w:val="00EF6674"/>
    <w:rsid w:val="00EF7189"/>
    <w:rsid w:val="00F006A9"/>
    <w:rsid w:val="00F03AD1"/>
    <w:rsid w:val="00F03AD8"/>
    <w:rsid w:val="00F04B12"/>
    <w:rsid w:val="00F058D5"/>
    <w:rsid w:val="00F0630B"/>
    <w:rsid w:val="00F10A1E"/>
    <w:rsid w:val="00F1249E"/>
    <w:rsid w:val="00F2148B"/>
    <w:rsid w:val="00F22080"/>
    <w:rsid w:val="00F23669"/>
    <w:rsid w:val="00F2411D"/>
    <w:rsid w:val="00F25FD7"/>
    <w:rsid w:val="00F26617"/>
    <w:rsid w:val="00F27A1C"/>
    <w:rsid w:val="00F30654"/>
    <w:rsid w:val="00F33C35"/>
    <w:rsid w:val="00F33CD6"/>
    <w:rsid w:val="00F36AE3"/>
    <w:rsid w:val="00F37E23"/>
    <w:rsid w:val="00F42868"/>
    <w:rsid w:val="00F42DE1"/>
    <w:rsid w:val="00F436C9"/>
    <w:rsid w:val="00F443BB"/>
    <w:rsid w:val="00F4520C"/>
    <w:rsid w:val="00F509FB"/>
    <w:rsid w:val="00F50C76"/>
    <w:rsid w:val="00F511A6"/>
    <w:rsid w:val="00F51F81"/>
    <w:rsid w:val="00F52C85"/>
    <w:rsid w:val="00F53F1B"/>
    <w:rsid w:val="00F56A1E"/>
    <w:rsid w:val="00F600D4"/>
    <w:rsid w:val="00F60D26"/>
    <w:rsid w:val="00F62462"/>
    <w:rsid w:val="00F653B5"/>
    <w:rsid w:val="00F667BC"/>
    <w:rsid w:val="00F6757D"/>
    <w:rsid w:val="00F6765C"/>
    <w:rsid w:val="00F717BE"/>
    <w:rsid w:val="00F73717"/>
    <w:rsid w:val="00F7460E"/>
    <w:rsid w:val="00F7522C"/>
    <w:rsid w:val="00F768E0"/>
    <w:rsid w:val="00F76F6E"/>
    <w:rsid w:val="00F807A7"/>
    <w:rsid w:val="00F81784"/>
    <w:rsid w:val="00F83743"/>
    <w:rsid w:val="00F83DDF"/>
    <w:rsid w:val="00F83EA8"/>
    <w:rsid w:val="00F86293"/>
    <w:rsid w:val="00F8682B"/>
    <w:rsid w:val="00F87793"/>
    <w:rsid w:val="00F87E4E"/>
    <w:rsid w:val="00F902DF"/>
    <w:rsid w:val="00F9200D"/>
    <w:rsid w:val="00F920F8"/>
    <w:rsid w:val="00F92B74"/>
    <w:rsid w:val="00F931A5"/>
    <w:rsid w:val="00F9343E"/>
    <w:rsid w:val="00F9386D"/>
    <w:rsid w:val="00F93954"/>
    <w:rsid w:val="00F9738A"/>
    <w:rsid w:val="00F97973"/>
    <w:rsid w:val="00FA0103"/>
    <w:rsid w:val="00FA1084"/>
    <w:rsid w:val="00FA23ED"/>
    <w:rsid w:val="00FA2640"/>
    <w:rsid w:val="00FA3F9A"/>
    <w:rsid w:val="00FA4689"/>
    <w:rsid w:val="00FA6DBD"/>
    <w:rsid w:val="00FA7379"/>
    <w:rsid w:val="00FA7CCD"/>
    <w:rsid w:val="00FB0447"/>
    <w:rsid w:val="00FB0DB7"/>
    <w:rsid w:val="00FB0EBA"/>
    <w:rsid w:val="00FB1D1E"/>
    <w:rsid w:val="00FB2403"/>
    <w:rsid w:val="00FB6890"/>
    <w:rsid w:val="00FB7C57"/>
    <w:rsid w:val="00FC18D6"/>
    <w:rsid w:val="00FC35B3"/>
    <w:rsid w:val="00FC4F97"/>
    <w:rsid w:val="00FC5AE5"/>
    <w:rsid w:val="00FC75E6"/>
    <w:rsid w:val="00FD0D13"/>
    <w:rsid w:val="00FD1932"/>
    <w:rsid w:val="00FD2B85"/>
    <w:rsid w:val="00FD3A5E"/>
    <w:rsid w:val="00FD3FB1"/>
    <w:rsid w:val="00FD562A"/>
    <w:rsid w:val="00FD60A3"/>
    <w:rsid w:val="00FD65B3"/>
    <w:rsid w:val="00FD73A1"/>
    <w:rsid w:val="00FE0DC8"/>
    <w:rsid w:val="00FE1DB1"/>
    <w:rsid w:val="00FE2CE4"/>
    <w:rsid w:val="00FF1FAE"/>
    <w:rsid w:val="00FF2202"/>
    <w:rsid w:val="00FF56D0"/>
    <w:rsid w:val="00FF674B"/>
    <w:rsid w:val="00FF6756"/>
    <w:rsid w:val="00FF7988"/>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0F32"/>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BodyText2">
    <w:name w:val="Body Text 2"/>
    <w:basedOn w:val="Normal"/>
    <w:link w:val="Zkladntext2Char"/>
    <w:rsid w:val="006A0F32"/>
    <w:pPr>
      <w:ind w:firstLine="708"/>
      <w:jc w:val="both"/>
    </w:pPr>
    <w:rPr>
      <w:b/>
      <w:bCs/>
    </w:rPr>
  </w:style>
  <w:style w:type="character" w:customStyle="1" w:styleId="Zkladntext2Char">
    <w:name w:val="Základný text 2 Char"/>
    <w:basedOn w:val="DefaultParagraphFont"/>
    <w:link w:val="BodyText2"/>
    <w:locked/>
    <w:rsid w:val="006A0F32"/>
    <w:rPr>
      <w:rFonts w:cs="Times New Roman"/>
      <w:b/>
      <w:bCs/>
      <w:sz w:val="24"/>
      <w:szCs w:val="24"/>
      <w:rtl w:val="0"/>
      <w:cs w:val="0"/>
      <w:lang w:val="sk-SK" w:eastAsia="sk-SK" w:bidi="ar-SA"/>
    </w:rPr>
  </w:style>
  <w:style w:type="character" w:styleId="PlaceholderText">
    <w:name w:val="Placeholder Text"/>
    <w:basedOn w:val="DefaultParagraphFont"/>
    <w:semiHidden/>
    <w:rsid w:val="006A0F32"/>
    <w:rPr>
      <w:rFonts w:ascii="Times New Roman" w:hAnsi="Times New Roman" w:cs="Times New Roman"/>
      <w:color w:val="808080"/>
      <w:rtl w:val="0"/>
      <w:cs w:val="0"/>
    </w:rPr>
  </w:style>
  <w:style w:type="paragraph" w:styleId="Footer">
    <w:name w:val="footer"/>
    <w:basedOn w:val="Normal"/>
    <w:rsid w:val="00A977D2"/>
    <w:pPr>
      <w:tabs>
        <w:tab w:val="center" w:pos="4536"/>
        <w:tab w:val="right" w:pos="9072"/>
      </w:tabs>
      <w:jc w:val="left"/>
    </w:pPr>
  </w:style>
  <w:style w:type="character" w:styleId="PageNumber">
    <w:name w:val="page number"/>
    <w:basedOn w:val="DefaultParagraphFont"/>
    <w:rsid w:val="00A977D2"/>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Pages>
  <Words>1297</Words>
  <Characters>7611</Characters>
  <Application>Microsoft Office Word</Application>
  <DocSecurity>0</DocSecurity>
  <Lines>0</Lines>
  <Paragraphs>0</Paragraphs>
  <ScaleCrop>false</ScaleCrop>
  <Company>MZ SR</Company>
  <LinksUpToDate>false</LinksUpToDate>
  <CharactersWithSpaces>8891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Zuzana Földesová Motajová</dc:creator>
  <cp:lastModifiedBy>GaspJarm</cp:lastModifiedBy>
  <cp:revision>2</cp:revision>
  <dcterms:created xsi:type="dcterms:W3CDTF">2010-11-26T16:34:00Z</dcterms:created>
  <dcterms:modified xsi:type="dcterms:W3CDTF">2010-11-26T16:34:00Z</dcterms:modified>
</cp:coreProperties>
</file>