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260"/>
        <w:gridCol w:w="5040"/>
        <w:gridCol w:w="540"/>
        <w:gridCol w:w="1080"/>
        <w:gridCol w:w="720"/>
        <w:gridCol w:w="5940"/>
        <w:gridCol w:w="360"/>
        <w:gridCol w:w="72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3D3D63" w:rsidRPr="005E1554">
            <w:pPr>
              <w:pStyle w:val="Heading1"/>
              <w:bidi w:val="0"/>
              <w:rPr>
                <w:rFonts w:ascii="Times New Roman" w:hAnsi="Times New Roman"/>
                <w:sz w:val="20"/>
                <w:szCs w:val="20"/>
              </w:rPr>
            </w:pPr>
            <w:r w:rsidRPr="005E1554">
              <w:rPr>
                <w:rFonts w:ascii="Times New Roman" w:hAnsi="Times New Roman"/>
                <w:sz w:val="20"/>
                <w:szCs w:val="20"/>
              </w:rPr>
              <w:t>TABUĽKA  ZHODY</w:t>
            </w:r>
          </w:p>
          <w:p w:rsidR="003D3D63" w:rsidRPr="005E1554">
            <w:pPr>
              <w:pStyle w:val="Heading1"/>
              <w:bidi w:val="0"/>
              <w:spacing w:after="120"/>
              <w:rPr>
                <w:rFonts w:ascii="Times New Roman" w:hAnsi="Times New Roman"/>
                <w:b w:val="0"/>
                <w:bCs w:val="0"/>
                <w:sz w:val="20"/>
                <w:szCs w:val="20"/>
              </w:rPr>
            </w:pPr>
            <w:r w:rsidRPr="005E1554">
              <w:rPr>
                <w:rFonts w:ascii="Times New Roman" w:hAnsi="Times New Roman"/>
                <w:sz w:val="20"/>
                <w:szCs w:val="20"/>
              </w:rPr>
              <w:t>smernice ES/EÚ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800" w:type="dxa"/>
            <w:gridSpan w:val="2"/>
            <w:tcBorders>
              <w:top w:val="single" w:sz="4" w:space="0" w:color="auto"/>
              <w:left w:val="single" w:sz="12" w:space="0" w:color="auto"/>
              <w:bottom w:val="single" w:sz="4" w:space="0" w:color="auto"/>
              <w:right w:val="nil"/>
            </w:tcBorders>
            <w:textDirection w:val="lrTb"/>
            <w:vAlign w:val="top"/>
          </w:tcPr>
          <w:p w:rsidR="003D3D63" w:rsidRPr="005E1554">
            <w:pPr>
              <w:pStyle w:val="Heading4"/>
              <w:bidi w:val="0"/>
              <w:jc w:val="both"/>
              <w:rPr>
                <w:rFonts w:ascii="Times New Roman" w:hAnsi="Times New Roman"/>
                <w:sz w:val="20"/>
                <w:szCs w:val="20"/>
              </w:rPr>
            </w:pPr>
            <w:r w:rsidRPr="005E1554">
              <w:rPr>
                <w:rFonts w:ascii="Times New Roman" w:hAnsi="Times New Roman"/>
                <w:sz w:val="20"/>
                <w:szCs w:val="20"/>
              </w:rPr>
              <w:t>Názov smernice:</w:t>
            </w:r>
          </w:p>
        </w:tc>
        <w:tc>
          <w:tcPr>
            <w:tcW w:w="14400" w:type="dxa"/>
            <w:gridSpan w:val="7"/>
            <w:tcBorders>
              <w:top w:val="single" w:sz="4" w:space="0" w:color="auto"/>
              <w:left w:val="nil"/>
              <w:bottom w:val="single" w:sz="4" w:space="0" w:color="auto"/>
              <w:right w:val="single" w:sz="12" w:space="0" w:color="auto"/>
            </w:tcBorders>
            <w:textDirection w:val="lrTb"/>
            <w:vAlign w:val="top"/>
          </w:tcPr>
          <w:p w:rsidR="003D3D63" w:rsidRPr="005E1554" w:rsidP="007058D7">
            <w:pPr>
              <w:pStyle w:val="tlNormlnywebovTahomaTunVavo0cm"/>
              <w:bidi w:val="0"/>
              <w:spacing w:before="0" w:after="0"/>
              <w:ind w:right="0"/>
              <w:jc w:val="both"/>
              <w:rPr>
                <w:rFonts w:ascii="Times New Roman" w:hAnsi="Times New Roman" w:cs="Times New Roman"/>
                <w:b w:val="0"/>
                <w:bCs w:val="0"/>
                <w:sz w:val="20"/>
                <w:szCs w:val="20"/>
              </w:rPr>
            </w:pPr>
            <w:r w:rsidRPr="005E1554" w:rsidR="007058D7">
              <w:rPr>
                <w:rFonts w:ascii="Times New Roman" w:hAnsi="Times New Roman" w:cs="Times New Roman"/>
                <w:sz w:val="20"/>
                <w:szCs w:val="20"/>
              </w:rPr>
              <w:t>Smernica Rady 2009/162/EÚ z  22. decembra 2009, ktorou sa menia a dopĺňajú niektoré ustanovenia smernice 2006/112/ES o spoločnom systéme dane z pridanej hodnoty</w:t>
            </w:r>
          </w:p>
        </w:tc>
      </w:tr>
      <w:tr>
        <w:tblPrEx>
          <w:tblW w:w="16200" w:type="dxa"/>
          <w:tblInd w:w="-497" w:type="dxa"/>
          <w:tblLayout w:type="fixed"/>
          <w:tblCellMar>
            <w:left w:w="43" w:type="dxa"/>
            <w:right w:w="43" w:type="dxa"/>
          </w:tblCellMar>
        </w:tblPrEx>
        <w:trPr>
          <w:trHeight w:val="567"/>
        </w:trPr>
        <w:tc>
          <w:tcPr>
            <w:tcW w:w="7380" w:type="dxa"/>
            <w:gridSpan w:val="4"/>
            <w:tcBorders>
              <w:top w:val="single" w:sz="4" w:space="0" w:color="auto"/>
              <w:left w:val="single" w:sz="12" w:space="0" w:color="auto"/>
              <w:bottom w:val="single" w:sz="4" w:space="0" w:color="auto"/>
              <w:right w:val="single" w:sz="12" w:space="0" w:color="auto"/>
            </w:tcBorders>
            <w:textDirection w:val="lrTb"/>
            <w:vAlign w:val="top"/>
          </w:tcPr>
          <w:p w:rsidR="003D3D63" w:rsidRPr="005E1554" w:rsidP="002E13F3">
            <w:pPr>
              <w:pStyle w:val="Heading4"/>
              <w:bidi w:val="0"/>
              <w:spacing w:before="120"/>
              <w:jc w:val="both"/>
              <w:rPr>
                <w:rFonts w:ascii="Times New Roman" w:hAnsi="Times New Roman"/>
                <w:sz w:val="20"/>
                <w:szCs w:val="20"/>
                <w:u w:val="single"/>
              </w:rPr>
            </w:pPr>
            <w:r w:rsidRPr="005E1554">
              <w:rPr>
                <w:rFonts w:ascii="Times New Roman" w:hAnsi="Times New Roman"/>
                <w:sz w:val="20"/>
                <w:szCs w:val="20"/>
                <w:u w:val="single"/>
              </w:rPr>
              <w:t>Smernica ES/EÚ</w:t>
            </w:r>
          </w:p>
          <w:p w:rsidR="003D3D63" w:rsidRPr="005E1554" w:rsidP="00C44FA7">
            <w:pPr>
              <w:pStyle w:val="BodyText3"/>
              <w:bidi w:val="0"/>
              <w:spacing w:line="240" w:lineRule="auto"/>
              <w:rPr>
                <w:rFonts w:ascii="Times New Roman" w:hAnsi="Times New Roman"/>
                <w:sz w:val="20"/>
                <w:szCs w:val="20"/>
              </w:rPr>
            </w:pPr>
          </w:p>
          <w:p w:rsidR="00F732BE" w:rsidRPr="005E1554" w:rsidP="007058D7">
            <w:pPr>
              <w:pStyle w:val="tlNormlnywebovTahomaTunVavo0cm"/>
              <w:bidi w:val="0"/>
              <w:spacing w:before="0" w:after="0"/>
              <w:ind w:right="0"/>
              <w:jc w:val="both"/>
              <w:rPr>
                <w:rFonts w:ascii="Times New Roman" w:hAnsi="Times New Roman" w:cs="Times New Roman"/>
                <w:sz w:val="20"/>
                <w:szCs w:val="20"/>
              </w:rPr>
            </w:pPr>
            <w:r w:rsidRPr="005E1554" w:rsidR="007058D7">
              <w:rPr>
                <w:rFonts w:ascii="Times New Roman" w:hAnsi="Times New Roman" w:cs="Times New Roman"/>
                <w:sz w:val="20"/>
                <w:szCs w:val="20"/>
              </w:rPr>
              <w:t>Smernica Rady 2009/162/EÚ z  22. decembra 2009 , ktorou sa menia a dopĺňajú niektoré ustanovenia smernice 2006/112/ES o spoločnom systéme dane z pridanej hodnoty</w:t>
            </w:r>
          </w:p>
        </w:tc>
        <w:tc>
          <w:tcPr>
            <w:tcW w:w="8820" w:type="dxa"/>
            <w:gridSpan w:val="5"/>
            <w:tcBorders>
              <w:top w:val="single" w:sz="4" w:space="0" w:color="auto"/>
              <w:left w:val="nil"/>
              <w:bottom w:val="single" w:sz="4" w:space="0" w:color="auto"/>
              <w:right w:val="single" w:sz="12" w:space="0" w:color="auto"/>
            </w:tcBorders>
            <w:textDirection w:val="lrTb"/>
            <w:vAlign w:val="top"/>
          </w:tcPr>
          <w:p w:rsidR="003D3D63" w:rsidRPr="005E1554" w:rsidP="002E13F3">
            <w:pPr>
              <w:pStyle w:val="Heading4"/>
              <w:bidi w:val="0"/>
              <w:spacing w:before="120"/>
              <w:jc w:val="both"/>
              <w:rPr>
                <w:rFonts w:ascii="Times New Roman" w:hAnsi="Times New Roman"/>
                <w:sz w:val="20"/>
                <w:szCs w:val="20"/>
                <w:u w:val="single"/>
              </w:rPr>
            </w:pPr>
            <w:r w:rsidRPr="005E1554">
              <w:rPr>
                <w:rFonts w:ascii="Times New Roman" w:hAnsi="Times New Roman"/>
                <w:sz w:val="20"/>
                <w:szCs w:val="20"/>
                <w:u w:val="single"/>
              </w:rPr>
              <w:t>Všeobecne záväzné právne predpisy Slovenskej republiky</w:t>
            </w:r>
          </w:p>
          <w:p w:rsidR="003D3D63" w:rsidRPr="005E1554" w:rsidP="002E13F3">
            <w:pPr>
              <w:pStyle w:val="Header"/>
              <w:tabs>
                <w:tab w:val="left" w:pos="709"/>
              </w:tabs>
              <w:bidi w:val="0"/>
              <w:jc w:val="both"/>
              <w:rPr>
                <w:rFonts w:ascii="Times New Roman" w:hAnsi="Times New Roman"/>
                <w:sz w:val="20"/>
                <w:szCs w:val="20"/>
              </w:rPr>
            </w:pPr>
          </w:p>
          <w:p w:rsidR="00030212" w:rsidRPr="005E1554" w:rsidP="002E13F3">
            <w:pPr>
              <w:pStyle w:val="Header"/>
              <w:tabs>
                <w:tab w:val="left" w:pos="709"/>
              </w:tabs>
              <w:bidi w:val="0"/>
              <w:jc w:val="both"/>
              <w:rPr>
                <w:rFonts w:ascii="Times New Roman" w:hAnsi="Times New Roman"/>
                <w:b/>
                <w:bCs/>
                <w:sz w:val="20"/>
                <w:szCs w:val="20"/>
              </w:rPr>
            </w:pPr>
            <w:r w:rsidRPr="005E1554">
              <w:rPr>
                <w:rFonts w:ascii="Times New Roman" w:hAnsi="Times New Roman"/>
                <w:b/>
                <w:bCs/>
                <w:sz w:val="20"/>
                <w:szCs w:val="20"/>
              </w:rPr>
              <w:t>Zákon č. 222/2004 Z.z. o dani z pridanej hodnoty v znení neskorších predpisov (ďalej len „222/2004 Z.z.)</w:t>
            </w:r>
          </w:p>
          <w:p w:rsidR="00030212" w:rsidRPr="005E1554" w:rsidP="002E13F3">
            <w:pPr>
              <w:pStyle w:val="Header"/>
              <w:tabs>
                <w:tab w:val="left" w:pos="709"/>
              </w:tabs>
              <w:bidi w:val="0"/>
              <w:jc w:val="both"/>
              <w:rPr>
                <w:rFonts w:ascii="Times New Roman" w:hAnsi="Times New Roman"/>
                <w:b/>
                <w:bCs/>
                <w:sz w:val="20"/>
                <w:szCs w:val="20"/>
              </w:rPr>
            </w:pPr>
          </w:p>
          <w:p w:rsidR="00135BA5" w:rsidRPr="005E1554" w:rsidP="002E13F3">
            <w:pPr>
              <w:pStyle w:val="Header"/>
              <w:tabs>
                <w:tab w:val="left" w:pos="709"/>
              </w:tabs>
              <w:bidi w:val="0"/>
              <w:jc w:val="both"/>
              <w:rPr>
                <w:rFonts w:ascii="Times New Roman" w:hAnsi="Times New Roman"/>
                <w:sz w:val="20"/>
                <w:szCs w:val="20"/>
              </w:rPr>
            </w:pPr>
            <w:r w:rsidRPr="005E1554">
              <w:rPr>
                <w:rFonts w:ascii="Times New Roman" w:hAnsi="Times New Roman"/>
                <w:b/>
                <w:bCs/>
                <w:sz w:val="20"/>
                <w:szCs w:val="20"/>
              </w:rPr>
              <w:t>Návrh zákona</w:t>
            </w:r>
            <w:r w:rsidRPr="005E1554" w:rsidR="00542EEF">
              <w:rPr>
                <w:rFonts w:ascii="Times New Roman" w:hAnsi="Times New Roman"/>
                <w:b/>
                <w:bCs/>
                <w:sz w:val="20"/>
                <w:szCs w:val="20"/>
              </w:rPr>
              <w:t xml:space="preserve">, ktorým sa mení a dopĺňa zákon č. </w:t>
            </w:r>
            <w:r w:rsidRPr="005E1554" w:rsidR="00030212">
              <w:rPr>
                <w:rFonts w:ascii="Times New Roman" w:hAnsi="Times New Roman"/>
                <w:b/>
                <w:bCs/>
                <w:sz w:val="20"/>
                <w:szCs w:val="20"/>
              </w:rPr>
              <w:t>2</w:t>
            </w:r>
            <w:r w:rsidRPr="005E1554" w:rsidR="00542EEF">
              <w:rPr>
                <w:rFonts w:ascii="Times New Roman" w:hAnsi="Times New Roman"/>
                <w:b/>
                <w:bCs/>
                <w:sz w:val="20"/>
                <w:szCs w:val="20"/>
              </w:rPr>
              <w:t>22/2004 Z.z. o dani z pridanej hodnoty v znení neskorších predpisov (ďalej len „</w:t>
            </w:r>
            <w:r w:rsidRPr="005E1554" w:rsidR="009970FC">
              <w:rPr>
                <w:rFonts w:ascii="Times New Roman" w:hAnsi="Times New Roman"/>
                <w:b/>
                <w:bCs/>
                <w:sz w:val="20"/>
                <w:szCs w:val="20"/>
              </w:rPr>
              <w:t>X/20</w:t>
            </w:r>
            <w:r w:rsidRPr="005E1554" w:rsidR="007E5B78">
              <w:rPr>
                <w:rFonts w:ascii="Times New Roman" w:hAnsi="Times New Roman"/>
                <w:b/>
                <w:bCs/>
                <w:sz w:val="20"/>
                <w:szCs w:val="20"/>
              </w:rPr>
              <w:t>1</w:t>
            </w:r>
            <w:r w:rsidRPr="005E1554" w:rsidR="00CD37CF">
              <w:rPr>
                <w:rFonts w:ascii="Times New Roman" w:hAnsi="Times New Roman"/>
                <w:b/>
                <w:bCs/>
                <w:sz w:val="20"/>
                <w:szCs w:val="20"/>
              </w:rPr>
              <w:t>0</w:t>
            </w:r>
            <w:r w:rsidRPr="005E1554" w:rsidR="00FE4C37">
              <w:rPr>
                <w:rFonts w:ascii="Times New Roman" w:hAnsi="Times New Roman"/>
                <w:b/>
                <w:bCs/>
                <w:sz w:val="20"/>
                <w:szCs w:val="20"/>
              </w:rPr>
              <w:t xml:space="preserve"> Z.z.</w:t>
            </w:r>
            <w:r w:rsidRPr="005E1554" w:rsidR="00542EEF">
              <w:rPr>
                <w:rFonts w:ascii="Times New Roman" w:hAnsi="Times New Roman"/>
                <w:b/>
                <w:bCs/>
                <w:sz w:val="20"/>
                <w:szCs w:val="20"/>
              </w:rPr>
              <w:t>“)</w:t>
            </w:r>
          </w:p>
          <w:p w:rsidR="002E13F3" w:rsidRPr="005E1554" w:rsidP="00ED450F">
            <w:pPr>
              <w:pStyle w:val="Header"/>
              <w:tabs>
                <w:tab w:val="left" w:pos="709"/>
              </w:tabs>
              <w:bidi w:val="0"/>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E1554">
            <w:pPr>
              <w:bidi w:val="0"/>
              <w:jc w:val="center"/>
              <w:rPr>
                <w:rFonts w:ascii="Times New Roman" w:hAnsi="Times New Roman"/>
                <w:sz w:val="20"/>
                <w:szCs w:val="20"/>
              </w:rPr>
            </w:pPr>
            <w:r w:rsidRPr="005E1554">
              <w:rPr>
                <w:rFonts w:ascii="Times New Roman" w:hAnsi="Times New Roman"/>
                <w:sz w:val="20"/>
                <w:szCs w:val="20"/>
              </w:rPr>
              <w:t>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5E1554">
            <w:pPr>
              <w:bidi w:val="0"/>
              <w:jc w:val="center"/>
              <w:rPr>
                <w:rFonts w:ascii="Times New Roman" w:hAnsi="Times New Roman"/>
                <w:sz w:val="20"/>
                <w:szCs w:val="20"/>
              </w:rPr>
            </w:pPr>
            <w:r w:rsidRPr="005E1554">
              <w:rPr>
                <w:rFonts w:ascii="Times New Roman" w:hAnsi="Times New Roman"/>
                <w:sz w:val="20"/>
                <w:szCs w:val="20"/>
              </w:rPr>
              <w:t>2</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E1554">
            <w:pPr>
              <w:bidi w:val="0"/>
              <w:jc w:val="center"/>
              <w:rPr>
                <w:rFonts w:ascii="Times New Roman" w:hAnsi="Times New Roman"/>
                <w:sz w:val="20"/>
                <w:szCs w:val="20"/>
              </w:rPr>
            </w:pPr>
            <w:r w:rsidRPr="005E1554">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260A5A" w:rsidRPr="005E1554">
            <w:pPr>
              <w:bidi w:val="0"/>
              <w:jc w:val="center"/>
              <w:rPr>
                <w:rFonts w:ascii="Times New Roman" w:hAnsi="Times New Roman"/>
                <w:sz w:val="20"/>
                <w:szCs w:val="20"/>
              </w:rPr>
            </w:pPr>
            <w:r w:rsidRPr="005E1554">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pPr>
              <w:pStyle w:val="BodyText2"/>
              <w:bidi w:val="0"/>
              <w:spacing w:after="0" w:line="240" w:lineRule="exact"/>
              <w:jc w:val="center"/>
              <w:rPr>
                <w:rFonts w:ascii="Times New Roman" w:hAnsi="Times New Roman"/>
                <w:sz w:val="20"/>
                <w:szCs w:val="20"/>
              </w:rPr>
            </w:pPr>
            <w:r w:rsidRPr="005E1554">
              <w:rPr>
                <w:rFonts w:ascii="Times New Roman" w:hAnsi="Times New Roman"/>
                <w:sz w:val="20"/>
                <w:szCs w:val="20"/>
              </w:rPr>
              <w:t>5</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pPr>
              <w:pStyle w:val="BodyText2"/>
              <w:bidi w:val="0"/>
              <w:spacing w:after="0" w:line="240" w:lineRule="exact"/>
              <w:jc w:val="center"/>
              <w:rPr>
                <w:rFonts w:ascii="Times New Roman" w:hAnsi="Times New Roman"/>
                <w:sz w:val="20"/>
                <w:szCs w:val="20"/>
              </w:rPr>
            </w:pPr>
            <w:r w:rsidRPr="005E1554">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pPr>
              <w:bidi w:val="0"/>
              <w:jc w:val="center"/>
              <w:rPr>
                <w:rFonts w:ascii="Times New Roman" w:hAnsi="Times New Roman"/>
                <w:sz w:val="20"/>
                <w:szCs w:val="20"/>
              </w:rPr>
            </w:pPr>
            <w:r w:rsidRPr="005E1554">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E1554" w:rsidP="00260A5A">
            <w:pPr>
              <w:bidi w:val="0"/>
              <w:jc w:val="center"/>
              <w:rPr>
                <w:rFonts w:ascii="Times New Roman" w:hAnsi="Times New Roman"/>
                <w:sz w:val="20"/>
                <w:szCs w:val="20"/>
              </w:rPr>
            </w:pPr>
            <w:r w:rsidRPr="005E1554">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E1554">
            <w:pPr>
              <w:pStyle w:val="Normlny"/>
              <w:bidi w:val="0"/>
              <w:rPr>
                <w:rFonts w:ascii="Times New Roman" w:hAnsi="Times New Roman"/>
              </w:rPr>
            </w:pPr>
            <w:r w:rsidRPr="005E1554">
              <w:rPr>
                <w:rFonts w:ascii="Times New Roman" w:hAnsi="Times New Roman"/>
              </w:rPr>
              <w:t>Článok</w:t>
            </w:r>
          </w:p>
          <w:p w:rsidR="00260A5A" w:rsidRPr="005E1554">
            <w:pPr>
              <w:pStyle w:val="Normlny"/>
              <w:bidi w:val="0"/>
              <w:rPr>
                <w:rFonts w:ascii="Times New Roman" w:hAnsi="Times New Roman"/>
              </w:rPr>
            </w:pPr>
            <w:r w:rsidRPr="005E1554">
              <w:rPr>
                <w:rFonts w:ascii="Times New Roman" w:hAnsi="Times New Roman"/>
              </w:rPr>
              <w:t>(Č, O,</w:t>
            </w:r>
          </w:p>
          <w:p w:rsidR="00260A5A" w:rsidRPr="005E1554">
            <w:pPr>
              <w:pStyle w:val="Normlny"/>
              <w:bidi w:val="0"/>
              <w:rPr>
                <w:rFonts w:ascii="Times New Roman" w:hAnsi="Times New Roman"/>
              </w:rPr>
            </w:pPr>
            <w:r w:rsidRPr="005E1554">
              <w:rPr>
                <w:rFonts w:ascii="Times New Roman" w:hAnsi="Times New Roman"/>
              </w:rPr>
              <w:t>V, P)</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Text</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Spôsob transpozície</w:t>
            </w:r>
          </w:p>
        </w:tc>
        <w:tc>
          <w:tcPr>
            <w:tcW w:w="1080" w:type="dxa"/>
            <w:tcBorders>
              <w:top w:val="single" w:sz="4" w:space="0" w:color="auto"/>
              <w:left w:val="nil"/>
              <w:bottom w:val="single" w:sz="4" w:space="0" w:color="auto"/>
              <w:right w:val="single" w:sz="4"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Článok (Č, §, O, V, P)</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Text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Zhoda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E1554">
            <w:pPr>
              <w:pStyle w:val="Normlny"/>
              <w:bidi w:val="0"/>
              <w:jc w:val="center"/>
              <w:rPr>
                <w:rFonts w:ascii="Times New Roman" w:hAnsi="Times New Roman"/>
              </w:rPr>
            </w:pPr>
            <w:r w:rsidRPr="005E1554">
              <w:rPr>
                <w:rFonts w:ascii="Times New Roman" w:hAnsi="Times New Roman"/>
              </w:rPr>
              <w:t>Poznámky</w:t>
            </w:r>
          </w:p>
          <w:p w:rsidR="00260A5A" w:rsidRPr="005E1554" w:rsidP="00260A5A">
            <w:pPr>
              <w:pStyle w:val="Normlny"/>
              <w:bidi w:val="0"/>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26420F">
            <w:pPr>
              <w:bidi w:val="0"/>
              <w:rPr>
                <w:rFonts w:ascii="Times New Roman" w:hAnsi="Times New Roman"/>
                <w:sz w:val="20"/>
                <w:szCs w:val="20"/>
              </w:rPr>
            </w:pPr>
            <w:r w:rsidRPr="005E1554">
              <w:rPr>
                <w:rFonts w:ascii="Times New Roman" w:hAnsi="Times New Roman"/>
                <w:sz w:val="20"/>
                <w:szCs w:val="20"/>
              </w:rPr>
              <w:t xml:space="preserve">Čl. </w:t>
            </w:r>
            <w:r w:rsidRPr="005E1554" w:rsidR="00015F24">
              <w:rPr>
                <w:rFonts w:ascii="Times New Roman" w:hAnsi="Times New Roman"/>
                <w:sz w:val="20"/>
                <w:szCs w:val="20"/>
              </w:rPr>
              <w:t>1 bod 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Článok 1</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Smernica 2006/112/ES sa týmto mení a dopĺňa takto:</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1. V článku 2 sa odsek 3 nahrádza takto:</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"3. "Výrobky podliehajúce spotrebnej dani" sú energetické výrobky, alkohol a alkoholické nápoje a tabakové výrobky, ako sú definované platnými právnymi predpismi Spoločenstva, s výnimkou plynu dodávaného prostredníctvom sústavy zemného plynu, ktorá sa nachádza na území Spoločenstva, alebo akejkoľvek siete, ktorá je k takejto sústave pripojená."</w:t>
            </w:r>
          </w:p>
          <w:p w:rsidR="00423D7A" w:rsidRPr="005E1554" w:rsidP="00015F24">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7E057C">
            <w:pPr>
              <w:bidi w:val="0"/>
              <w:jc w:val="both"/>
              <w:rPr>
                <w:rFonts w:ascii="Times New Roman" w:hAnsi="Times New Roman"/>
                <w:sz w:val="20"/>
                <w:szCs w:val="20"/>
              </w:rPr>
            </w:pPr>
            <w:r w:rsidRPr="005E1554" w:rsidR="000777D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E1554" w:rsidP="004F4343">
            <w:pPr>
              <w:bidi w:val="0"/>
              <w:rPr>
                <w:rFonts w:ascii="Times New Roman" w:hAnsi="Times New Roman"/>
                <w:sz w:val="20"/>
                <w:szCs w:val="20"/>
              </w:rPr>
            </w:pPr>
            <w:r w:rsidRPr="005E1554" w:rsidR="00190FC5">
              <w:rPr>
                <w:rFonts w:ascii="Times New Roman" w:hAnsi="Times New Roman"/>
                <w:sz w:val="20"/>
                <w:szCs w:val="20"/>
              </w:rPr>
              <w:t>222/2004 Z.z.</w:t>
            </w:r>
          </w:p>
          <w:p w:rsidR="00190FC5" w:rsidRPr="005E1554" w:rsidP="004F4343">
            <w:pPr>
              <w:bidi w:val="0"/>
              <w:rPr>
                <w:rFonts w:ascii="Times New Roman" w:hAnsi="Times New Roman"/>
                <w:sz w:val="20"/>
                <w:szCs w:val="20"/>
              </w:rPr>
            </w:pPr>
          </w:p>
          <w:p w:rsidR="00190FC5" w:rsidRPr="005E1554" w:rsidP="004F4343">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190FC5" w:rsidRPr="005E1554"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7E057C">
            <w:pPr>
              <w:bidi w:val="0"/>
              <w:rPr>
                <w:rFonts w:ascii="Times New Roman" w:hAnsi="Times New Roman"/>
                <w:sz w:val="20"/>
                <w:szCs w:val="20"/>
              </w:rPr>
            </w:pPr>
            <w:r w:rsidRPr="005E1554" w:rsidR="00190FC5">
              <w:rPr>
                <w:rFonts w:ascii="Times New Roman" w:hAnsi="Times New Roman"/>
                <w:sz w:val="20"/>
                <w:szCs w:val="20"/>
              </w:rPr>
              <w:t>§ 6 ods. 6</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202D09">
            <w:pPr>
              <w:pStyle w:val="BodyText2"/>
              <w:bidi w:val="0"/>
              <w:spacing w:after="0" w:line="240" w:lineRule="auto"/>
              <w:jc w:val="both"/>
              <w:rPr>
                <w:rFonts w:ascii="Times New Roman" w:hAnsi="Times New Roman"/>
                <w:sz w:val="20"/>
                <w:szCs w:val="20"/>
              </w:rPr>
            </w:pPr>
            <w:r w:rsidRPr="005E1554" w:rsidR="00190FC5">
              <w:rPr>
                <w:rFonts w:ascii="Times New Roman" w:hAnsi="Times New Roman"/>
                <w:sz w:val="20"/>
                <w:szCs w:val="20"/>
              </w:rPr>
              <w:t>(6) Tovarom, ktorý je predmetom spotrebnej dane na účely tohto zákona, rozumie sa tovar, ktorý je ako predmet spotrebnej dane vymedzený v zákonoch o spotrebných daniach</w:t>
            </w:r>
            <w:r w:rsidRPr="005E1554" w:rsidR="00A63E6B">
              <w:rPr>
                <w:rFonts w:ascii="Times New Roman" w:hAnsi="Times New Roman"/>
                <w:sz w:val="20"/>
                <w:szCs w:val="20"/>
                <w:vertAlign w:val="superscript"/>
              </w:rPr>
              <w:t>5)</w:t>
            </w:r>
            <w:r w:rsidRPr="005E1554" w:rsidR="00190FC5">
              <w:rPr>
                <w:rFonts w:ascii="Times New Roman" w:hAnsi="Times New Roman"/>
                <w:sz w:val="20"/>
                <w:szCs w:val="20"/>
              </w:rPr>
              <w:t xml:space="preserve"> okrem plynu dodávaného prostredníctvom </w:t>
            </w:r>
            <w:r w:rsidRPr="005E1554" w:rsidR="00190FC5">
              <w:rPr>
                <w:rFonts w:ascii="Times New Roman" w:hAnsi="Times New Roman"/>
                <w:strike/>
                <w:sz w:val="20"/>
                <w:szCs w:val="20"/>
              </w:rPr>
              <w:t>rozvodnej siete zemného plynu</w:t>
            </w:r>
            <w:r w:rsidRPr="005E1554" w:rsidR="00190FC5">
              <w:rPr>
                <w:rFonts w:ascii="Times New Roman" w:hAnsi="Times New Roman"/>
                <w:sz w:val="20"/>
                <w:szCs w:val="20"/>
              </w:rPr>
              <w:t xml:space="preserve"> </w:t>
            </w:r>
            <w:r w:rsidRPr="005E1554" w:rsidR="00190FC5">
              <w:rPr>
                <w:rFonts w:ascii="Times New Roman" w:hAnsi="Times New Roman"/>
                <w:b/>
                <w:bCs/>
                <w:sz w:val="20"/>
                <w:szCs w:val="20"/>
              </w:rPr>
              <w:t>sústavy zemného plynu, ktorá sa nachádza na území Európske</w:t>
            </w:r>
            <w:r w:rsidRPr="005E1554" w:rsidR="00A63E6B">
              <w:rPr>
                <w:rFonts w:ascii="Times New Roman" w:hAnsi="Times New Roman"/>
                <w:b/>
                <w:bCs/>
                <w:sz w:val="20"/>
                <w:szCs w:val="20"/>
              </w:rPr>
              <w:t>j</w:t>
            </w:r>
            <w:r w:rsidRPr="005E1554" w:rsidR="00190FC5">
              <w:rPr>
                <w:rFonts w:ascii="Times New Roman" w:hAnsi="Times New Roman"/>
                <w:b/>
                <w:bCs/>
                <w:sz w:val="20"/>
                <w:szCs w:val="20"/>
              </w:rPr>
              <w:t xml:space="preserve"> </w:t>
            </w:r>
            <w:r w:rsidRPr="005E1554" w:rsidR="00A63E6B">
              <w:rPr>
                <w:rFonts w:ascii="Times New Roman" w:hAnsi="Times New Roman"/>
                <w:b/>
                <w:bCs/>
                <w:sz w:val="20"/>
                <w:szCs w:val="20"/>
              </w:rPr>
              <w:t>únie</w:t>
            </w:r>
            <w:r w:rsidRPr="005E1554" w:rsidR="00190FC5">
              <w:rPr>
                <w:rFonts w:ascii="Times New Roman" w:hAnsi="Times New Roman"/>
                <w:b/>
                <w:bCs/>
                <w:sz w:val="20"/>
                <w:szCs w:val="20"/>
              </w:rPr>
              <w:t>, alebo siete, ktorá je k takejto sústave pripojená</w:t>
            </w:r>
            <w:r w:rsidR="006E5C26">
              <w:rPr>
                <w:rFonts w:ascii="Times New Roman" w:hAnsi="Times New Roman"/>
                <w:b/>
                <w:bCs/>
                <w:sz w:val="20"/>
                <w:szCs w:val="20"/>
              </w:rPr>
              <w:t>,</w:t>
            </w:r>
            <w:r w:rsidRPr="005E1554" w:rsidR="00190FC5">
              <w:rPr>
                <w:rFonts w:ascii="Times New Roman" w:hAnsi="Times New Roman"/>
                <w:b/>
                <w:bCs/>
                <w:sz w:val="20"/>
                <w:szCs w:val="20"/>
              </w:rPr>
              <w:t xml:space="preserve"> </w:t>
            </w:r>
            <w:r w:rsidRPr="005E1554" w:rsidR="00190FC5">
              <w:rPr>
                <w:rFonts w:ascii="Times New Roman" w:hAnsi="Times New Roman"/>
                <w:sz w:val="20"/>
                <w:szCs w:val="20"/>
              </w:rPr>
              <w:t>a elektriny.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7E057C">
            <w:pPr>
              <w:bidi w:val="0"/>
              <w:jc w:val="both"/>
              <w:rPr>
                <w:rFonts w:ascii="Times New Roman" w:hAnsi="Times New Roman"/>
                <w:sz w:val="20"/>
                <w:szCs w:val="20"/>
              </w:rPr>
            </w:pPr>
            <w:r w:rsidRPr="005E1554" w:rsidR="00876EAF">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26420F">
            <w:pPr>
              <w:bidi w:val="0"/>
              <w:rPr>
                <w:rFonts w:ascii="Times New Roman" w:hAnsi="Times New Roman"/>
                <w:sz w:val="20"/>
                <w:szCs w:val="20"/>
              </w:rPr>
            </w:pPr>
            <w:r w:rsidRPr="005E1554">
              <w:rPr>
                <w:rFonts w:ascii="Times New Roman" w:hAnsi="Times New Roman"/>
                <w:sz w:val="20"/>
                <w:szCs w:val="20"/>
              </w:rPr>
              <w:t xml:space="preserve">Čl. </w:t>
            </w:r>
            <w:r w:rsidRPr="005E1554" w:rsidR="00015F24">
              <w:rPr>
                <w:rFonts w:ascii="Times New Roman" w:hAnsi="Times New Roman"/>
                <w:sz w:val="20"/>
                <w:szCs w:val="20"/>
              </w:rPr>
              <w:t>1 bod 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2. V článku 13 sa odsek 2 nahrádza takto:</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"2. Členské štáty môžu považovať činnosti, ktoré sú oslobodené od dane podľa článkov 132, 135, 136 a 371, článkov 374 až 377, článku 378 ods. 2, článku 379 ods. 2 alebo článkov 380 až 390b a ktoré vykonávajú subjekty spravované verejným právom, za činnosti, ktorých sa zúčastňujú ako orgány verejnej moci."</w:t>
            </w:r>
          </w:p>
          <w:p w:rsidR="00423D7A" w:rsidRPr="005E1554" w:rsidP="00EB0021">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7E057C">
            <w:pPr>
              <w:bidi w:val="0"/>
              <w:jc w:val="both"/>
              <w:rPr>
                <w:rFonts w:ascii="Times New Roman" w:hAnsi="Times New Roman"/>
                <w:sz w:val="20"/>
                <w:szCs w:val="20"/>
              </w:rPr>
            </w:pPr>
            <w:r w:rsidRPr="005E1554" w:rsidR="0034415E">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0777DB" w:rsidRPr="005E1554"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777DB" w:rsidRPr="005E1554"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62696F" w:rsidRPr="005E1554" w:rsidP="00E4322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7E057C">
            <w:pPr>
              <w:bidi w:val="0"/>
              <w:jc w:val="both"/>
              <w:rPr>
                <w:rFonts w:ascii="Times New Roman" w:hAnsi="Times New Roman"/>
                <w:sz w:val="20"/>
                <w:szCs w:val="20"/>
              </w:rPr>
            </w:pPr>
            <w:r w:rsidRPr="005E1554" w:rsidR="0034415E">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015F24">
              <w:rPr>
                <w:rFonts w:ascii="Times New Roman" w:hAnsi="Times New Roman"/>
                <w:sz w:val="20"/>
                <w:szCs w:val="20"/>
              </w:rPr>
              <w:t>1 bod 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3. V článku 15 sa odsek 1 nahrádza takto:</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"1. Elektrina, plyn, teplo alebo chlad a podobne sa považujú za hmotný majetok."</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34415E" w:rsidRPr="005E1554" w:rsidP="0034415E">
            <w:pPr>
              <w:bidi w:val="0"/>
              <w:rPr>
                <w:rFonts w:ascii="Times New Roman" w:hAnsi="Times New Roman"/>
                <w:sz w:val="20"/>
                <w:szCs w:val="20"/>
              </w:rPr>
            </w:pPr>
            <w:r w:rsidRPr="005E1554">
              <w:rPr>
                <w:rFonts w:ascii="Times New Roman" w:hAnsi="Times New Roman"/>
                <w:sz w:val="20"/>
                <w:szCs w:val="20"/>
              </w:rPr>
              <w:t>222/2004 Z.z.</w:t>
            </w:r>
          </w:p>
          <w:p w:rsidR="0034415E" w:rsidRPr="005E1554" w:rsidP="0034415E">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FE4C37" w:rsidRPr="005E1554"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4C37" w:rsidRPr="005E1554" w:rsidP="00423D7A">
            <w:pPr>
              <w:bidi w:val="0"/>
              <w:rPr>
                <w:rFonts w:ascii="Times New Roman" w:hAnsi="Times New Roman"/>
                <w:sz w:val="20"/>
                <w:szCs w:val="20"/>
              </w:rPr>
            </w:pPr>
            <w:r w:rsidRPr="005E1554" w:rsidR="005D02CB">
              <w:rPr>
                <w:rFonts w:ascii="Times New Roman" w:hAnsi="Times New Roman"/>
                <w:sz w:val="20"/>
                <w:szCs w:val="20"/>
              </w:rPr>
              <w:t>§ 8 ods. 1 písm. a)</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34415E" w:rsidRPr="005E1554" w:rsidP="0034415E">
            <w:pPr>
              <w:pStyle w:val="BodyText2"/>
              <w:bidi w:val="0"/>
              <w:spacing w:after="0" w:line="240" w:lineRule="auto"/>
              <w:jc w:val="both"/>
              <w:rPr>
                <w:rFonts w:ascii="Times New Roman" w:hAnsi="Times New Roman"/>
                <w:sz w:val="20"/>
                <w:szCs w:val="20"/>
              </w:rPr>
            </w:pPr>
            <w:r w:rsidRPr="005E1554">
              <w:rPr>
                <w:rFonts w:ascii="Times New Roman" w:hAnsi="Times New Roman"/>
                <w:sz w:val="20"/>
                <w:szCs w:val="20"/>
              </w:rPr>
              <w:t>(1) Dodaním tovaru je</w:t>
            </w:r>
          </w:p>
          <w:p w:rsidR="00423D7A" w:rsidRPr="005E1554" w:rsidP="00202D09">
            <w:pPr>
              <w:pStyle w:val="BodyText2"/>
              <w:bidi w:val="0"/>
              <w:spacing w:after="0" w:line="240" w:lineRule="auto"/>
              <w:jc w:val="both"/>
              <w:rPr>
                <w:rFonts w:ascii="Times New Roman" w:hAnsi="Times New Roman"/>
                <w:sz w:val="20"/>
                <w:szCs w:val="20"/>
              </w:rPr>
            </w:pPr>
            <w:r w:rsidRPr="005E1554" w:rsidR="0034415E">
              <w:rPr>
                <w:rFonts w:ascii="Times New Roman" w:hAnsi="Times New Roman"/>
                <w:sz w:val="20"/>
                <w:szCs w:val="20"/>
              </w:rPr>
              <w:t xml:space="preserve">a) prevod práva nakladať s hmotným majetkom ako vlastník, ak tento zákon neustanovuje inak; na účely tohto zákona hmotným majetkom sú hnuteľné a nehnuteľné veci, ako aj elektrina, plyn, voda, teplo, chlad </w:t>
            </w:r>
            <w:r w:rsidRPr="005E1554" w:rsidR="0034415E">
              <w:rPr>
                <w:rFonts w:ascii="Times New Roman" w:hAnsi="Times New Roman"/>
                <w:b/>
                <w:bCs/>
                <w:sz w:val="20"/>
                <w:szCs w:val="20"/>
              </w:rPr>
              <w:t>a</w:t>
            </w:r>
            <w:r w:rsidR="00202D09">
              <w:rPr>
                <w:rFonts w:ascii="Times New Roman" w:hAnsi="Times New Roman"/>
                <w:b/>
                <w:bCs/>
                <w:sz w:val="20"/>
                <w:szCs w:val="20"/>
              </w:rPr>
              <w:t> </w:t>
            </w:r>
            <w:r w:rsidRPr="005E1554" w:rsidR="0034415E">
              <w:rPr>
                <w:rFonts w:ascii="Times New Roman" w:hAnsi="Times New Roman"/>
                <w:b/>
                <w:bCs/>
                <w:sz w:val="20"/>
                <w:szCs w:val="20"/>
              </w:rPr>
              <w:t>podobn</w:t>
            </w:r>
            <w:r w:rsidR="00202D09">
              <w:rPr>
                <w:rFonts w:ascii="Times New Roman" w:hAnsi="Times New Roman"/>
                <w:b/>
                <w:bCs/>
                <w:sz w:val="20"/>
                <w:szCs w:val="20"/>
              </w:rPr>
              <w:t>é nehmotné veci</w:t>
            </w:r>
            <w:r w:rsidRPr="005E1554" w:rsidR="0034415E">
              <w:rPr>
                <w:rFonts w:ascii="Times New Roman" w:hAnsi="Times New Roman"/>
                <w:sz w:val="20"/>
                <w:szCs w:val="20"/>
              </w:rPr>
              <w:t xml:space="preserve">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 5a) v deň predchádzajúci dňu predaja bankoviek a mincí,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015F24">
              <w:rPr>
                <w:rFonts w:ascii="Times New Roman" w:hAnsi="Times New Roman"/>
                <w:sz w:val="20"/>
                <w:szCs w:val="20"/>
              </w:rPr>
              <w:t>1 bod 4</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4. V článku 17 ods. 2 sa písmeno d) nahrádza takto:</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"d) dodanie plynu prostredníctvom sústavy zemného plynu, ktorá sa nachádza na území Spoločenstva, alebo siete, ktorá je k tejto sústave pripojená, dodanie elektriny alebo dodanie tepla alebo chladu prostredníctvom teplárenských alebo chladiarenských sietí v súlade s podmienkami stanovenými v článkoch 38 a 39;".</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D02CB" w:rsidRPr="005E1554" w:rsidP="005D02CB">
            <w:pPr>
              <w:bidi w:val="0"/>
              <w:rPr>
                <w:rFonts w:ascii="Times New Roman" w:hAnsi="Times New Roman"/>
                <w:sz w:val="20"/>
                <w:szCs w:val="20"/>
              </w:rPr>
            </w:pPr>
            <w:r w:rsidRPr="005E1554">
              <w:rPr>
                <w:rFonts w:ascii="Times New Roman" w:hAnsi="Times New Roman"/>
                <w:sz w:val="20"/>
                <w:szCs w:val="20"/>
              </w:rPr>
              <w:t>222/2004 Z.z.</w:t>
            </w:r>
          </w:p>
          <w:p w:rsidR="005D02CB" w:rsidRPr="005E1554" w:rsidP="005D02CB">
            <w:pPr>
              <w:bidi w:val="0"/>
              <w:rPr>
                <w:rFonts w:ascii="Times New Roman" w:hAnsi="Times New Roman"/>
                <w:sz w:val="20"/>
                <w:szCs w:val="20"/>
              </w:rPr>
            </w:pPr>
          </w:p>
          <w:p w:rsidR="005D02CB" w:rsidRPr="005E1554" w:rsidP="005D02CB">
            <w:pPr>
              <w:bidi w:val="0"/>
              <w:rPr>
                <w:rFonts w:ascii="Times New Roman" w:hAnsi="Times New Roman"/>
                <w:sz w:val="20"/>
                <w:szCs w:val="20"/>
              </w:rPr>
            </w:pPr>
          </w:p>
          <w:p w:rsidR="005D02CB" w:rsidRPr="005E1554" w:rsidP="005D02CB">
            <w:pPr>
              <w:bidi w:val="0"/>
              <w:rPr>
                <w:rFonts w:ascii="Times New Roman" w:hAnsi="Times New Roman"/>
                <w:sz w:val="20"/>
                <w:szCs w:val="20"/>
              </w:rPr>
            </w:pPr>
          </w:p>
          <w:p w:rsidR="005D02CB" w:rsidRPr="005E1554" w:rsidP="005D02CB">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46394F" w:rsidRPr="005E1554"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bidi w:val="0"/>
              <w:rPr>
                <w:rFonts w:ascii="Times New Roman" w:hAnsi="Times New Roman"/>
                <w:sz w:val="20"/>
                <w:szCs w:val="20"/>
              </w:rPr>
            </w:pPr>
            <w:r w:rsidRPr="005E1554" w:rsidR="005D02CB">
              <w:rPr>
                <w:rFonts w:ascii="Times New Roman" w:hAnsi="Times New Roman"/>
                <w:sz w:val="20"/>
                <w:szCs w:val="20"/>
              </w:rPr>
              <w:t>§ 8 ods. 4 písm. i)</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pStyle w:val="BodyText2"/>
              <w:bidi w:val="0"/>
              <w:spacing w:after="0" w:line="240" w:lineRule="auto"/>
              <w:jc w:val="both"/>
              <w:rPr>
                <w:rFonts w:ascii="Times New Roman" w:hAnsi="Times New Roman"/>
                <w:sz w:val="20"/>
                <w:szCs w:val="20"/>
              </w:rPr>
            </w:pPr>
            <w:r w:rsidRPr="005E1554" w:rsidR="005D02CB">
              <w:rPr>
                <w:rFonts w:ascii="Times New Roman" w:hAnsi="Times New Roman"/>
                <w:sz w:val="20"/>
                <w:szCs w:val="20"/>
              </w:rPr>
              <w:t>(4) 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w:t>
            </w:r>
          </w:p>
          <w:p w:rsidR="005D02CB" w:rsidRPr="005E1554" w:rsidP="005D02CB">
            <w:pPr>
              <w:pStyle w:val="Zkladntext"/>
              <w:bidi w:val="0"/>
              <w:spacing w:line="240" w:lineRule="atLeast"/>
              <w:jc w:val="both"/>
              <w:rPr>
                <w:rFonts w:ascii="Times New Roman" w:hAnsi="Times New Roman"/>
                <w:b/>
                <w:bCs/>
                <w:sz w:val="20"/>
                <w:szCs w:val="20"/>
              </w:rPr>
            </w:pPr>
            <w:r w:rsidRPr="005E1554">
              <w:rPr>
                <w:rFonts w:ascii="Times New Roman" w:hAnsi="Times New Roman"/>
                <w:b/>
                <w:bCs/>
                <w:sz w:val="20"/>
                <w:szCs w:val="20"/>
              </w:rPr>
              <w:t>i) na účel dodania plynu prostredníctvom sústavy zemného plynu, ktorá sa nachádza na území Európske</w:t>
            </w:r>
            <w:r w:rsidRPr="005E1554" w:rsidR="00471917">
              <w:rPr>
                <w:rFonts w:ascii="Times New Roman" w:hAnsi="Times New Roman"/>
                <w:b/>
                <w:bCs/>
                <w:sz w:val="20"/>
                <w:szCs w:val="20"/>
              </w:rPr>
              <w:t>j</w:t>
            </w:r>
            <w:r w:rsidRPr="005E1554">
              <w:rPr>
                <w:rFonts w:ascii="Times New Roman" w:hAnsi="Times New Roman"/>
                <w:b/>
                <w:bCs/>
                <w:sz w:val="20"/>
                <w:szCs w:val="20"/>
              </w:rPr>
              <w:t xml:space="preserve"> </w:t>
            </w:r>
            <w:r w:rsidRPr="005E1554" w:rsidR="00471917">
              <w:rPr>
                <w:rFonts w:ascii="Times New Roman" w:hAnsi="Times New Roman"/>
                <w:b/>
                <w:bCs/>
                <w:sz w:val="20"/>
                <w:szCs w:val="20"/>
              </w:rPr>
              <w:t>únie</w:t>
            </w:r>
            <w:r w:rsidRPr="005E1554">
              <w:rPr>
                <w:rFonts w:ascii="Times New Roman" w:hAnsi="Times New Roman"/>
                <w:b/>
                <w:bCs/>
                <w:sz w:val="20"/>
                <w:szCs w:val="20"/>
              </w:rPr>
              <w:t xml:space="preserve">, alebo </w:t>
            </w:r>
            <w:r w:rsidR="00202D09">
              <w:rPr>
                <w:rFonts w:ascii="Times New Roman" w:hAnsi="Times New Roman"/>
                <w:b/>
                <w:bCs/>
                <w:sz w:val="20"/>
                <w:szCs w:val="20"/>
              </w:rPr>
              <w:t>s</w:t>
            </w:r>
            <w:r w:rsidRPr="005E1554">
              <w:rPr>
                <w:rFonts w:ascii="Times New Roman" w:hAnsi="Times New Roman"/>
                <w:b/>
                <w:bCs/>
                <w:sz w:val="20"/>
                <w:szCs w:val="20"/>
              </w:rPr>
              <w:t xml:space="preserve">iete, ktorá je k takejto sústave pripojená, dodania elektriny a dodania tepla alebo chladu prostredníctvom teplárenských </w:t>
            </w:r>
            <w:r w:rsidR="00202D09">
              <w:rPr>
                <w:rFonts w:ascii="Times New Roman" w:hAnsi="Times New Roman"/>
                <w:b/>
                <w:bCs/>
                <w:sz w:val="20"/>
                <w:szCs w:val="20"/>
              </w:rPr>
              <w:t xml:space="preserve">sietí </w:t>
            </w:r>
            <w:r w:rsidRPr="005E1554">
              <w:rPr>
                <w:rFonts w:ascii="Times New Roman" w:hAnsi="Times New Roman"/>
                <w:b/>
                <w:bCs/>
                <w:sz w:val="20"/>
                <w:szCs w:val="20"/>
              </w:rPr>
              <w:t>alebo chladiarenských sietí podľa § 13 ods. 1 písm. e) a f).</w:t>
            </w:r>
          </w:p>
          <w:p w:rsidR="005D02CB"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015F24">
              <w:rPr>
                <w:rFonts w:ascii="Times New Roman" w:hAnsi="Times New Roman"/>
                <w:sz w:val="20"/>
                <w:szCs w:val="20"/>
              </w:rPr>
              <w:t>1 bod 5</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5. V hlave V kapitole 1 sa oddiel 4 nahrádza takto:</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"Oddiel 4</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Dodávky plynu prostredníctvom sústavy zemného plynu, dodávky elektriny a tepla alebo chladu prostredníctvom teplárenských a chladiarenských sietí</w:t>
            </w:r>
          </w:p>
          <w:p w:rsidR="004451E9" w:rsidRPr="005E1554" w:rsidP="00015F24">
            <w:pPr>
              <w:autoSpaceDE/>
              <w:autoSpaceDN/>
              <w:bidi w:val="0"/>
              <w:jc w:val="both"/>
              <w:rPr>
                <w:rFonts w:ascii="Times New Roman" w:hAnsi="Times New Roman"/>
                <w:sz w:val="20"/>
                <w:szCs w:val="20"/>
              </w:rPr>
            </w:pP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Článok 38</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1. V prípade dodávok plynu prostredníctvom sústavy zemného plynu, ktorá sa nachádza na území Spoločenstva, alebo akejkoľvek siete, ktorá je k takejto sústave pripojená, dodávok elektriny alebo dodávok tepla alebo chladu prostredníctvom teplárenských alebo chladiarenských sietí zdaniteľnému obchodníkovi sa za miesto dodania považuje miesto, kde má zdaniteľný obchodník zriadené sídlo svojej ekonomickej činnosti alebo stálu prevádzkareň, pre ktoré sa tento tovar dodáva, alebo ak takéto sídlo ekonomickej činnosti alebo stála prevádzkareň neexistujú, miesto, kde má trvalé bydlisko alebo kde sa obvykle zdržiava.</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2. Na účely odseku 1 je "zdaniteľný obchodník" taká zdaniteľná osoba, ktorej hlavnou činnosťou, čo sa týka nákupu plynu, elektriny, tepla alebo chladu, je opätovný predaj týchto komodít a ktorej vlastná spotreba týchto výrobkov je zanedbateľná.</w:t>
            </w:r>
          </w:p>
          <w:p w:rsidR="004451E9" w:rsidRPr="005E1554" w:rsidP="00015F24">
            <w:pPr>
              <w:autoSpaceDE/>
              <w:autoSpaceDN/>
              <w:bidi w:val="0"/>
              <w:jc w:val="both"/>
              <w:rPr>
                <w:rFonts w:ascii="Times New Roman" w:hAnsi="Times New Roman"/>
                <w:sz w:val="20"/>
                <w:szCs w:val="20"/>
              </w:rPr>
            </w:pP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Článok 39</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V prípade dodávok plynu prostredníctvom sústavy zemného plynu, ktorá sa nachádza na území Spoločenstva, alebo akejkoľvek siete, ktorá je k takejto sústave pripojená, dodávok elektriny alebo dodávok tepla alebo chladu prostredníctvom teplárenských alebo chladiarenských sietí, na ktoré sa nevzťahuje článok 38, sa za miesto dodania považuje miesto, kde spotrebiteľ tovar skutočne používa a spotrebúva.</w:t>
            </w:r>
          </w:p>
          <w:p w:rsidR="00015F24" w:rsidRPr="005E1554" w:rsidP="00015F24">
            <w:pPr>
              <w:autoSpaceDE/>
              <w:autoSpaceDN/>
              <w:bidi w:val="0"/>
              <w:jc w:val="both"/>
              <w:rPr>
                <w:rFonts w:ascii="Times New Roman" w:hAnsi="Times New Roman"/>
                <w:sz w:val="20"/>
                <w:szCs w:val="20"/>
              </w:rPr>
            </w:pPr>
            <w:r w:rsidRPr="005E1554">
              <w:rPr>
                <w:rFonts w:ascii="Times New Roman" w:hAnsi="Times New Roman"/>
                <w:sz w:val="20"/>
                <w:szCs w:val="20"/>
              </w:rPr>
              <w:t>Ak spotrebiteľ v skutočnosti nespotrebuje celý alebo čiastočný objem plynu, elektriny alebo tepla alebo chladu, tento nespotrebovaný tovar sa považuje za použitý a spotrebovaný v mieste, kde má spotrebiteľ zriadené sídlo svojej ekonomickej činnosti alebo stálu prevádzkareň, pre ktoré sa tento tovar dodáva. Ak takéto sídlo ekonomickej činnosti alebo stála prevádzkareň neexistujú, tovar sa považuje za použitý a spotrebovaný v mieste, kde má spotrebiteľ trvalé bydlisko alebo kde sa obvykle zdržiava."</w:t>
            </w:r>
          </w:p>
          <w:p w:rsidR="00423D7A" w:rsidRPr="005E1554" w:rsidP="00015F24">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451E9" w:rsidRPr="005E1554" w:rsidP="004451E9">
            <w:pPr>
              <w:bidi w:val="0"/>
              <w:rPr>
                <w:rFonts w:ascii="Times New Roman" w:hAnsi="Times New Roman"/>
                <w:sz w:val="20"/>
                <w:szCs w:val="20"/>
              </w:rPr>
            </w:pPr>
            <w:r w:rsidRPr="005E1554">
              <w:rPr>
                <w:rFonts w:ascii="Times New Roman" w:hAnsi="Times New Roman"/>
                <w:sz w:val="20"/>
                <w:szCs w:val="20"/>
              </w:rPr>
              <w:t>222/2004 Z.z.</w:t>
            </w:r>
          </w:p>
          <w:p w:rsidR="004451E9" w:rsidRPr="005E1554" w:rsidP="004451E9">
            <w:pPr>
              <w:bidi w:val="0"/>
              <w:rPr>
                <w:rFonts w:ascii="Times New Roman" w:hAnsi="Times New Roman"/>
                <w:sz w:val="20"/>
                <w:szCs w:val="20"/>
              </w:rPr>
            </w:pPr>
          </w:p>
          <w:p w:rsidR="004451E9" w:rsidRPr="005E1554" w:rsidP="004451E9">
            <w:pPr>
              <w:bidi w:val="0"/>
              <w:rPr>
                <w:rFonts w:ascii="Times New Roman" w:hAnsi="Times New Roman"/>
                <w:sz w:val="20"/>
                <w:szCs w:val="20"/>
              </w:rPr>
            </w:pPr>
          </w:p>
          <w:p w:rsidR="004451E9" w:rsidRPr="005E1554" w:rsidP="004451E9">
            <w:pPr>
              <w:bidi w:val="0"/>
              <w:rPr>
                <w:rFonts w:ascii="Times New Roman" w:hAnsi="Times New Roman"/>
                <w:sz w:val="20"/>
                <w:szCs w:val="20"/>
              </w:rPr>
            </w:pPr>
          </w:p>
          <w:p w:rsidR="004451E9" w:rsidRPr="005E1554" w:rsidP="004451E9">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9B7155" w:rsidRPr="005E1554" w:rsidP="009B71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7155" w:rsidRPr="005E1554" w:rsidP="00423D7A">
            <w:pPr>
              <w:bidi w:val="0"/>
              <w:rPr>
                <w:rFonts w:ascii="Times New Roman" w:hAnsi="Times New Roman"/>
                <w:sz w:val="20"/>
                <w:szCs w:val="20"/>
              </w:rPr>
            </w:pPr>
            <w:r w:rsidRPr="005E1554" w:rsidR="004451E9">
              <w:rPr>
                <w:rFonts w:ascii="Times New Roman" w:hAnsi="Times New Roman"/>
                <w:sz w:val="20"/>
                <w:szCs w:val="20"/>
              </w:rPr>
              <w:t>§ 13 ods. 1 písm. e)</w:t>
            </w:r>
            <w:r w:rsidRPr="005E1554" w:rsidR="00A63E6B">
              <w:rPr>
                <w:rFonts w:ascii="Times New Roman" w:hAnsi="Times New Roman"/>
                <w:sz w:val="20"/>
                <w:szCs w:val="20"/>
              </w:rPr>
              <w:t xml:space="preserve"> a f)</w:t>
            </w:r>
          </w:p>
          <w:p w:rsidR="004451E9" w:rsidRPr="005E1554" w:rsidP="00423D7A">
            <w:pPr>
              <w:bidi w:val="0"/>
              <w:rPr>
                <w:rFonts w:ascii="Times New Roman" w:hAnsi="Times New Roman"/>
                <w:sz w:val="20"/>
                <w:szCs w:val="20"/>
              </w:rPr>
            </w:pPr>
          </w:p>
          <w:p w:rsidR="004451E9" w:rsidRPr="005E1554" w:rsidP="00423D7A">
            <w:pPr>
              <w:bidi w:val="0"/>
              <w:rPr>
                <w:rFonts w:ascii="Times New Roman" w:hAnsi="Times New Roman"/>
                <w:sz w:val="20"/>
                <w:szCs w:val="20"/>
              </w:rPr>
            </w:pPr>
          </w:p>
          <w:p w:rsidR="004451E9" w:rsidRPr="005E1554" w:rsidP="00423D7A">
            <w:pPr>
              <w:bidi w:val="0"/>
              <w:rPr>
                <w:rFonts w:ascii="Times New Roman" w:hAnsi="Times New Roman"/>
                <w:sz w:val="20"/>
                <w:szCs w:val="20"/>
              </w:rPr>
            </w:pPr>
          </w:p>
          <w:p w:rsidR="004451E9" w:rsidRPr="005E1554" w:rsidP="00423D7A">
            <w:pPr>
              <w:bidi w:val="0"/>
              <w:rPr>
                <w:rFonts w:ascii="Times New Roman" w:hAnsi="Times New Roman"/>
                <w:sz w:val="20"/>
                <w:szCs w:val="20"/>
              </w:rPr>
            </w:pPr>
          </w:p>
          <w:p w:rsidR="004451E9"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F24E6E" w:rsidRPr="005E1554" w:rsidP="00423D7A">
            <w:pPr>
              <w:pStyle w:val="BodyText2"/>
              <w:bidi w:val="0"/>
              <w:spacing w:after="0" w:line="240" w:lineRule="auto"/>
              <w:jc w:val="both"/>
              <w:rPr>
                <w:rFonts w:ascii="Times New Roman" w:hAnsi="Times New Roman"/>
                <w:sz w:val="20"/>
                <w:szCs w:val="20"/>
              </w:rPr>
            </w:pPr>
            <w:r w:rsidRPr="005E1554">
              <w:rPr>
                <w:rFonts w:ascii="Times New Roman" w:hAnsi="Times New Roman"/>
                <w:sz w:val="20"/>
                <w:szCs w:val="20"/>
              </w:rPr>
              <w:t>(1) Miestom dodania tovaru,</w:t>
            </w:r>
          </w:p>
          <w:p w:rsidR="00F24E6E" w:rsidRPr="005E1554" w:rsidP="00F24E6E">
            <w:pPr>
              <w:pStyle w:val="Zkladntext"/>
              <w:bidi w:val="0"/>
              <w:spacing w:line="240" w:lineRule="atLeast"/>
              <w:jc w:val="both"/>
              <w:rPr>
                <w:rFonts w:ascii="Times New Roman" w:hAnsi="Times New Roman"/>
                <w:b/>
                <w:bCs/>
                <w:sz w:val="20"/>
                <w:szCs w:val="20"/>
              </w:rPr>
            </w:pPr>
          </w:p>
          <w:p w:rsidR="00F24E6E" w:rsidRPr="005E1554" w:rsidP="00F24E6E">
            <w:pPr>
              <w:pStyle w:val="Zkladntext"/>
              <w:bidi w:val="0"/>
              <w:spacing w:line="240" w:lineRule="atLeast"/>
              <w:jc w:val="both"/>
              <w:rPr>
                <w:rFonts w:ascii="Times New Roman" w:hAnsi="Times New Roman"/>
                <w:b/>
                <w:bCs/>
                <w:sz w:val="20"/>
                <w:szCs w:val="20"/>
              </w:rPr>
            </w:pPr>
          </w:p>
          <w:p w:rsidR="00F24E6E" w:rsidRPr="005E1554" w:rsidP="00F24E6E">
            <w:pPr>
              <w:pStyle w:val="Zkladntext"/>
              <w:bidi w:val="0"/>
              <w:spacing w:line="240" w:lineRule="atLeast"/>
              <w:jc w:val="both"/>
              <w:rPr>
                <w:rFonts w:ascii="Times New Roman" w:hAnsi="Times New Roman"/>
                <w:b/>
                <w:bCs/>
                <w:sz w:val="20"/>
                <w:szCs w:val="20"/>
              </w:rPr>
            </w:pPr>
          </w:p>
          <w:p w:rsidR="00F24E6E" w:rsidRPr="005E1554" w:rsidP="00F24E6E">
            <w:pPr>
              <w:pStyle w:val="Zkladntext"/>
              <w:bidi w:val="0"/>
              <w:spacing w:line="240" w:lineRule="atLeast"/>
              <w:jc w:val="both"/>
              <w:rPr>
                <w:rFonts w:ascii="Times New Roman" w:hAnsi="Times New Roman"/>
                <w:b/>
                <w:bCs/>
                <w:sz w:val="20"/>
                <w:szCs w:val="20"/>
              </w:rPr>
            </w:pPr>
          </w:p>
          <w:p w:rsidR="00471917" w:rsidRPr="005E1554" w:rsidP="00471917">
            <w:pPr>
              <w:pStyle w:val="Zkladntext"/>
              <w:bidi w:val="0"/>
              <w:spacing w:line="240" w:lineRule="atLeast"/>
              <w:jc w:val="both"/>
              <w:rPr>
                <w:rFonts w:ascii="Times New Roman" w:hAnsi="Times New Roman"/>
                <w:b/>
                <w:sz w:val="20"/>
                <w:szCs w:val="20"/>
              </w:rPr>
            </w:pPr>
            <w:r w:rsidRPr="005E1554">
              <w:rPr>
                <w:rFonts w:ascii="Times New Roman" w:hAnsi="Times New Roman"/>
                <w:b/>
                <w:sz w:val="20"/>
                <w:szCs w:val="20"/>
              </w:rPr>
              <w:t>e)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uvedený tovar dodáva, alebo ak obchodník nemá takéto miesto, je miestom dodania tovaru jeho bydlisko alebo miesto, kde sa obvykle zdržiava; obchodníkom na účely tohto ustanovenia je zdaniteľná osoba, ktorej hlavnou činnosťou vo vzťahu ku kúpenému plynu, elektrine, teplu alebo chladu  je ich ďalší predaj a ktorého vlastná spotreba týchto tovarov je zanedbateľná,</w:t>
            </w:r>
          </w:p>
          <w:p w:rsidR="00471917" w:rsidRPr="005E1554" w:rsidP="00471917">
            <w:pPr>
              <w:pStyle w:val="Zkladntext"/>
              <w:bidi w:val="0"/>
              <w:spacing w:line="240" w:lineRule="atLeast"/>
              <w:jc w:val="both"/>
              <w:rPr>
                <w:rFonts w:ascii="Times New Roman" w:hAnsi="Times New Roman"/>
                <w:b/>
                <w:sz w:val="20"/>
                <w:szCs w:val="20"/>
              </w:rPr>
            </w:pPr>
          </w:p>
          <w:p w:rsidR="00471917" w:rsidRPr="005E1554" w:rsidP="00471917">
            <w:pPr>
              <w:pStyle w:val="Zkladntext"/>
              <w:bidi w:val="0"/>
              <w:spacing w:line="240" w:lineRule="atLeast"/>
              <w:jc w:val="both"/>
              <w:rPr>
                <w:rFonts w:ascii="Times New Roman" w:hAnsi="Times New Roman"/>
                <w:b/>
                <w:sz w:val="20"/>
                <w:szCs w:val="20"/>
              </w:rPr>
            </w:pPr>
          </w:p>
          <w:p w:rsidR="00F24E6E" w:rsidRPr="005E1554" w:rsidP="00202D09">
            <w:pPr>
              <w:pStyle w:val="Zkladntext"/>
              <w:bidi w:val="0"/>
              <w:spacing w:line="240" w:lineRule="atLeast"/>
              <w:jc w:val="both"/>
              <w:rPr>
                <w:rFonts w:ascii="Times New Roman" w:hAnsi="Times New Roman"/>
                <w:sz w:val="20"/>
                <w:szCs w:val="20"/>
              </w:rPr>
            </w:pPr>
            <w:r w:rsidRPr="005E1554" w:rsidR="00471917">
              <w:rPr>
                <w:rFonts w:ascii="Times New Roman" w:hAnsi="Times New Roman"/>
                <w:b/>
                <w:sz w:val="20"/>
                <w:szCs w:val="20"/>
              </w:rPr>
              <w:t>f)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 spotrebovaný 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015F24">
              <w:rPr>
                <w:rFonts w:ascii="Times New Roman" w:hAnsi="Times New Roman"/>
                <w:sz w:val="20"/>
                <w:szCs w:val="20"/>
              </w:rPr>
              <w:t>1 bod 6</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6. V článku 59 sa písmeno h) ustanovené smernicou 2008/8/ES z 12. februára 2008, ktorou sa mení a dopĺňa smernica 2006/112/ES, pokiaľ ide o miesto poskytovania služieb [5], nahrádza takto:</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"h) poskytovanie prístupu k sústave zemného plynu, ktorá sa nachádza na území Spoločenstva, alebo k akejkoľvek sieti, ktorá je k takejto sústave pripojená, k elektrizačnej sústave alebo teplárenským alebo chladiarenským sieťam alebo preprava alebo distribúcia prostredníctvom týchto sústav alebo sietí a poskytovanie ďalších priamo súvisiacich služieb;".</w:t>
            </w:r>
          </w:p>
          <w:p w:rsidR="00423D7A" w:rsidRPr="005E1554" w:rsidP="00DF6E86">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911076" w:rsidRPr="005E1554" w:rsidP="00911076">
            <w:pPr>
              <w:bidi w:val="0"/>
              <w:rPr>
                <w:rFonts w:ascii="Times New Roman" w:hAnsi="Times New Roman"/>
                <w:sz w:val="20"/>
                <w:szCs w:val="20"/>
              </w:rPr>
            </w:pPr>
            <w:r w:rsidRPr="005E1554">
              <w:rPr>
                <w:rFonts w:ascii="Times New Roman" w:hAnsi="Times New Roman"/>
                <w:sz w:val="20"/>
                <w:szCs w:val="20"/>
              </w:rPr>
              <w:t>222/2004 Z.z.</w:t>
            </w:r>
          </w:p>
          <w:p w:rsidR="00911076" w:rsidRPr="005E1554" w:rsidP="00911076">
            <w:pPr>
              <w:bidi w:val="0"/>
              <w:rPr>
                <w:rFonts w:ascii="Times New Roman" w:hAnsi="Times New Roman"/>
                <w:sz w:val="20"/>
                <w:szCs w:val="20"/>
              </w:rPr>
            </w:pPr>
          </w:p>
          <w:p w:rsidR="00911076" w:rsidRPr="005E1554" w:rsidP="00911076">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423D7A" w:rsidRPr="005E1554"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bidi w:val="0"/>
              <w:rPr>
                <w:rFonts w:ascii="Times New Roman" w:hAnsi="Times New Roman"/>
                <w:sz w:val="20"/>
                <w:szCs w:val="20"/>
              </w:rPr>
            </w:pPr>
            <w:r w:rsidRPr="005E1554" w:rsidR="00911076">
              <w:rPr>
                <w:rFonts w:ascii="Times New Roman" w:hAnsi="Times New Roman"/>
                <w:sz w:val="20"/>
                <w:szCs w:val="20"/>
              </w:rPr>
              <w:t>§ 16 ods. 17</w:t>
            </w:r>
          </w:p>
          <w:p w:rsidR="00911076" w:rsidRPr="005E1554" w:rsidP="00423D7A">
            <w:pPr>
              <w:bidi w:val="0"/>
              <w:rPr>
                <w:rFonts w:ascii="Times New Roman" w:hAnsi="Times New Roman"/>
                <w:sz w:val="20"/>
                <w:szCs w:val="20"/>
              </w:rPr>
            </w:pPr>
            <w:r w:rsidRPr="005E1554">
              <w:rPr>
                <w:rFonts w:ascii="Times New Roman" w:hAnsi="Times New Roman"/>
                <w:sz w:val="20"/>
                <w:szCs w:val="20"/>
              </w:rPr>
              <w:t>písm. g)</w:t>
            </w:r>
          </w:p>
          <w:p w:rsidR="00911076" w:rsidRPr="005E1554" w:rsidP="00423D7A">
            <w:pPr>
              <w:bidi w:val="0"/>
              <w:rPr>
                <w:rFonts w:ascii="Times New Roman" w:hAnsi="Times New Roman"/>
                <w:sz w:val="20"/>
                <w:szCs w:val="20"/>
              </w:rPr>
            </w:pPr>
          </w:p>
          <w:p w:rsidR="00911076"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pStyle w:val="BodyText2"/>
              <w:bidi w:val="0"/>
              <w:spacing w:after="0" w:line="240" w:lineRule="auto"/>
              <w:jc w:val="both"/>
              <w:rPr>
                <w:rFonts w:ascii="Times New Roman" w:hAnsi="Times New Roman"/>
                <w:sz w:val="20"/>
                <w:szCs w:val="20"/>
              </w:rPr>
            </w:pPr>
            <w:r w:rsidRPr="005E1554" w:rsidR="00911076">
              <w:rPr>
                <w:rFonts w:ascii="Times New Roman" w:hAnsi="Times New Roman"/>
                <w:sz w:val="20"/>
                <w:szCs w:val="20"/>
              </w:rPr>
              <w:t>(17) Služby, pri ktorých sa určí miesto dodania podľa odseku 16, sú tieto:</w:t>
            </w:r>
          </w:p>
          <w:p w:rsidR="00911076" w:rsidRPr="005E1554" w:rsidP="00423D7A">
            <w:pPr>
              <w:pStyle w:val="BodyText2"/>
              <w:bidi w:val="0"/>
              <w:spacing w:after="0" w:line="240" w:lineRule="auto"/>
              <w:jc w:val="both"/>
              <w:rPr>
                <w:rFonts w:ascii="Times New Roman" w:hAnsi="Times New Roman"/>
                <w:sz w:val="20"/>
                <w:szCs w:val="20"/>
              </w:rPr>
            </w:pPr>
          </w:p>
          <w:p w:rsidR="00911076" w:rsidRPr="005E1554" w:rsidP="00423D7A">
            <w:pPr>
              <w:pStyle w:val="BodyText2"/>
              <w:bidi w:val="0"/>
              <w:spacing w:after="0" w:line="240" w:lineRule="auto"/>
              <w:jc w:val="both"/>
              <w:rPr>
                <w:rFonts w:ascii="Times New Roman" w:hAnsi="Times New Roman"/>
                <w:sz w:val="20"/>
                <w:szCs w:val="20"/>
              </w:rPr>
            </w:pPr>
          </w:p>
          <w:p w:rsidR="00911076" w:rsidRPr="005E1554" w:rsidP="00202D09">
            <w:pPr>
              <w:pStyle w:val="BodyText2"/>
              <w:bidi w:val="0"/>
              <w:spacing w:after="0" w:line="240" w:lineRule="auto"/>
              <w:jc w:val="both"/>
              <w:rPr>
                <w:rFonts w:ascii="Times New Roman" w:hAnsi="Times New Roman"/>
                <w:b/>
                <w:sz w:val="20"/>
                <w:szCs w:val="20"/>
              </w:rPr>
            </w:pPr>
            <w:r w:rsidRPr="005E1554" w:rsidR="00471917">
              <w:rPr>
                <w:rFonts w:ascii="Times New Roman" w:hAnsi="Times New Roman"/>
                <w:b/>
                <w:sz w:val="20"/>
                <w:szCs w:val="20"/>
              </w:rPr>
              <w:t>g) 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7</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7. V článku 80 ods. 1 písm. b) sa slová "článkov 380 až 390" nahrádzajú slovami "článkov 380 až 390b".</w:t>
            </w:r>
          </w:p>
          <w:p w:rsidR="00423D7A" w:rsidRPr="005E1554" w:rsidP="00D234D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911076">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E1554"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911076">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8</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8. Článok 102 sa nahrádza takto:</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"Článok 102</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Po konzultácii s Výborom pre DPH môže každý členský štát uplatniť zníženú sadzbu na dodávky zemného plynu, elektriny alebo na ústredné kúrenie."</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1045F8">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E1554"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7A4F2B"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1045F8">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9</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9. V článku 136 písm. a) sa slová "článkov 380 až 390" nahrádzajú slovami "článkov 380 až 390b".</w:t>
            </w:r>
          </w:p>
          <w:p w:rsidR="00423D7A" w:rsidRPr="005E1554" w:rsidP="00D234D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1045F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E1554"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bidi w:val="0"/>
              <w:rPr>
                <w:rFonts w:ascii="Times New Roman" w:hAnsi="Times New Roman"/>
                <w:sz w:val="20"/>
                <w:szCs w:val="20"/>
              </w:rPr>
            </w:pPr>
            <w:r w:rsidRPr="005E1554" w:rsidR="00AB53DE">
              <w:rPr>
                <w:rFonts w:ascii="Times New Roman" w:hAnsi="Times New Roman"/>
                <w:sz w:val="20"/>
                <w:szCs w:val="20"/>
              </w:rPr>
              <w:t xml:space="preserve"> </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9B7155"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1045F8">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10</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10. Článok 143 sa mení a</w:t>
            </w:r>
            <w:r w:rsidRPr="005E1554" w:rsidR="00AB53DE">
              <w:rPr>
                <w:rFonts w:ascii="Times New Roman" w:hAnsi="Times New Roman"/>
                <w:sz w:val="20"/>
                <w:szCs w:val="20"/>
              </w:rPr>
              <w:t> </w:t>
            </w:r>
            <w:r w:rsidRPr="005E1554">
              <w:rPr>
                <w:rFonts w:ascii="Times New Roman" w:hAnsi="Times New Roman"/>
                <w:sz w:val="20"/>
                <w:szCs w:val="20"/>
              </w:rPr>
              <w:t>dopĺňa takto:</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a) za písmenom f) sa dopĺňa toto písmeno:</w:t>
            </w:r>
          </w:p>
          <w:p w:rsidR="00D234D5" w:rsidRPr="005E1554" w:rsidP="00D234D5">
            <w:pPr>
              <w:autoSpaceDE/>
              <w:autoSpaceDN/>
              <w:bidi w:val="0"/>
              <w:jc w:val="both"/>
              <w:rPr>
                <w:rFonts w:ascii="Times New Roman" w:hAnsi="Times New Roman"/>
                <w:sz w:val="20"/>
                <w:szCs w:val="20"/>
              </w:rPr>
            </w:pPr>
            <w:r w:rsidRPr="005E1554" w:rsidR="00AB53DE">
              <w:rPr>
                <w:rFonts w:ascii="Times New Roman" w:hAnsi="Times New Roman"/>
                <w:sz w:val="20"/>
                <w:szCs w:val="20"/>
              </w:rPr>
              <w:t>„</w:t>
            </w:r>
            <w:r w:rsidRPr="005E1554">
              <w:rPr>
                <w:rFonts w:ascii="Times New Roman" w:hAnsi="Times New Roman"/>
                <w:sz w:val="20"/>
                <w:szCs w:val="20"/>
              </w:rPr>
              <w:t>fa) dovoz tovaru Európskym spoločenstvom, Európskym spoločenstvom pre atómovú energiu, Európskou centrálnou bankou alebo Európskou investičnou bankou, alebo orgánmi zriadenými Spoločenstvami, na ktoré sa vzťahuje Protokol z</w:t>
            </w:r>
            <w:r w:rsidRPr="005E1554" w:rsidR="00AB53DE">
              <w:rPr>
                <w:rFonts w:ascii="Times New Roman" w:hAnsi="Times New Roman"/>
                <w:sz w:val="20"/>
                <w:szCs w:val="20"/>
              </w:rPr>
              <w:t> </w:t>
            </w:r>
            <w:r w:rsidRPr="005E1554">
              <w:rPr>
                <w:rFonts w:ascii="Times New Roman" w:hAnsi="Times New Roman"/>
                <w:sz w:val="20"/>
                <w:szCs w:val="20"/>
              </w:rPr>
              <w:t>8. apríla 1965 o</w:t>
            </w:r>
            <w:r w:rsidRPr="005E1554" w:rsidR="00AB53DE">
              <w:rPr>
                <w:rFonts w:ascii="Times New Roman" w:hAnsi="Times New Roman"/>
                <w:sz w:val="20"/>
                <w:szCs w:val="20"/>
              </w:rPr>
              <w:t> </w:t>
            </w:r>
            <w:r w:rsidRPr="005E1554">
              <w:rPr>
                <w:rFonts w:ascii="Times New Roman" w:hAnsi="Times New Roman"/>
                <w:sz w:val="20"/>
                <w:szCs w:val="20"/>
              </w:rPr>
              <w:t>výsadách a</w:t>
            </w:r>
            <w:r w:rsidRPr="005E1554" w:rsidR="00AB53DE">
              <w:rPr>
                <w:rFonts w:ascii="Times New Roman" w:hAnsi="Times New Roman"/>
                <w:sz w:val="20"/>
                <w:szCs w:val="20"/>
              </w:rPr>
              <w:t> </w:t>
            </w:r>
            <w:r w:rsidRPr="005E1554">
              <w:rPr>
                <w:rFonts w:ascii="Times New Roman" w:hAnsi="Times New Roman"/>
                <w:sz w:val="20"/>
                <w:szCs w:val="20"/>
              </w:rPr>
              <w:t>imunitách Európskych spoločenstiev, v</w:t>
            </w:r>
            <w:r w:rsidRPr="005E1554" w:rsidR="00AB53DE">
              <w:rPr>
                <w:rFonts w:ascii="Times New Roman" w:hAnsi="Times New Roman"/>
                <w:sz w:val="20"/>
                <w:szCs w:val="20"/>
              </w:rPr>
              <w:t> </w:t>
            </w:r>
            <w:r w:rsidRPr="005E1554">
              <w:rPr>
                <w:rFonts w:ascii="Times New Roman" w:hAnsi="Times New Roman"/>
                <w:sz w:val="20"/>
                <w:szCs w:val="20"/>
              </w:rPr>
              <w:t>rozsahu a</w:t>
            </w:r>
            <w:r w:rsidRPr="005E1554" w:rsidR="00AB53DE">
              <w:rPr>
                <w:rFonts w:ascii="Times New Roman" w:hAnsi="Times New Roman"/>
                <w:sz w:val="20"/>
                <w:szCs w:val="20"/>
              </w:rPr>
              <w:t> </w:t>
            </w:r>
            <w:r w:rsidRPr="005E1554">
              <w:rPr>
                <w:rFonts w:ascii="Times New Roman" w:hAnsi="Times New Roman"/>
                <w:sz w:val="20"/>
                <w:szCs w:val="20"/>
              </w:rPr>
              <w:t>za podmienok vymedzených v</w:t>
            </w:r>
            <w:r w:rsidRPr="005E1554" w:rsidR="00AB53DE">
              <w:rPr>
                <w:rFonts w:ascii="Times New Roman" w:hAnsi="Times New Roman"/>
                <w:sz w:val="20"/>
                <w:szCs w:val="20"/>
              </w:rPr>
              <w:t> </w:t>
            </w:r>
            <w:r w:rsidRPr="005E1554">
              <w:rPr>
                <w:rFonts w:ascii="Times New Roman" w:hAnsi="Times New Roman"/>
                <w:sz w:val="20"/>
                <w:szCs w:val="20"/>
              </w:rPr>
              <w:t>uvedenom protokole a</w:t>
            </w:r>
            <w:r w:rsidRPr="005E1554" w:rsidR="00AB53DE">
              <w:rPr>
                <w:rFonts w:ascii="Times New Roman" w:hAnsi="Times New Roman"/>
                <w:sz w:val="20"/>
                <w:szCs w:val="20"/>
              </w:rPr>
              <w:t> </w:t>
            </w:r>
            <w:r w:rsidRPr="005E1554">
              <w:rPr>
                <w:rFonts w:ascii="Times New Roman" w:hAnsi="Times New Roman"/>
                <w:sz w:val="20"/>
                <w:szCs w:val="20"/>
              </w:rPr>
              <w:t>dohodách na jeho vykonávanie alebo v</w:t>
            </w:r>
            <w:r w:rsidRPr="005E1554" w:rsidR="00AB53DE">
              <w:rPr>
                <w:rFonts w:ascii="Times New Roman" w:hAnsi="Times New Roman"/>
                <w:sz w:val="20"/>
                <w:szCs w:val="20"/>
              </w:rPr>
              <w:t> </w:t>
            </w:r>
            <w:r w:rsidRPr="005E1554">
              <w:rPr>
                <w:rFonts w:ascii="Times New Roman" w:hAnsi="Times New Roman"/>
                <w:sz w:val="20"/>
                <w:szCs w:val="20"/>
              </w:rPr>
              <w:t>dohodách o</w:t>
            </w:r>
            <w:r w:rsidRPr="005E1554" w:rsidR="00AB53DE">
              <w:rPr>
                <w:rFonts w:ascii="Times New Roman" w:hAnsi="Times New Roman"/>
                <w:sz w:val="20"/>
                <w:szCs w:val="20"/>
              </w:rPr>
              <w:t> </w:t>
            </w:r>
            <w:r w:rsidRPr="005E1554">
              <w:rPr>
                <w:rFonts w:ascii="Times New Roman" w:hAnsi="Times New Roman"/>
                <w:sz w:val="20"/>
                <w:szCs w:val="20"/>
              </w:rPr>
              <w:t>sídle, a</w:t>
            </w:r>
            <w:r w:rsidRPr="005E1554" w:rsidR="00AB53DE">
              <w:rPr>
                <w:rFonts w:ascii="Times New Roman" w:hAnsi="Times New Roman"/>
                <w:sz w:val="20"/>
                <w:szCs w:val="20"/>
              </w:rPr>
              <w:t> </w:t>
            </w:r>
            <w:r w:rsidRPr="005E1554">
              <w:rPr>
                <w:rFonts w:ascii="Times New Roman" w:hAnsi="Times New Roman"/>
                <w:sz w:val="20"/>
                <w:szCs w:val="20"/>
              </w:rPr>
              <w:t>predovšetkým pokiaľ nespôsobuje narušenie hospodárskej súťaže;</w:t>
            </w:r>
            <w:r w:rsidRPr="005E1554" w:rsidR="00AB53DE">
              <w:rPr>
                <w:rFonts w:ascii="Times New Roman" w:hAnsi="Times New Roman"/>
                <w:sz w:val="20"/>
                <w:szCs w:val="20"/>
              </w:rPr>
              <w:t>“</w:t>
            </w:r>
          </w:p>
          <w:p w:rsidR="00BE7873" w:rsidRPr="005E1554" w:rsidP="00D234D5">
            <w:pPr>
              <w:autoSpaceDE/>
              <w:autoSpaceDN/>
              <w:bidi w:val="0"/>
              <w:jc w:val="both"/>
              <w:rPr>
                <w:rFonts w:ascii="Times New Roman" w:hAnsi="Times New Roman"/>
                <w:sz w:val="20"/>
                <w:szCs w:val="20"/>
              </w:rPr>
            </w:pP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b) písmeno g) sa nahrádza takto:</w:t>
            </w:r>
          </w:p>
          <w:p w:rsidR="00D234D5" w:rsidRPr="005E1554" w:rsidP="00D234D5">
            <w:pPr>
              <w:autoSpaceDE/>
              <w:autoSpaceDN/>
              <w:bidi w:val="0"/>
              <w:jc w:val="both"/>
              <w:rPr>
                <w:rFonts w:ascii="Times New Roman" w:hAnsi="Times New Roman"/>
                <w:sz w:val="20"/>
                <w:szCs w:val="20"/>
              </w:rPr>
            </w:pPr>
            <w:r w:rsidRPr="005E1554" w:rsidR="00AB53DE">
              <w:rPr>
                <w:rFonts w:ascii="Times New Roman" w:hAnsi="Times New Roman"/>
                <w:sz w:val="20"/>
                <w:szCs w:val="20"/>
              </w:rPr>
              <w:t>„</w:t>
            </w:r>
            <w:r w:rsidRPr="005E1554">
              <w:rPr>
                <w:rFonts w:ascii="Times New Roman" w:hAnsi="Times New Roman"/>
                <w:sz w:val="20"/>
                <w:szCs w:val="20"/>
              </w:rPr>
              <w:t>g) dovoz tovaru inými medzinárodnými organizáciami ako organizáciami uvedenými v</w:t>
            </w:r>
            <w:r w:rsidRPr="005E1554" w:rsidR="00AB53DE">
              <w:rPr>
                <w:rFonts w:ascii="Times New Roman" w:hAnsi="Times New Roman"/>
                <w:sz w:val="20"/>
                <w:szCs w:val="20"/>
              </w:rPr>
              <w:t> </w:t>
            </w:r>
            <w:r w:rsidRPr="005E1554">
              <w:rPr>
                <w:rFonts w:ascii="Times New Roman" w:hAnsi="Times New Roman"/>
                <w:sz w:val="20"/>
                <w:szCs w:val="20"/>
              </w:rPr>
              <w:t>písmene fa), ktoré sú ako také uznané orgánmi verejnej moci hostiteľského členského štátu alebo členmi takýchto organizácií, v</w:t>
            </w:r>
            <w:r w:rsidRPr="005E1554" w:rsidR="00AB53DE">
              <w:rPr>
                <w:rFonts w:ascii="Times New Roman" w:hAnsi="Times New Roman"/>
                <w:sz w:val="20"/>
                <w:szCs w:val="20"/>
              </w:rPr>
              <w:t> </w:t>
            </w:r>
            <w:r w:rsidRPr="005E1554">
              <w:rPr>
                <w:rFonts w:ascii="Times New Roman" w:hAnsi="Times New Roman"/>
                <w:sz w:val="20"/>
                <w:szCs w:val="20"/>
              </w:rPr>
              <w:t>rozsahu a</w:t>
            </w:r>
            <w:r w:rsidRPr="005E1554" w:rsidR="00AB53DE">
              <w:rPr>
                <w:rFonts w:ascii="Times New Roman" w:hAnsi="Times New Roman"/>
                <w:sz w:val="20"/>
                <w:szCs w:val="20"/>
              </w:rPr>
              <w:t> </w:t>
            </w:r>
            <w:r w:rsidRPr="005E1554">
              <w:rPr>
                <w:rFonts w:ascii="Times New Roman" w:hAnsi="Times New Roman"/>
                <w:sz w:val="20"/>
                <w:szCs w:val="20"/>
              </w:rPr>
              <w:t>za podmienok vymedzených medzinárodnými dohovormi o</w:t>
            </w:r>
            <w:r w:rsidRPr="005E1554" w:rsidR="00AB53DE">
              <w:rPr>
                <w:rFonts w:ascii="Times New Roman" w:hAnsi="Times New Roman"/>
                <w:sz w:val="20"/>
                <w:szCs w:val="20"/>
              </w:rPr>
              <w:t> </w:t>
            </w:r>
            <w:r w:rsidRPr="005E1554">
              <w:rPr>
                <w:rFonts w:ascii="Times New Roman" w:hAnsi="Times New Roman"/>
                <w:sz w:val="20"/>
                <w:szCs w:val="20"/>
              </w:rPr>
              <w:t>založení týchto organizácií alebo dohodami o</w:t>
            </w:r>
            <w:r w:rsidRPr="005E1554" w:rsidR="00AB53DE">
              <w:rPr>
                <w:rFonts w:ascii="Times New Roman" w:hAnsi="Times New Roman"/>
                <w:sz w:val="20"/>
                <w:szCs w:val="20"/>
              </w:rPr>
              <w:t> </w:t>
            </w:r>
            <w:r w:rsidRPr="005E1554">
              <w:rPr>
                <w:rFonts w:ascii="Times New Roman" w:hAnsi="Times New Roman"/>
                <w:sz w:val="20"/>
                <w:szCs w:val="20"/>
              </w:rPr>
              <w:t>sídle;</w:t>
            </w:r>
            <w:r w:rsidRPr="005E1554" w:rsidR="00AB53DE">
              <w:rPr>
                <w:rFonts w:ascii="Times New Roman" w:hAnsi="Times New Roman"/>
                <w:sz w:val="20"/>
                <w:szCs w:val="20"/>
              </w:rPr>
              <w:t>“</w:t>
            </w:r>
          </w:p>
          <w:p w:rsidR="00BE7873" w:rsidRPr="005E1554" w:rsidP="00D234D5">
            <w:pPr>
              <w:autoSpaceDE/>
              <w:autoSpaceDN/>
              <w:bidi w:val="0"/>
              <w:jc w:val="both"/>
              <w:rPr>
                <w:rFonts w:ascii="Times New Roman" w:hAnsi="Times New Roman"/>
                <w:sz w:val="20"/>
                <w:szCs w:val="20"/>
              </w:rPr>
            </w:pP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c) písmeno l) sa nahrádza takto:</w:t>
            </w:r>
          </w:p>
          <w:p w:rsidR="00D234D5" w:rsidRPr="005E1554" w:rsidP="00D234D5">
            <w:pPr>
              <w:autoSpaceDE/>
              <w:autoSpaceDN/>
              <w:bidi w:val="0"/>
              <w:jc w:val="both"/>
              <w:rPr>
                <w:rFonts w:ascii="Times New Roman" w:hAnsi="Times New Roman"/>
                <w:sz w:val="20"/>
                <w:szCs w:val="20"/>
              </w:rPr>
            </w:pPr>
            <w:r w:rsidRPr="005E1554" w:rsidR="00AB53DE">
              <w:rPr>
                <w:rFonts w:ascii="Times New Roman" w:hAnsi="Times New Roman"/>
                <w:sz w:val="20"/>
                <w:szCs w:val="20"/>
              </w:rPr>
              <w:t>„</w:t>
            </w:r>
            <w:r w:rsidRPr="005E1554">
              <w:rPr>
                <w:rFonts w:ascii="Times New Roman" w:hAnsi="Times New Roman"/>
                <w:sz w:val="20"/>
                <w:szCs w:val="20"/>
              </w:rPr>
              <w:t>l) dovoz plynu prostredníctvom sústavy zemného plynu alebo akejkoľvek siete, ktorá je k</w:t>
            </w:r>
            <w:r w:rsidRPr="005E1554" w:rsidR="00AB53DE">
              <w:rPr>
                <w:rFonts w:ascii="Times New Roman" w:hAnsi="Times New Roman"/>
                <w:sz w:val="20"/>
                <w:szCs w:val="20"/>
              </w:rPr>
              <w:t> </w:t>
            </w:r>
            <w:r w:rsidRPr="005E1554">
              <w:rPr>
                <w:rFonts w:ascii="Times New Roman" w:hAnsi="Times New Roman"/>
                <w:sz w:val="20"/>
                <w:szCs w:val="20"/>
              </w:rPr>
              <w:t>takejto sústave pripojená, alebo privádzaného z</w:t>
            </w:r>
            <w:r w:rsidRPr="005E1554" w:rsidR="00AB53DE">
              <w:rPr>
                <w:rFonts w:ascii="Times New Roman" w:hAnsi="Times New Roman"/>
                <w:sz w:val="20"/>
                <w:szCs w:val="20"/>
              </w:rPr>
              <w:t> </w:t>
            </w:r>
            <w:r w:rsidRPr="005E1554">
              <w:rPr>
                <w:rFonts w:ascii="Times New Roman" w:hAnsi="Times New Roman"/>
                <w:sz w:val="20"/>
                <w:szCs w:val="20"/>
              </w:rPr>
              <w:t>plavidla určeného na dopravu plynu do sústavy zemného plynu alebo ťažobnej siete, ako aj dovoz elektriny alebo tepla alebo chladu prostredníctvom teplárenských alebo chladiarenských sietí;</w:t>
            </w:r>
            <w:r w:rsidRPr="005E1554" w:rsidR="00AB53DE">
              <w:rPr>
                <w:rFonts w:ascii="Times New Roman" w:hAnsi="Times New Roman"/>
                <w:sz w:val="20"/>
                <w:szCs w:val="20"/>
              </w:rPr>
              <w:t>“</w:t>
            </w:r>
            <w:r w:rsidRPr="005E1554">
              <w:rPr>
                <w:rFonts w:ascii="Times New Roman" w:hAnsi="Times New Roman"/>
                <w:sz w:val="20"/>
                <w:szCs w:val="20"/>
              </w:rPr>
              <w:t>.</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B53DE" w:rsidRPr="005E1554" w:rsidP="00AB53DE">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AB53DE">
            <w:pPr>
              <w:bidi w:val="0"/>
              <w:rPr>
                <w:rFonts w:ascii="Times New Roman" w:hAnsi="Times New Roman"/>
                <w:b/>
                <w:bCs/>
                <w:sz w:val="20"/>
                <w:szCs w:val="20"/>
              </w:rPr>
            </w:pPr>
          </w:p>
          <w:p w:rsidR="00F16916" w:rsidRPr="005E1554" w:rsidP="00F16916">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F16916" w:rsidRPr="005E1554" w:rsidP="00AB53DE">
            <w:pPr>
              <w:bidi w:val="0"/>
              <w:rPr>
                <w:rFonts w:ascii="Times New Roman" w:hAnsi="Times New Roman"/>
                <w:b/>
                <w:bCs/>
                <w:sz w:val="20"/>
                <w:szCs w:val="20"/>
              </w:rPr>
            </w:pPr>
          </w:p>
          <w:p w:rsidR="00423D7A" w:rsidRPr="005E1554"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53DE" w:rsidRPr="005E1554" w:rsidP="00AB53DE">
            <w:pPr>
              <w:bidi w:val="0"/>
              <w:rPr>
                <w:rFonts w:ascii="Times New Roman" w:hAnsi="Times New Roman"/>
                <w:sz w:val="20"/>
                <w:szCs w:val="20"/>
              </w:rPr>
            </w:pPr>
            <w:r w:rsidRPr="005E1554">
              <w:rPr>
                <w:rFonts w:ascii="Times New Roman" w:hAnsi="Times New Roman"/>
                <w:sz w:val="20"/>
                <w:szCs w:val="20"/>
              </w:rPr>
              <w:t>§ 48 ods. 5</w:t>
            </w:r>
          </w:p>
          <w:p w:rsidR="00AB53DE" w:rsidRPr="005E1554" w:rsidP="00AB53DE">
            <w:pPr>
              <w:bidi w:val="0"/>
              <w:rPr>
                <w:rFonts w:ascii="Times New Roman" w:hAnsi="Times New Roman"/>
                <w:sz w:val="20"/>
                <w:szCs w:val="20"/>
              </w:rPr>
            </w:pPr>
          </w:p>
          <w:p w:rsidR="00AB53DE"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AB53DE">
            <w:pPr>
              <w:bidi w:val="0"/>
              <w:rPr>
                <w:rFonts w:ascii="Times New Roman" w:hAnsi="Times New Roman"/>
                <w:sz w:val="20"/>
                <w:szCs w:val="20"/>
              </w:rPr>
            </w:pPr>
          </w:p>
          <w:p w:rsidR="00F16916" w:rsidRPr="005E1554" w:rsidP="00F16916">
            <w:pPr>
              <w:bidi w:val="0"/>
              <w:rPr>
                <w:rFonts w:ascii="Times New Roman" w:hAnsi="Times New Roman"/>
                <w:sz w:val="20"/>
                <w:szCs w:val="20"/>
              </w:rPr>
            </w:pPr>
            <w:r w:rsidRPr="005E1554">
              <w:rPr>
                <w:rFonts w:ascii="Times New Roman" w:hAnsi="Times New Roman"/>
                <w:sz w:val="20"/>
                <w:szCs w:val="20"/>
              </w:rPr>
              <w:t>§ 48 ods. 9</w:t>
            </w:r>
          </w:p>
          <w:p w:rsidR="00F16916" w:rsidRPr="005E1554" w:rsidP="00AB53DE">
            <w:pPr>
              <w:bidi w:val="0"/>
              <w:rPr>
                <w:rFonts w:ascii="Times New Roman" w:hAnsi="Times New Roman"/>
                <w:sz w:val="20"/>
                <w:szCs w:val="20"/>
              </w:rPr>
            </w:pPr>
          </w:p>
          <w:p w:rsidR="0046394F"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71917" w:rsidRPr="005E1554" w:rsidP="00471917">
            <w:pPr>
              <w:pStyle w:val="Zkladntext"/>
              <w:bidi w:val="0"/>
              <w:spacing w:line="240" w:lineRule="atLeast"/>
              <w:jc w:val="both"/>
              <w:rPr>
                <w:rFonts w:ascii="Times New Roman" w:hAnsi="Times New Roman"/>
                <w:b/>
                <w:sz w:val="20"/>
                <w:szCs w:val="20"/>
              </w:rPr>
            </w:pPr>
            <w:r w:rsidRPr="005E1554">
              <w:rPr>
                <w:rFonts w:ascii="Times New Roman" w:hAnsi="Times New Roman"/>
                <w:b/>
                <w:sz w:val="20"/>
                <w:szCs w:val="20"/>
              </w:rPr>
              <w:t>(5) Oslobodený od dane je dovoz tovaru</w:t>
            </w:r>
          </w:p>
          <w:p w:rsidR="00471917" w:rsidRPr="005E1554" w:rsidP="00471917">
            <w:pPr>
              <w:pStyle w:val="Zkladntext"/>
              <w:numPr>
                <w:numId w:val="36"/>
              </w:numPr>
              <w:bidi w:val="0"/>
              <w:spacing w:line="240" w:lineRule="atLeast"/>
              <w:ind w:left="0" w:firstLine="0"/>
              <w:jc w:val="both"/>
              <w:rPr>
                <w:rFonts w:ascii="Times New Roman" w:hAnsi="Times New Roman"/>
                <w:b/>
                <w:sz w:val="20"/>
                <w:szCs w:val="20"/>
              </w:rPr>
            </w:pPr>
            <w:r w:rsidRPr="005E1554">
              <w:rPr>
                <w:rFonts w:ascii="Times New Roman" w:hAnsi="Times New Roman"/>
                <w:b/>
                <w:sz w:val="20"/>
                <w:szCs w:val="20"/>
              </w:rPr>
              <w:t>osobami, ktoré požívajú výsady a imunity podľa medzinárodného práva,</w:t>
            </w:r>
            <w:r w:rsidRPr="005E1554">
              <w:rPr>
                <w:rFonts w:ascii="Times New Roman" w:hAnsi="Times New Roman"/>
                <w:b/>
                <w:sz w:val="20"/>
                <w:szCs w:val="20"/>
                <w:vertAlign w:val="superscript"/>
              </w:rPr>
              <w:t>23)</w:t>
            </w:r>
            <w:r w:rsidRPr="005E1554">
              <w:rPr>
                <w:rFonts w:ascii="Times New Roman" w:hAnsi="Times New Roman"/>
                <w:b/>
                <w:sz w:val="20"/>
                <w:szCs w:val="20"/>
              </w:rPr>
              <w:t xml:space="preserve"> ak sa na tento dovoz vzťahuje oslobodenie od cla, </w:t>
            </w:r>
          </w:p>
          <w:p w:rsidR="00202D09" w:rsidRPr="00202D09" w:rsidP="00202D09">
            <w:pPr>
              <w:pStyle w:val="Zkladntext"/>
              <w:numPr>
                <w:numId w:val="36"/>
              </w:numPr>
              <w:bidi w:val="0"/>
              <w:spacing w:line="240" w:lineRule="atLeast"/>
              <w:ind w:left="-36" w:firstLine="0"/>
              <w:jc w:val="both"/>
              <w:rPr>
                <w:rFonts w:ascii="Times New Roman" w:hAnsi="Times New Roman"/>
                <w:b/>
                <w:sz w:val="20"/>
                <w:szCs w:val="20"/>
              </w:rPr>
            </w:pPr>
            <w:r w:rsidRPr="00202D09">
              <w:rPr>
                <w:rFonts w:ascii="Times New Roman" w:hAnsi="Times New Roman"/>
                <w:b/>
                <w:sz w:val="20"/>
                <w:szCs w:val="20"/>
              </w:rPr>
              <w:t>Európskou úniou, Európskym spoločenstvom pre atómovú energiu a orgánmi nimi zriadenými, Európskou centrálnou bankou a Európskou investičnou bankou v rozsahu a za podmienok ustanovených osobitným predpisom</w:t>
            </w:r>
            <w:r w:rsidRPr="00202D09">
              <w:rPr>
                <w:rFonts w:ascii="Times New Roman" w:hAnsi="Times New Roman"/>
                <w:b/>
                <w:sz w:val="20"/>
                <w:szCs w:val="20"/>
                <w:vertAlign w:val="superscript"/>
              </w:rPr>
              <w:t>21a)</w:t>
            </w:r>
            <w:r w:rsidRPr="00202D09">
              <w:rPr>
                <w:rFonts w:ascii="Times New Roman" w:hAnsi="Times New Roman"/>
                <w:b/>
                <w:sz w:val="20"/>
                <w:szCs w:val="20"/>
              </w:rPr>
              <w:t xml:space="preserve"> a medzinárodnou zmluvou,</w:t>
            </w:r>
            <w:r w:rsidRPr="00202D09">
              <w:rPr>
                <w:rFonts w:ascii="Times New Roman" w:hAnsi="Times New Roman"/>
                <w:b/>
                <w:sz w:val="20"/>
                <w:szCs w:val="20"/>
                <w:vertAlign w:val="superscript"/>
              </w:rPr>
              <w:t>21b)</w:t>
            </w:r>
          </w:p>
          <w:p w:rsidR="00F16916" w:rsidRPr="005E1554" w:rsidP="00202D09">
            <w:pPr>
              <w:pStyle w:val="Zkladntext"/>
              <w:numPr>
                <w:numId w:val="36"/>
              </w:numPr>
              <w:bidi w:val="0"/>
              <w:spacing w:line="240" w:lineRule="atLeast"/>
              <w:ind w:left="-36" w:firstLine="0"/>
              <w:jc w:val="both"/>
              <w:rPr>
                <w:rFonts w:ascii="Times New Roman" w:hAnsi="Times New Roman"/>
                <w:b/>
                <w:sz w:val="20"/>
                <w:szCs w:val="20"/>
              </w:rPr>
            </w:pPr>
            <w:r w:rsidRPr="005E1554" w:rsidR="00471917">
              <w:rPr>
                <w:rFonts w:ascii="Times New Roman" w:hAnsi="Times New Roman"/>
                <w:b/>
                <w:sz w:val="20"/>
                <w:szCs w:val="20"/>
              </w:rPr>
              <w:t>medzinárodnými organizáciami</w:t>
            </w:r>
            <w:r w:rsidRPr="005E1554" w:rsidR="00471917">
              <w:rPr>
                <w:rFonts w:ascii="Times New Roman" w:hAnsi="Times New Roman"/>
                <w:b/>
                <w:sz w:val="20"/>
                <w:szCs w:val="20"/>
                <w:vertAlign w:val="superscript"/>
              </w:rPr>
              <w:t xml:space="preserve"> </w:t>
            </w:r>
            <w:r w:rsidRPr="005E1554" w:rsidR="00471917">
              <w:rPr>
                <w:rFonts w:ascii="Times New Roman" w:hAnsi="Times New Roman"/>
                <w:b/>
                <w:sz w:val="20"/>
                <w:szCs w:val="20"/>
              </w:rPr>
              <w:t>inými ako sú uvedené v písmene b) a ich pracovníkmi v rozsahu a za podmienok podľa medzinárodných zmlúv.</w:t>
            </w:r>
            <w:r w:rsidRPr="005E1554" w:rsidR="00471917">
              <w:rPr>
                <w:rFonts w:ascii="Times New Roman" w:hAnsi="Times New Roman"/>
                <w:b/>
                <w:sz w:val="20"/>
                <w:szCs w:val="20"/>
                <w:vertAlign w:val="superscript"/>
              </w:rPr>
              <w:t>24)</w:t>
            </w:r>
          </w:p>
          <w:p w:rsidR="00F16916" w:rsidRPr="005E1554" w:rsidP="00202D09">
            <w:pPr>
              <w:pStyle w:val="BodyText2"/>
              <w:bidi w:val="0"/>
              <w:spacing w:after="0" w:line="240" w:lineRule="auto"/>
              <w:ind w:left="-36"/>
              <w:jc w:val="both"/>
              <w:rPr>
                <w:rFonts w:ascii="Times New Roman" w:hAnsi="Times New Roman"/>
                <w:sz w:val="20"/>
                <w:szCs w:val="20"/>
              </w:rPr>
            </w:pPr>
          </w:p>
          <w:p w:rsidR="00F16916" w:rsidP="00295065">
            <w:pPr>
              <w:pStyle w:val="BodyText2"/>
              <w:bidi w:val="0"/>
              <w:spacing w:after="0" w:line="240" w:lineRule="auto"/>
              <w:jc w:val="both"/>
              <w:rPr>
                <w:rFonts w:ascii="Times New Roman" w:hAnsi="Times New Roman"/>
                <w:sz w:val="20"/>
                <w:szCs w:val="20"/>
              </w:rPr>
            </w:pPr>
          </w:p>
          <w:p w:rsidR="00202D09" w:rsidP="00295065">
            <w:pPr>
              <w:pStyle w:val="BodyText2"/>
              <w:bidi w:val="0"/>
              <w:spacing w:after="0" w:line="240" w:lineRule="auto"/>
              <w:jc w:val="both"/>
              <w:rPr>
                <w:rFonts w:ascii="Times New Roman" w:hAnsi="Times New Roman"/>
                <w:sz w:val="20"/>
                <w:szCs w:val="20"/>
              </w:rPr>
            </w:pPr>
          </w:p>
          <w:p w:rsidR="00202D09" w:rsidRPr="005E1554" w:rsidP="00295065">
            <w:pPr>
              <w:pStyle w:val="BodyText2"/>
              <w:bidi w:val="0"/>
              <w:spacing w:after="0" w:line="240" w:lineRule="auto"/>
              <w:jc w:val="both"/>
              <w:rPr>
                <w:rFonts w:ascii="Times New Roman" w:hAnsi="Times New Roman"/>
                <w:sz w:val="20"/>
                <w:szCs w:val="20"/>
              </w:rPr>
            </w:pPr>
          </w:p>
          <w:p w:rsidR="00F16916" w:rsidRPr="005E1554" w:rsidP="00295065">
            <w:pPr>
              <w:pStyle w:val="BodyText2"/>
              <w:bidi w:val="0"/>
              <w:spacing w:after="0" w:line="240" w:lineRule="auto"/>
              <w:jc w:val="both"/>
              <w:rPr>
                <w:rFonts w:ascii="Times New Roman" w:hAnsi="Times New Roman"/>
                <w:sz w:val="20"/>
                <w:szCs w:val="20"/>
              </w:rPr>
            </w:pPr>
          </w:p>
          <w:p w:rsidR="00F16916" w:rsidRPr="005E1554" w:rsidP="00F16916">
            <w:pPr>
              <w:pStyle w:val="Zkladntext"/>
              <w:bidi w:val="0"/>
              <w:spacing w:line="240" w:lineRule="atLeast"/>
              <w:jc w:val="both"/>
              <w:rPr>
                <w:rFonts w:ascii="Times New Roman" w:hAnsi="Times New Roman"/>
                <w:b/>
                <w:bCs/>
                <w:sz w:val="20"/>
                <w:szCs w:val="20"/>
              </w:rPr>
            </w:pPr>
            <w:r w:rsidRPr="005E1554">
              <w:rPr>
                <w:rFonts w:ascii="Times New Roman" w:hAnsi="Times New Roman"/>
                <w:b/>
                <w:bCs/>
                <w:sz w:val="20"/>
                <w:szCs w:val="20"/>
              </w:rPr>
              <w:t>(9) Oslobodený od dane je dovoz plynu prostredníctvom sústavy zemného plynu alebo</w:t>
            </w:r>
            <w:r w:rsidR="000F46F9">
              <w:rPr>
                <w:rFonts w:ascii="Times New Roman" w:hAnsi="Times New Roman"/>
                <w:b/>
                <w:bCs/>
                <w:sz w:val="20"/>
                <w:szCs w:val="20"/>
              </w:rPr>
              <w:t xml:space="preserve"> </w:t>
            </w:r>
            <w:r w:rsidRPr="005E1554">
              <w:rPr>
                <w:rFonts w:ascii="Times New Roman" w:hAnsi="Times New Roman"/>
                <w:b/>
                <w:bCs/>
                <w:sz w:val="20"/>
                <w:szCs w:val="20"/>
              </w:rPr>
              <w:t>siete, ktorá je k takejto sústave pripojená, alebo privádzaného z plavidla určeného na dopravu plynu do sústavy zemného plynu alebo ťažobnej siete, dovoz elektriny a dovoz tepla alebo chladu prostredníctvom teplárenských</w:t>
            </w:r>
            <w:r w:rsidR="000F46F9">
              <w:rPr>
                <w:rFonts w:ascii="Times New Roman" w:hAnsi="Times New Roman"/>
                <w:b/>
                <w:bCs/>
                <w:sz w:val="20"/>
                <w:szCs w:val="20"/>
              </w:rPr>
              <w:t xml:space="preserve"> sietí</w:t>
            </w:r>
            <w:r w:rsidRPr="005E1554">
              <w:rPr>
                <w:rFonts w:ascii="Times New Roman" w:hAnsi="Times New Roman"/>
                <w:b/>
                <w:bCs/>
                <w:sz w:val="20"/>
                <w:szCs w:val="20"/>
              </w:rPr>
              <w:t xml:space="preserve"> alebo chladiarenských sietí.</w:t>
            </w:r>
          </w:p>
          <w:p w:rsidR="00F16916" w:rsidRPr="005E1554" w:rsidP="0029506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11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11. V článku 151 sa odsek 1 mení a dopĺňa takto:</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a) za písmenom a) sa dopĺňa toto písmeno:</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"aa) dodanie tovaru a poskytovanie služieb Európskemu spoločenstvu, Európskemu spoločenstvu pre atómovú energiu, Európskej centrálnej banke alebo Európskej investičnej banke, alebo orgánom zriadeným Spoločenstvami, na ktoré sa vzťahuje Protokol z 8. apríla 1965 o výsadách a imunitách Európskych spoločenstiev, v rozsahu a za podmienok vymedzených v uvedenom protokole a dohodách na jeho vykonávanie alebo v dohodách o sídle, a predovšetkým pokiaľ nespôsobuje narušenie hospodárskej súťaže;"</w:t>
            </w:r>
          </w:p>
          <w:p w:rsidR="00452B96" w:rsidRPr="005E1554" w:rsidP="00D234D5">
            <w:pPr>
              <w:autoSpaceDE/>
              <w:autoSpaceDN/>
              <w:bidi w:val="0"/>
              <w:jc w:val="both"/>
              <w:rPr>
                <w:rFonts w:ascii="Times New Roman" w:hAnsi="Times New Roman"/>
                <w:sz w:val="20"/>
                <w:szCs w:val="20"/>
              </w:rPr>
            </w:pP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b) písmeno b) sa nahrádza takto:</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"b) dodanie tovaru a poskytovanie služieb iným medzinárodným organizáciám ako organizáciám uvedeným v písmene aa), ktoré sú ako také uznané orgánmi verejnej moci hostiteľského členského štátu alebo členmi takýchto organizácií v rozsahu a za podmienok vymedzených medzinárodnými dohovormi o založení týchto organizácií alebo dohodami o sídle;".</w:t>
            </w:r>
          </w:p>
          <w:p w:rsidR="00423D7A" w:rsidRPr="005E1554" w:rsidP="00D234D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DE196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E196B" w:rsidRPr="005E1554" w:rsidP="00DE196B">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DE196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p>
          <w:p w:rsidR="002515A6" w:rsidRPr="005E1554" w:rsidP="00DE196B">
            <w:pPr>
              <w:bidi w:val="0"/>
              <w:rPr>
                <w:rFonts w:ascii="Times New Roman" w:hAnsi="Times New Roman"/>
                <w:b/>
                <w:bCs/>
                <w:sz w:val="20"/>
                <w:szCs w:val="20"/>
              </w:rPr>
            </w:pPr>
          </w:p>
          <w:p w:rsidR="002515A6" w:rsidRPr="005E1554" w:rsidP="00DE196B">
            <w:pPr>
              <w:bidi w:val="0"/>
              <w:rPr>
                <w:rFonts w:ascii="Times New Roman" w:hAnsi="Times New Roman"/>
                <w:b/>
                <w:bCs/>
                <w:sz w:val="20"/>
                <w:szCs w:val="20"/>
              </w:rPr>
            </w:pPr>
          </w:p>
          <w:p w:rsidR="005E1554" w:rsidP="00DE196B">
            <w:pPr>
              <w:bidi w:val="0"/>
              <w:rPr>
                <w:rFonts w:ascii="Times New Roman" w:hAnsi="Times New Roman"/>
                <w:b/>
                <w:bCs/>
                <w:sz w:val="20"/>
                <w:szCs w:val="20"/>
              </w:rPr>
            </w:pPr>
          </w:p>
          <w:p w:rsidR="003D46DB" w:rsidRPr="005E1554" w:rsidP="00DE196B">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3D46DB" w:rsidRPr="005E1554" w:rsidP="00DE196B">
            <w:pPr>
              <w:bidi w:val="0"/>
              <w:rPr>
                <w:rFonts w:ascii="Times New Roman" w:hAnsi="Times New Roman"/>
                <w:b/>
                <w:bCs/>
                <w:sz w:val="20"/>
                <w:szCs w:val="20"/>
              </w:rPr>
            </w:pPr>
          </w:p>
          <w:p w:rsidR="00423D7A" w:rsidRPr="005E1554"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sidR="00DE196B">
              <w:rPr>
                <w:rFonts w:ascii="Times New Roman" w:hAnsi="Times New Roman"/>
                <w:sz w:val="20"/>
                <w:szCs w:val="20"/>
              </w:rPr>
              <w:t>§ 43 ods. 6</w:t>
            </w: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p w:rsidR="002515A6" w:rsidRPr="005E1554" w:rsidP="00423D7A">
            <w:pPr>
              <w:bidi w:val="0"/>
              <w:rPr>
                <w:rFonts w:ascii="Times New Roman" w:hAnsi="Times New Roman"/>
                <w:sz w:val="20"/>
                <w:szCs w:val="20"/>
              </w:rPr>
            </w:pPr>
          </w:p>
          <w:p w:rsidR="002515A6" w:rsidRPr="005E1554" w:rsidP="00423D7A">
            <w:pPr>
              <w:bidi w:val="0"/>
              <w:rPr>
                <w:rFonts w:ascii="Times New Roman" w:hAnsi="Times New Roman"/>
                <w:sz w:val="20"/>
                <w:szCs w:val="20"/>
              </w:rPr>
            </w:pPr>
          </w:p>
          <w:p w:rsidR="005E1554" w:rsidP="00423D7A">
            <w:pPr>
              <w:bidi w:val="0"/>
              <w:rPr>
                <w:rFonts w:ascii="Times New Roman" w:hAnsi="Times New Roman"/>
                <w:sz w:val="20"/>
                <w:szCs w:val="20"/>
              </w:rPr>
            </w:pPr>
          </w:p>
          <w:p w:rsidR="003D46DB" w:rsidRPr="005E1554" w:rsidP="00423D7A">
            <w:pPr>
              <w:bidi w:val="0"/>
              <w:rPr>
                <w:rFonts w:ascii="Times New Roman" w:hAnsi="Times New Roman"/>
                <w:sz w:val="20"/>
                <w:szCs w:val="20"/>
              </w:rPr>
            </w:pPr>
            <w:r w:rsidRPr="005E1554">
              <w:rPr>
                <w:rFonts w:ascii="Times New Roman" w:hAnsi="Times New Roman"/>
                <w:sz w:val="20"/>
                <w:szCs w:val="20"/>
              </w:rPr>
              <w:t>§ 62a</w:t>
            </w:r>
          </w:p>
          <w:p w:rsidR="003D46DB" w:rsidRPr="005E1554" w:rsidP="00423D7A">
            <w:pPr>
              <w:bidi w:val="0"/>
              <w:rPr>
                <w:rFonts w:ascii="Times New Roman" w:hAnsi="Times New Roman"/>
                <w:sz w:val="20"/>
                <w:szCs w:val="20"/>
              </w:rPr>
            </w:pPr>
          </w:p>
          <w:p w:rsidR="003D46DB" w:rsidRPr="005E1554" w:rsidP="00423D7A">
            <w:pPr>
              <w:bidi w:val="0"/>
              <w:rPr>
                <w:rFonts w:ascii="Times New Roman" w:hAnsi="Times New Roman"/>
                <w:sz w:val="20"/>
                <w:szCs w:val="20"/>
              </w:rPr>
            </w:pPr>
          </w:p>
          <w:p w:rsidR="00DE196B"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515A6" w:rsidRPr="005E1554" w:rsidP="002515A6">
            <w:pPr>
              <w:pStyle w:val="Zkladntext"/>
              <w:bidi w:val="0"/>
              <w:spacing w:line="240" w:lineRule="atLeast"/>
              <w:jc w:val="both"/>
              <w:rPr>
                <w:rFonts w:ascii="Times New Roman" w:hAnsi="Times New Roman"/>
                <w:b/>
                <w:sz w:val="20"/>
                <w:szCs w:val="20"/>
              </w:rPr>
            </w:pPr>
            <w:r w:rsidRPr="005E1554">
              <w:rPr>
                <w:rFonts w:ascii="Times New Roman" w:hAnsi="Times New Roman"/>
                <w:b/>
                <w:sz w:val="20"/>
                <w:szCs w:val="20"/>
              </w:rPr>
              <w:t>(6) Oslobodené od dane je dodanie tovaru a dodanie služby</w:t>
            </w:r>
          </w:p>
          <w:p w:rsidR="002515A6" w:rsidRPr="005E1554" w:rsidP="002515A6">
            <w:pPr>
              <w:pStyle w:val="PlainText"/>
              <w:numPr>
                <w:numId w:val="37"/>
              </w:numPr>
              <w:bidi w:val="0"/>
              <w:ind w:left="0" w:firstLine="0"/>
              <w:jc w:val="both"/>
              <w:rPr>
                <w:rFonts w:ascii="Times New Roman" w:hAnsi="Times New Roman" w:cs="Times New Roman"/>
                <w:b/>
                <w:color w:val="000000"/>
              </w:rPr>
            </w:pPr>
            <w:r w:rsidRPr="005E1554">
              <w:rPr>
                <w:rFonts w:ascii="Times New Roman" w:hAnsi="Times New Roman" w:cs="Times New Roman"/>
                <w:b/>
                <w:color w:val="000000"/>
              </w:rPr>
              <w:t>pre diplomatické misie a konzulárne úrady iných štátov ako Slovenskej republiky zriadené na území iného členského štátu a ich pracovníkov, ktorí nie sú občanmi Slovenskej republiky a nemajú trvalý pobyt v Slovenskej republike,</w:t>
            </w:r>
          </w:p>
          <w:p w:rsidR="000F46F9" w:rsidRPr="000F46F9" w:rsidP="000F46F9">
            <w:pPr>
              <w:pStyle w:val="Zkladntext"/>
              <w:numPr>
                <w:numId w:val="37"/>
              </w:numPr>
              <w:bidi w:val="0"/>
              <w:spacing w:line="240" w:lineRule="atLeast"/>
              <w:ind w:left="-36" w:firstLine="0"/>
              <w:jc w:val="both"/>
              <w:rPr>
                <w:rFonts w:ascii="Times New Roman" w:hAnsi="Times New Roman"/>
                <w:b/>
                <w:sz w:val="20"/>
                <w:szCs w:val="20"/>
              </w:rPr>
            </w:pPr>
            <w:r w:rsidRPr="000F46F9">
              <w:rPr>
                <w:rFonts w:ascii="Times New Roman" w:hAnsi="Times New Roman"/>
                <w:b/>
                <w:sz w:val="20"/>
                <w:szCs w:val="20"/>
              </w:rPr>
              <w:t>Európskej únii, Európskemu spoločenstvu pre atómovú energiu a orgánom nimi zriadenými, Európskej centrálnej banke a Európskej investičnej banke v rozsahu a za podmienok ustanovených osobitným predpisom</w:t>
            </w:r>
            <w:r w:rsidRPr="000F46F9">
              <w:rPr>
                <w:rFonts w:ascii="Times New Roman" w:hAnsi="Times New Roman"/>
                <w:b/>
                <w:sz w:val="20"/>
                <w:szCs w:val="20"/>
                <w:vertAlign w:val="superscript"/>
              </w:rPr>
              <w:t>21a)</w:t>
            </w:r>
            <w:r w:rsidRPr="000F46F9">
              <w:rPr>
                <w:rFonts w:ascii="Times New Roman" w:hAnsi="Times New Roman"/>
                <w:b/>
                <w:sz w:val="20"/>
                <w:szCs w:val="20"/>
              </w:rPr>
              <w:t xml:space="preserve"> a medzinárodnou zmluvou,</w:t>
            </w:r>
            <w:r w:rsidRPr="000F46F9">
              <w:rPr>
                <w:rFonts w:ascii="Times New Roman" w:hAnsi="Times New Roman"/>
                <w:b/>
                <w:sz w:val="20"/>
                <w:szCs w:val="20"/>
                <w:vertAlign w:val="superscript"/>
              </w:rPr>
              <w:t>21b)</w:t>
            </w:r>
          </w:p>
          <w:p w:rsidR="002515A6" w:rsidRPr="005E1554" w:rsidP="000F46F9">
            <w:pPr>
              <w:pStyle w:val="Zkladntext"/>
              <w:numPr>
                <w:numId w:val="37"/>
              </w:numPr>
              <w:bidi w:val="0"/>
              <w:spacing w:line="240" w:lineRule="atLeast"/>
              <w:ind w:left="-36" w:firstLine="0"/>
              <w:jc w:val="both"/>
              <w:rPr>
                <w:rFonts w:ascii="Times New Roman" w:hAnsi="Times New Roman"/>
                <w:b/>
                <w:sz w:val="20"/>
                <w:szCs w:val="20"/>
              </w:rPr>
            </w:pPr>
            <w:r w:rsidRPr="005E1554">
              <w:rPr>
                <w:rFonts w:ascii="Times New Roman" w:hAnsi="Times New Roman"/>
                <w:b/>
                <w:sz w:val="20"/>
                <w:szCs w:val="20"/>
              </w:rPr>
              <w:t>medzinárodným organizáciám</w:t>
            </w:r>
            <w:r w:rsidRPr="005E1554">
              <w:rPr>
                <w:rFonts w:ascii="Times New Roman" w:hAnsi="Times New Roman"/>
                <w:b/>
                <w:sz w:val="20"/>
                <w:szCs w:val="20"/>
                <w:vertAlign w:val="superscript"/>
              </w:rPr>
              <w:t xml:space="preserve"> </w:t>
            </w:r>
            <w:r w:rsidRPr="005E1554">
              <w:rPr>
                <w:rFonts w:ascii="Times New Roman" w:hAnsi="Times New Roman"/>
                <w:b/>
                <w:sz w:val="20"/>
                <w:szCs w:val="20"/>
              </w:rPr>
              <w:t>iným ako sú uvedené v písmene b) a ich pracovníkom v rozsahu a za podmienok podľa medzinárodných zmlúv,</w:t>
            </w:r>
            <w:r w:rsidRPr="005E1554">
              <w:rPr>
                <w:rFonts w:ascii="Times New Roman" w:hAnsi="Times New Roman"/>
                <w:b/>
                <w:sz w:val="20"/>
                <w:szCs w:val="20"/>
                <w:vertAlign w:val="superscript"/>
              </w:rPr>
              <w:t>24)</w:t>
            </w:r>
            <w:r w:rsidRPr="005E1554">
              <w:rPr>
                <w:rFonts w:ascii="Times New Roman" w:hAnsi="Times New Roman"/>
                <w:b/>
                <w:sz w:val="20"/>
                <w:szCs w:val="20"/>
              </w:rPr>
              <w:t xml:space="preserve"> </w:t>
            </w:r>
          </w:p>
          <w:p w:rsidR="00DE196B" w:rsidRPr="005E1554" w:rsidP="000F46F9">
            <w:pPr>
              <w:pStyle w:val="Zkladntext"/>
              <w:bidi w:val="0"/>
              <w:spacing w:line="240" w:lineRule="atLeast"/>
              <w:jc w:val="both"/>
              <w:rPr>
                <w:rFonts w:ascii="Times New Roman" w:hAnsi="Times New Roman"/>
                <w:b/>
                <w:sz w:val="20"/>
                <w:szCs w:val="20"/>
              </w:rPr>
            </w:pPr>
            <w:r w:rsidR="000F46F9">
              <w:rPr>
                <w:rFonts w:ascii="Times New Roman" w:hAnsi="Times New Roman"/>
                <w:b/>
                <w:sz w:val="20"/>
                <w:szCs w:val="20"/>
              </w:rPr>
              <w:t xml:space="preserve">d)       </w:t>
            </w:r>
            <w:r w:rsidRPr="005E1554" w:rsidR="002515A6">
              <w:rPr>
                <w:rFonts w:ascii="Times New Roman" w:hAnsi="Times New Roman"/>
                <w:b/>
                <w:sz w:val="20"/>
                <w:szCs w:val="20"/>
              </w:rPr>
              <w:t>do iného členského štátu pre ozbrojené sily členského štátu, ktorý je stranou Severoatlantickej zmluvy, určené pre použitie týmito ozbrojenými silami alebo civilnými zamestnancami, ktorí ich sprevádzajú, a pre zásobenie ich stravovacích zariadení, ak tieto ozbrojené sily nie sú ozbrojenými silami štátu určenia dodávok a ak sa podieľajú na spoločnom obrannom úsilí.</w:t>
            </w:r>
          </w:p>
          <w:p w:rsidR="002515A6" w:rsidP="003D46DB">
            <w:pPr>
              <w:pStyle w:val="Zkladntext"/>
              <w:bidi w:val="0"/>
              <w:spacing w:line="240" w:lineRule="atLeast"/>
              <w:jc w:val="both"/>
              <w:rPr>
                <w:rFonts w:ascii="Times New Roman" w:hAnsi="Times New Roman"/>
                <w:b/>
                <w:bCs/>
                <w:sz w:val="20"/>
                <w:szCs w:val="20"/>
              </w:rPr>
            </w:pPr>
          </w:p>
          <w:p w:rsidR="000F46F9" w:rsidP="003D46DB">
            <w:pPr>
              <w:pStyle w:val="Zkladntext"/>
              <w:bidi w:val="0"/>
              <w:spacing w:line="240" w:lineRule="atLeast"/>
              <w:jc w:val="both"/>
              <w:rPr>
                <w:rFonts w:ascii="Times New Roman" w:hAnsi="Times New Roman"/>
                <w:b/>
                <w:bCs/>
                <w:sz w:val="20"/>
                <w:szCs w:val="20"/>
              </w:rPr>
            </w:pPr>
          </w:p>
          <w:p w:rsidR="000F46F9" w:rsidRPr="005E1554" w:rsidP="003D46DB">
            <w:pPr>
              <w:pStyle w:val="Zkladntext"/>
              <w:bidi w:val="0"/>
              <w:spacing w:line="240" w:lineRule="atLeast"/>
              <w:jc w:val="both"/>
              <w:rPr>
                <w:rFonts w:ascii="Times New Roman" w:hAnsi="Times New Roman"/>
                <w:b/>
                <w:bCs/>
                <w:sz w:val="20"/>
                <w:szCs w:val="20"/>
              </w:rPr>
            </w:pPr>
          </w:p>
          <w:p w:rsidR="00DE2E76" w:rsidRPr="00DE2E76" w:rsidP="00DE2E76">
            <w:pPr>
              <w:pStyle w:val="Zkladntext"/>
              <w:bidi w:val="0"/>
              <w:spacing w:line="240" w:lineRule="atLeast"/>
              <w:jc w:val="both"/>
              <w:rPr>
                <w:rFonts w:ascii="Times New Roman" w:hAnsi="Times New Roman"/>
                <w:b/>
                <w:sz w:val="20"/>
                <w:szCs w:val="20"/>
              </w:rPr>
            </w:pPr>
            <w:r w:rsidRPr="00DE2E76">
              <w:rPr>
                <w:rFonts w:ascii="Times New Roman" w:hAnsi="Times New Roman"/>
                <w:b/>
                <w:sz w:val="20"/>
                <w:szCs w:val="20"/>
              </w:rPr>
              <w:t>Európska únia, Európske spoločenstvo pre atómovú energiu a orgány nimi zriadené, Európska centrálna banka a Európska investičná banka majú nárok na vrátenie dane z vnútroštátnych nákupov tovarov a služieb v rozsahu a za podmienok ustanovených osobitným predpisom</w:t>
            </w:r>
            <w:r w:rsidRPr="00DE2E76">
              <w:rPr>
                <w:rFonts w:ascii="Times New Roman" w:hAnsi="Times New Roman"/>
                <w:b/>
                <w:sz w:val="20"/>
                <w:szCs w:val="20"/>
                <w:vertAlign w:val="superscript"/>
              </w:rPr>
              <w:t>21a)</w:t>
            </w:r>
            <w:r w:rsidRPr="00DE2E76">
              <w:rPr>
                <w:rFonts w:ascii="Times New Roman" w:hAnsi="Times New Roman"/>
                <w:b/>
                <w:sz w:val="20"/>
                <w:szCs w:val="20"/>
              </w:rPr>
              <w:t xml:space="preserve"> a medzinárodnou zmluvou,</w:t>
            </w:r>
            <w:r w:rsidRPr="00DE2E76">
              <w:rPr>
                <w:rFonts w:ascii="Times New Roman" w:hAnsi="Times New Roman"/>
                <w:b/>
                <w:sz w:val="20"/>
                <w:szCs w:val="20"/>
                <w:vertAlign w:val="superscript"/>
              </w:rPr>
              <w:t>21b)</w:t>
            </w:r>
            <w:r w:rsidRPr="00DE2E76">
              <w:rPr>
                <w:rFonts w:ascii="Times New Roman" w:hAnsi="Times New Roman"/>
                <w:b/>
                <w:sz w:val="20"/>
                <w:szCs w:val="20"/>
              </w:rPr>
              <w:t xml:space="preserve"> ak je hostiteľským štátom ich orgánov Slovenská republika.</w:t>
            </w:r>
          </w:p>
          <w:p w:rsidR="00423D7A" w:rsidRPr="005E1554" w:rsidP="00DE2E76">
            <w:pPr>
              <w:pStyle w:val="Zkladntext"/>
              <w:bidi w:val="0"/>
              <w:spacing w:line="240" w:lineRule="atLeast"/>
              <w:ind w:left="-36"/>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DE196B">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1</w:t>
            </w:r>
            <w:r w:rsidRPr="005E1554" w:rsidR="0026095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12. V hlave X kapitole 1 sa vkladá tento článok:</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"Článok 168a</w:t>
            </w:r>
          </w:p>
          <w:p w:rsidR="00F45FAE" w:rsidRPr="005E1554" w:rsidP="00D234D5">
            <w:pPr>
              <w:autoSpaceDE/>
              <w:autoSpaceDN/>
              <w:bidi w:val="0"/>
              <w:jc w:val="both"/>
              <w:rPr>
                <w:rFonts w:ascii="Times New Roman" w:hAnsi="Times New Roman"/>
                <w:sz w:val="20"/>
                <w:szCs w:val="20"/>
              </w:rPr>
            </w:pP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1. V prípade nehnuteľného majetku, ktorý je súčasťou majetku podniku zdaniteľnej osoby a používa sa ako na účely podnikateľskej činnosti zdaniteľnej osoby, tak aj na osobnú spotrebu tejto zdaniteľnej osoby alebo na osobnú spotrebu jej zamestnancov, alebo všeobecnejšie na iné účely ako účely jej podnikania, je DPH z výdavkov súvisiacich s týmto majetkom odpočítateľná v súlade so zásadami uvedenými v článkoch 167, 168, 169 a 173 len do tej miery, v akej sa tento majetok používa na účely podnikateľskej činnosti zdaniteľnej osoby.</w:t>
            </w: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Odchylne od článku 26 sa zmeny v miere používania nehnuteľného majetku uvedenej v prvom pododseku zohľadňujú v súlade so zásadami ustanovenými v článkoch 184 až 192 podľa ich uplatňovania v príslušnom členskom štáte.</w:t>
            </w:r>
          </w:p>
          <w:p w:rsidR="00F45FAE" w:rsidRPr="005E1554" w:rsidP="00D234D5">
            <w:pPr>
              <w:autoSpaceDE/>
              <w:autoSpaceDN/>
              <w:bidi w:val="0"/>
              <w:jc w:val="both"/>
              <w:rPr>
                <w:rFonts w:ascii="Times New Roman" w:hAnsi="Times New Roman"/>
                <w:sz w:val="20"/>
                <w:szCs w:val="20"/>
              </w:rPr>
            </w:pPr>
          </w:p>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2. Členské štáty môžu uplatňovať odsek 1 aj vo vzťahu k DPH z výdavkov súvisiacich s iným tovarom, ktorý je súčasťou majetku podniku, podľa svojich kritérií."</w:t>
            </w:r>
          </w:p>
          <w:p w:rsidR="0046394F"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8436A" w:rsidRPr="005E1554" w:rsidP="0058436A">
            <w:pPr>
              <w:bidi w:val="0"/>
              <w:rPr>
                <w:rFonts w:ascii="Times New Roman" w:hAnsi="Times New Roman"/>
                <w:sz w:val="20"/>
                <w:szCs w:val="20"/>
              </w:rPr>
            </w:pPr>
            <w:r w:rsidRPr="005E1554">
              <w:rPr>
                <w:rFonts w:ascii="Times New Roman" w:hAnsi="Times New Roman"/>
                <w:sz w:val="20"/>
                <w:szCs w:val="20"/>
              </w:rPr>
              <w:t>222/2004 Z.z.</w:t>
            </w:r>
          </w:p>
          <w:p w:rsidR="0058436A" w:rsidRPr="005E1554" w:rsidP="0058436A">
            <w:pPr>
              <w:bidi w:val="0"/>
              <w:rPr>
                <w:rFonts w:ascii="Times New Roman" w:hAnsi="Times New Roman"/>
                <w:sz w:val="20"/>
                <w:szCs w:val="20"/>
              </w:rPr>
            </w:pPr>
          </w:p>
          <w:p w:rsidR="0058436A" w:rsidRPr="005E1554" w:rsidP="0058436A">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423D7A"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2515A6" w:rsidRPr="005E1554" w:rsidP="00F45FAE">
            <w:pPr>
              <w:bidi w:val="0"/>
              <w:rPr>
                <w:rFonts w:ascii="Times New Roman" w:hAnsi="Times New Roman"/>
                <w:b/>
                <w:bCs/>
                <w:sz w:val="20"/>
                <w:szCs w:val="20"/>
              </w:rPr>
            </w:pPr>
          </w:p>
          <w:p w:rsidR="005E1554" w:rsidP="00F45FAE">
            <w:pPr>
              <w:bidi w:val="0"/>
              <w:rPr>
                <w:rFonts w:ascii="Times New Roman" w:hAnsi="Times New Roman"/>
                <w:b/>
                <w:bCs/>
                <w:sz w:val="20"/>
                <w:szCs w:val="20"/>
              </w:rPr>
            </w:pPr>
          </w:p>
          <w:p w:rsidR="005E1554" w:rsidP="00F45FAE">
            <w:pPr>
              <w:bidi w:val="0"/>
              <w:rPr>
                <w:rFonts w:ascii="Times New Roman" w:hAnsi="Times New Roman"/>
                <w:b/>
                <w:bCs/>
                <w:sz w:val="20"/>
                <w:szCs w:val="20"/>
              </w:rPr>
            </w:pPr>
          </w:p>
          <w:p w:rsidR="00F45FAE" w:rsidRPr="005E1554" w:rsidP="00F45FAE">
            <w:pPr>
              <w:bidi w:val="0"/>
              <w:rPr>
                <w:rFonts w:ascii="Times New Roman" w:hAnsi="Times New Roman"/>
                <w:b/>
                <w:bCs/>
                <w:sz w:val="20"/>
                <w:szCs w:val="20"/>
              </w:rPr>
            </w:pPr>
            <w:r w:rsidRPr="005E1554">
              <w:rPr>
                <w:rFonts w:ascii="Times New Roman" w:hAnsi="Times New Roman"/>
                <w:b/>
                <w:bCs/>
                <w:sz w:val="20"/>
                <w:szCs w:val="20"/>
              </w:rPr>
              <w:t>/201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46394F">
            <w:pPr>
              <w:bidi w:val="0"/>
              <w:rPr>
                <w:rFonts w:ascii="Times New Roman" w:hAnsi="Times New Roman"/>
                <w:b/>
                <w:bCs/>
                <w:sz w:val="20"/>
                <w:szCs w:val="20"/>
              </w:rPr>
            </w:pPr>
          </w:p>
          <w:p w:rsidR="00F45FAE" w:rsidRPr="005E1554" w:rsidP="00F45FAE">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F45FAE" w:rsidRPr="005E1554"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5E1554" w:rsidP="00423D7A">
            <w:pPr>
              <w:bidi w:val="0"/>
              <w:rPr>
                <w:rFonts w:ascii="Times New Roman" w:hAnsi="Times New Roman"/>
                <w:sz w:val="20"/>
                <w:szCs w:val="20"/>
              </w:rPr>
            </w:pPr>
            <w:r w:rsidRPr="005E1554" w:rsidR="0058436A">
              <w:rPr>
                <w:rFonts w:ascii="Times New Roman" w:hAnsi="Times New Roman"/>
                <w:sz w:val="20"/>
                <w:szCs w:val="20"/>
              </w:rPr>
              <w:t>§ 49 ods. 5</w:t>
            </w:r>
          </w:p>
          <w:p w:rsidR="0058436A"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2515A6" w:rsidRPr="005E1554" w:rsidP="00423D7A">
            <w:pPr>
              <w:bidi w:val="0"/>
              <w:rPr>
                <w:rFonts w:ascii="Times New Roman" w:hAnsi="Times New Roman"/>
                <w:sz w:val="20"/>
                <w:szCs w:val="20"/>
              </w:rPr>
            </w:pPr>
          </w:p>
          <w:p w:rsidR="005E1554" w:rsidP="00423D7A">
            <w:pPr>
              <w:bidi w:val="0"/>
              <w:rPr>
                <w:rFonts w:ascii="Times New Roman" w:hAnsi="Times New Roman"/>
                <w:sz w:val="20"/>
                <w:szCs w:val="20"/>
              </w:rPr>
            </w:pPr>
          </w:p>
          <w:p w:rsid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r w:rsidRPr="005E1554">
              <w:rPr>
                <w:rFonts w:ascii="Times New Roman" w:hAnsi="Times New Roman"/>
                <w:sz w:val="20"/>
                <w:szCs w:val="20"/>
              </w:rPr>
              <w:t>§ 49a</w:t>
            </w: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p>
          <w:p w:rsidR="00F45FAE" w:rsidRPr="005E1554" w:rsidP="00423D7A">
            <w:pPr>
              <w:bidi w:val="0"/>
              <w:rPr>
                <w:rFonts w:ascii="Times New Roman" w:hAnsi="Times New Roman"/>
                <w:sz w:val="20"/>
                <w:szCs w:val="20"/>
              </w:rPr>
            </w:pPr>
            <w:r w:rsidRPr="005E1554">
              <w:rPr>
                <w:rFonts w:ascii="Times New Roman" w:hAnsi="Times New Roman"/>
                <w:sz w:val="20"/>
                <w:szCs w:val="20"/>
              </w:rPr>
              <w:t>§ 54a</w:t>
            </w:r>
          </w:p>
          <w:p w:rsidR="00F45FAE" w:rsidRPr="005E1554" w:rsidP="00423D7A">
            <w:pPr>
              <w:bidi w:val="0"/>
              <w:rPr>
                <w:rFonts w:ascii="Times New Roman" w:hAnsi="Times New Roman"/>
                <w:sz w:val="20"/>
                <w:szCs w:val="20"/>
              </w:rPr>
            </w:pPr>
          </w:p>
          <w:p w:rsidR="0058436A"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A24387" w:rsidRPr="005E1554" w:rsidP="00423D7A">
            <w:pPr>
              <w:pStyle w:val="BodyText2"/>
              <w:bidi w:val="0"/>
              <w:spacing w:after="0" w:line="240" w:lineRule="auto"/>
              <w:jc w:val="both"/>
              <w:rPr>
                <w:rFonts w:ascii="Times New Roman" w:hAnsi="Times New Roman"/>
                <w:sz w:val="20"/>
                <w:szCs w:val="20"/>
              </w:rPr>
            </w:pPr>
            <w:r w:rsidRPr="005E1554" w:rsidR="0058436A">
              <w:rPr>
                <w:rFonts w:ascii="Times New Roman" w:hAnsi="Times New Roman"/>
                <w:sz w:val="20"/>
                <w:szCs w:val="20"/>
              </w:rPr>
              <w:t>(5) Platiteľ, ktorý nadobudne hmotný majetok, ktorý je podľa osobitného predpisu odpisovaným majetkom</w:t>
            </w:r>
            <w:r w:rsidRPr="005E1554" w:rsidR="00A63E6B">
              <w:rPr>
                <w:rFonts w:ascii="Times New Roman" w:hAnsi="Times New Roman"/>
                <w:sz w:val="20"/>
                <w:szCs w:val="20"/>
                <w:vertAlign w:val="superscript"/>
              </w:rPr>
              <w:t>26)</w:t>
            </w:r>
            <w:r w:rsidRPr="005E1554" w:rsidR="0058436A">
              <w:rPr>
                <w:rFonts w:ascii="Times New Roman" w:hAnsi="Times New Roman"/>
                <w:sz w:val="20"/>
                <w:szCs w:val="20"/>
              </w:rPr>
              <w:t>, a pri nadobudnutí tohto majetku predpokladá jeho použitie na účely svojho podnikania, ako aj na iný účel ako na podnikanie, sa môže rozhodnúť</w:t>
            </w:r>
            <w:r w:rsidRPr="005E1554" w:rsidR="00F45FAE">
              <w:rPr>
                <w:rFonts w:ascii="Times New Roman" w:hAnsi="Times New Roman"/>
                <w:sz w:val="20"/>
                <w:szCs w:val="20"/>
              </w:rPr>
              <w:t xml:space="preserve"> </w:t>
            </w:r>
            <w:r w:rsidRPr="00DE2E76" w:rsidR="00DE2E76">
              <w:rPr>
                <w:rFonts w:ascii="Times New Roman" w:hAnsi="Times New Roman"/>
                <w:b/>
                <w:sz w:val="20"/>
                <w:szCs w:val="20"/>
              </w:rPr>
              <w:t>okrem</w:t>
            </w:r>
            <w:r w:rsidRPr="00DE2E76" w:rsidR="00F45FAE">
              <w:rPr>
                <w:rFonts w:ascii="Times New Roman" w:hAnsi="Times New Roman"/>
                <w:b/>
                <w:bCs/>
                <w:sz w:val="20"/>
                <w:szCs w:val="20"/>
              </w:rPr>
              <w:t xml:space="preserve"> </w:t>
            </w:r>
            <w:r w:rsidRPr="005E1554" w:rsidR="002515A6">
              <w:rPr>
                <w:rFonts w:ascii="Times New Roman" w:hAnsi="Times New Roman"/>
                <w:b/>
                <w:sz w:val="20"/>
                <w:szCs w:val="20"/>
              </w:rPr>
              <w:t>investičného majetku uvedeného v § 54 ods. 2 písm. b) a c)</w:t>
            </w:r>
            <w:r w:rsidRPr="005E1554" w:rsidR="0058436A">
              <w:rPr>
                <w:rFonts w:ascii="Times New Roman" w:hAnsi="Times New Roman"/>
                <w:sz w:val="20"/>
                <w:szCs w:val="20"/>
              </w:rPr>
              <w:t>,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 8 ods. 3) alebo dodanie služby za protihodnotu (§ 9 ods. 2). Ak platiteľ použije prijaté služby a nadobudnutý hmotný majetok iný ako hmotný majetok, ktorý je podľa osobitného predpisu odpisovaným majetkom</w:t>
            </w:r>
            <w:r w:rsidRPr="005E1554" w:rsidR="00A63E6B">
              <w:rPr>
                <w:rFonts w:ascii="Times New Roman" w:hAnsi="Times New Roman"/>
                <w:sz w:val="20"/>
                <w:szCs w:val="20"/>
                <w:vertAlign w:val="superscript"/>
              </w:rPr>
              <w:t>26)</w:t>
            </w:r>
            <w:r w:rsidRPr="005E1554" w:rsidR="0058436A">
              <w:rPr>
                <w:rFonts w:ascii="Times New Roman" w:hAnsi="Times New Roman"/>
                <w:sz w:val="20"/>
                <w:szCs w:val="20"/>
              </w:rPr>
              <w:t>,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w:t>
            </w:r>
            <w:r w:rsidRPr="005E1554" w:rsidR="00A63E6B">
              <w:rPr>
                <w:rFonts w:ascii="Times New Roman" w:hAnsi="Times New Roman"/>
                <w:sz w:val="20"/>
                <w:szCs w:val="20"/>
                <w:vertAlign w:val="superscript"/>
              </w:rPr>
              <w:t>24b)</w:t>
            </w:r>
            <w:r w:rsidRPr="005E1554" w:rsidR="0058436A">
              <w:rPr>
                <w:rFonts w:ascii="Times New Roman" w:hAnsi="Times New Roman"/>
                <w:sz w:val="20"/>
                <w:szCs w:val="20"/>
              </w:rPr>
              <w:t xml:space="preserve"> a nemôže preukázať rozsah použitia pohonných látok na účely svojho podnikania a na iný účel ako na podnikanie, môže odpočítať daň z kúpy pohonných látok do výšky paušálnych výdavkov podľa osobitného predpisu</w:t>
            </w:r>
            <w:r w:rsidRPr="005E1554" w:rsidR="00A63E6B">
              <w:rPr>
                <w:rFonts w:ascii="Times New Roman" w:hAnsi="Times New Roman"/>
                <w:sz w:val="20"/>
                <w:szCs w:val="20"/>
                <w:vertAlign w:val="superscript"/>
              </w:rPr>
              <w:t>24b)</w:t>
            </w:r>
            <w:r w:rsidRPr="005E1554" w:rsidR="0058436A">
              <w:rPr>
                <w:rFonts w:ascii="Times New Roman" w:hAnsi="Times New Roman"/>
                <w:sz w:val="20"/>
                <w:szCs w:val="20"/>
              </w:rPr>
              <w:t>. Ustanovenie odseku 4 týmto nie je dotknuté.</w:t>
            </w:r>
          </w:p>
          <w:p w:rsidR="00F45FAE" w:rsidRPr="005E1554" w:rsidP="00423D7A">
            <w:pPr>
              <w:pStyle w:val="BodyText2"/>
              <w:bidi w:val="0"/>
              <w:spacing w:after="0" w:line="240" w:lineRule="auto"/>
              <w:jc w:val="both"/>
              <w:rPr>
                <w:rFonts w:ascii="Times New Roman" w:hAnsi="Times New Roman"/>
                <w:sz w:val="20"/>
                <w:szCs w:val="20"/>
              </w:rPr>
            </w:pPr>
          </w:p>
          <w:p w:rsidR="00F45FAE" w:rsidRPr="005E1554" w:rsidP="00F45FAE">
            <w:pPr>
              <w:pStyle w:val="BodyText2"/>
              <w:bidi w:val="0"/>
              <w:spacing w:after="0" w:line="240" w:lineRule="auto"/>
              <w:jc w:val="both"/>
              <w:rPr>
                <w:rFonts w:ascii="Times New Roman" w:hAnsi="Times New Roman"/>
                <w:b/>
                <w:bCs/>
                <w:color w:val="000000"/>
                <w:sz w:val="20"/>
                <w:szCs w:val="20"/>
              </w:rPr>
            </w:pPr>
            <w:r w:rsidRPr="005E1554">
              <w:rPr>
                <w:rFonts w:ascii="Times New Roman" w:hAnsi="Times New Roman"/>
                <w:b/>
                <w:bCs/>
                <w:color w:val="000000"/>
                <w:sz w:val="20"/>
                <w:szCs w:val="20"/>
              </w:rPr>
              <w:t>Daň uplatnenú na investičný majetok uvedený v § 54 ods. 2 písm. b) a c), ktorý je zahrnutý v majetku platiteľa a ktorý platiteľ použije na účely podnikania ako aj na iný účel ako na podnikanie, odpočíta platiteľ len v rozsahu použitia tohto investičného majetku na podnikanie. Ustanovenie § 49 ods. 4 týmto nie je dotknuté.“.</w:t>
            </w:r>
          </w:p>
          <w:p w:rsidR="00F45FAE" w:rsidRPr="005E1554" w:rsidP="00423D7A">
            <w:pPr>
              <w:pStyle w:val="BodyText2"/>
              <w:bidi w:val="0"/>
              <w:spacing w:after="0" w:line="240" w:lineRule="auto"/>
              <w:jc w:val="both"/>
              <w:rPr>
                <w:rFonts w:ascii="Times New Roman" w:hAnsi="Times New Roman"/>
                <w:sz w:val="20"/>
                <w:szCs w:val="20"/>
              </w:rPr>
            </w:pPr>
          </w:p>
          <w:p w:rsidR="002515A6" w:rsidRPr="005E1554" w:rsidP="002515A6">
            <w:pPr>
              <w:pStyle w:val="Zkladntext"/>
              <w:bidi w:val="0"/>
              <w:spacing w:line="240" w:lineRule="atLeast"/>
              <w:jc w:val="both"/>
              <w:rPr>
                <w:rFonts w:ascii="Times New Roman" w:hAnsi="Times New Roman"/>
                <w:b/>
                <w:sz w:val="20"/>
                <w:szCs w:val="20"/>
              </w:rPr>
            </w:pPr>
            <w:r w:rsidRPr="005E1554">
              <w:rPr>
                <w:rFonts w:ascii="Times New Roman" w:hAnsi="Times New Roman"/>
                <w:b/>
                <w:sz w:val="20"/>
                <w:szCs w:val="20"/>
              </w:rPr>
              <w:t>(1) Platiteľ upraví daň odpočítanú podľa § 49a, ak v období nasledujúcom po zdaňovacom období, v ktorom investičný majetok uvedený v § 54 ods. 2 písm. b) a c) uviedol do užívania, zmení rozsah použitia tohto investičného majetku na účely podnikania ako aj na iný účel ako na podnikanie.</w:t>
            </w:r>
          </w:p>
          <w:p w:rsidR="002515A6" w:rsidRPr="005E1554" w:rsidP="002515A6">
            <w:pPr>
              <w:pStyle w:val="Zkladntext"/>
              <w:bidi w:val="0"/>
              <w:spacing w:line="240" w:lineRule="atLeast"/>
              <w:jc w:val="both"/>
              <w:rPr>
                <w:rFonts w:ascii="Times New Roman" w:hAnsi="Times New Roman"/>
                <w:b/>
                <w:sz w:val="20"/>
                <w:szCs w:val="20"/>
              </w:rPr>
            </w:pPr>
            <w:r w:rsidRPr="005E1554">
              <w:rPr>
                <w:rFonts w:ascii="Times New Roman" w:hAnsi="Times New Roman"/>
                <w:b/>
                <w:sz w:val="20"/>
                <w:szCs w:val="20"/>
              </w:rPr>
              <w:t>(2) Obdobie na úpravu odpočítanej dane podľa odseku 1 je desať kalendárnych rokov vrátane roka, v ktorom investičný majetok uvedený v § 54 ods. 2 písm. b) a c) platiteľ uviedol do užívania. Ak platiteľ dodá investičný majetok uvedený v § 54 ods. 2 písm. b) a c) pred uvedením do užívania, upraví odpočítanú daň v kalendárnom roku, v ktorom tento majetok dodá.</w:t>
            </w:r>
          </w:p>
          <w:p w:rsidR="002515A6" w:rsidRPr="005E1554" w:rsidP="002515A6">
            <w:pPr>
              <w:pStyle w:val="Zkladntext"/>
              <w:bidi w:val="0"/>
              <w:spacing w:line="240" w:lineRule="atLeast"/>
              <w:jc w:val="both"/>
              <w:rPr>
                <w:rFonts w:ascii="Times New Roman" w:hAnsi="Times New Roman"/>
                <w:b/>
                <w:sz w:val="20"/>
                <w:szCs w:val="20"/>
              </w:rPr>
            </w:pPr>
            <w:r w:rsidRPr="005E1554">
              <w:rPr>
                <w:rFonts w:ascii="Times New Roman" w:hAnsi="Times New Roman"/>
                <w:b/>
                <w:sz w:val="20"/>
                <w:szCs w:val="20"/>
              </w:rPr>
              <w:t>(3) Úpravu odpočítanej dane platiteľ vykoná v poslednom zdaňovacom období kalendárneho roka, v ktorom zmenil rozsah použitia investičného majetku uvedeného v § 54 ods. 2 písm. b) a c),  a to za každý kalendárny rok do skončenia obdobia na úpravu odpočítanej dane vrátane kalendárneho roka, v ktorom zmenil rozsah použitia tohto majetku. Platiteľ postupuje pri úprave odpočítanej dane podľa vzorca uvedeného v prílohe č. 1, pričom číslo A vyjadruje percento dane odpočítanej pri nadobudnutí alebo vytvorení investičného majetku uvedeného v § 54 ods. 2 písm. b) a c) vydelené stomi a číslo B vyjadruje percento zmeneného rozsahu použitia investičného majetku uvedeného v § 54 ods. 2 písm. b) a c) v kalendárnom roku, v ktorom sa zmenil rozsah jeho použitia, vydelené stomi.</w:t>
            </w:r>
          </w:p>
          <w:p w:rsidR="00F45FAE" w:rsidRPr="005E1554" w:rsidP="002515A6">
            <w:pPr>
              <w:pStyle w:val="BodyText2"/>
              <w:bidi w:val="0"/>
              <w:spacing w:after="0" w:line="240" w:lineRule="auto"/>
              <w:jc w:val="both"/>
              <w:rPr>
                <w:rFonts w:ascii="Times New Roman" w:hAnsi="Times New Roman"/>
                <w:sz w:val="20"/>
                <w:szCs w:val="20"/>
              </w:rPr>
            </w:pPr>
            <w:r w:rsidRPr="005E1554" w:rsidR="002515A6">
              <w:rPr>
                <w:rFonts w:ascii="Times New Roman" w:hAnsi="Times New Roman"/>
                <w:b/>
                <w:sz w:val="20"/>
                <w:szCs w:val="20"/>
              </w:rPr>
              <w:t>(4) Ak v priebehu obdobia na úpravu odpočítanej dane platiteľ dodá investičný majetok uvedený v § 54 ods. 2 písm. b) a c) s uplatnením dane, posudzuje sa tento majetok až do uplynutia obdobia na úpravu odpočítanej dane, akoby bol používaný len na podnikanie. Ak v priebehu obdobia na úpravu odpočítanej dane platiteľ dodá investičný majetok uvedený v § 54 ods. 2 písm. b) a c) s oslobodením od dane, posudzuje sa tento majetok až do uplynutia obdobia na úpravu odpočítanej dane, akoby bol používaný len na iný účel ako na podnikanie.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234D5">
              <w:rPr>
                <w:rFonts w:ascii="Times New Roman" w:hAnsi="Times New Roman"/>
                <w:sz w:val="20"/>
                <w:szCs w:val="20"/>
              </w:rPr>
              <w:t>1 bod 13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234D5" w:rsidRPr="005E1554" w:rsidP="00D234D5">
            <w:pPr>
              <w:autoSpaceDE/>
              <w:autoSpaceDN/>
              <w:bidi w:val="0"/>
              <w:jc w:val="both"/>
              <w:rPr>
                <w:rFonts w:ascii="Times New Roman" w:hAnsi="Times New Roman"/>
                <w:sz w:val="20"/>
                <w:szCs w:val="20"/>
              </w:rPr>
            </w:pPr>
            <w:r w:rsidRPr="005E1554">
              <w:rPr>
                <w:rFonts w:ascii="Times New Roman" w:hAnsi="Times New Roman"/>
                <w:sz w:val="20"/>
                <w:szCs w:val="20"/>
              </w:rPr>
              <w:t>13. V článku 221 ods. 2 sa slová "články 380 až 390" nahrádzajú slovami "články 380 až 390b".</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7340CE">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2C51DC" w:rsidRPr="005E1554" w:rsidP="002C51DC">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1DC"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C51DC"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7340CE">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F6E86">
              <w:rPr>
                <w:rFonts w:ascii="Times New Roman" w:hAnsi="Times New Roman"/>
                <w:sz w:val="20"/>
                <w:szCs w:val="20"/>
              </w:rPr>
              <w:t xml:space="preserve">1 bod 14 </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14. V článku 287 sa dopĺňajú tieto body:</w:t>
            </w:r>
          </w:p>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"17. Bulharsko: 25600 EUR;</w:t>
            </w:r>
          </w:p>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18. Rumunsko: 35000 EUR."</w:t>
            </w:r>
          </w:p>
          <w:p w:rsidR="00423D7A" w:rsidRPr="005E1554" w:rsidP="00DF6E86">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7340CE">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0A3FAE" w:rsidRPr="005E1554" w:rsidP="002C51DC">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1DC"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2C51DC">
            <w:pPr>
              <w:bidi w:val="0"/>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7340CE">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F6E86">
              <w:rPr>
                <w:rFonts w:ascii="Times New Roman" w:hAnsi="Times New Roman"/>
                <w:sz w:val="20"/>
                <w:szCs w:val="20"/>
              </w:rPr>
              <w:t>1 bod 15</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15. V hlave XIII kapitole 1 sa v oddiele 2 vkladajú tieto články:</w:t>
            </w:r>
          </w:p>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"Článok 390a</w:t>
            </w:r>
          </w:p>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Bulharsko môže v súlade s podmienkami, ktoré sa v tomto členskom štáte uplatňovali k dátumu jeho pristúpenia, naďalej oslobodzovať od dane medzinárodnú prepravu osôb uvedenú v prílohe X časti B bode 10, pokiaľ sa rovnaké oslobodenie od dane uplatňuje v jednom z členských štátov, ktoré boli členmi Spoločenstva k 31. decembru 2006.</w:t>
            </w:r>
          </w:p>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Článok 390b</w:t>
            </w:r>
          </w:p>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Rumunsko môže v súlade s podmienkami, ktoré sa v tomto členskom štáte uplatňovali k dátumu jeho pristúpenia, naďalej oslobodzovať od dane medzinárodnú prepravu osôb uvedenú v prílohe X časti B bode 10, pokiaľ sa rovnaké oslobodenie od dane uplatňuje v jednom z členských štátov, ktoré boli členmi Spoločenstva k 31. decembru 2006."</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6F7987">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E1554" w:rsidP="002C51DC">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B217A2">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B217A2"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6F7987">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DF6E86">
              <w:rPr>
                <w:rFonts w:ascii="Times New Roman" w:hAnsi="Times New Roman"/>
                <w:sz w:val="20"/>
                <w:szCs w:val="20"/>
              </w:rPr>
              <w:t>1 bod 16</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DF6E86" w:rsidRPr="005E1554" w:rsidP="00DF6E86">
            <w:pPr>
              <w:autoSpaceDE/>
              <w:autoSpaceDN/>
              <w:bidi w:val="0"/>
              <w:jc w:val="both"/>
              <w:rPr>
                <w:rFonts w:ascii="Times New Roman" w:hAnsi="Times New Roman"/>
                <w:sz w:val="20"/>
                <w:szCs w:val="20"/>
              </w:rPr>
            </w:pPr>
            <w:r w:rsidRPr="005E1554">
              <w:rPr>
                <w:rFonts w:ascii="Times New Roman" w:hAnsi="Times New Roman"/>
                <w:sz w:val="20"/>
                <w:szCs w:val="20"/>
              </w:rPr>
              <w:t>16. V článku 391 sa slová "v článkoch 380 až 390" nahrádzajú slovami "v článkoch 380 až 390b".</w:t>
            </w:r>
          </w:p>
          <w:p w:rsidR="00423D7A" w:rsidRPr="005E1554" w:rsidP="00640D0C">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6F7987">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217A2" w:rsidRPr="005E1554" w:rsidP="00B217A2">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B217A2">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77F45"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6F7987">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AC65A4">
              <w:rPr>
                <w:rFonts w:ascii="Times New Roman" w:hAnsi="Times New Roman"/>
                <w:sz w:val="20"/>
                <w:szCs w:val="20"/>
              </w:rPr>
              <w:t>1 bod 17</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17. V prílohe X sa názov nahrádza takto:</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"ZOZNAM TRANSAKCIÍ, NA KTORÉ SA VZŤAHUJÚ VÝNIMKY UVEDENÉ V ČLÁNKOCH 370 A 371 A V ČLÁNKOCH 375 AŽ 390b".</w:t>
            </w:r>
          </w:p>
          <w:p w:rsidR="00423D7A" w:rsidRPr="005E1554" w:rsidP="00AC65A4">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6F7987">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77F45" w:rsidRPr="005E1554" w:rsidP="00477F4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77F45"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77F45"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6F7987">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26095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Článok 2</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Transpozícia</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1. Členské štáty uvedú do účinnosti zákony, iné právne predpisy a správne opatrenia potrebné na dosiahnutie súladu s touto smernicou s účinnosťou od 1. januára 2011. Bezodkladne o tom informujú Komisiu.</w:t>
            </w:r>
          </w:p>
          <w:p w:rsidR="006F7987" w:rsidRPr="005E1554" w:rsidP="00AC65A4">
            <w:pPr>
              <w:autoSpaceDE/>
              <w:autoSpaceDN/>
              <w:bidi w:val="0"/>
              <w:jc w:val="both"/>
              <w:rPr>
                <w:rFonts w:ascii="Times New Roman" w:hAnsi="Times New Roman"/>
                <w:sz w:val="20"/>
                <w:szCs w:val="20"/>
              </w:rPr>
            </w:pP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Členské štáty uvedú priamo v prijatých opatreniach alebo pri ich úradnom uverejnení odkaz na túto smernicu. Podrobnosti o odkaze upravia členské štáty.</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2. Členské štáty oznámia Komisii znenie hlavných ustanovení vnútroštátnych právnych predpisov, ktoré prijmú v oblasti pôsobnosti tejto smernice.</w:t>
            </w:r>
          </w:p>
          <w:p w:rsidR="00423D7A" w:rsidRPr="005E1554" w:rsidP="00AC65A4">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6F7987" w:rsidRPr="005E1554" w:rsidP="006F7987">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6F7987" w:rsidRPr="005E1554" w:rsidP="006F7987">
            <w:pPr>
              <w:bidi w:val="0"/>
              <w:rPr>
                <w:rFonts w:ascii="Times New Roman" w:hAnsi="Times New Roman"/>
                <w:b/>
                <w:bCs/>
                <w:sz w:val="20"/>
                <w:szCs w:val="20"/>
              </w:rPr>
            </w:pPr>
          </w:p>
          <w:p w:rsidR="006F7987" w:rsidRPr="005E1554" w:rsidP="006F7987">
            <w:pPr>
              <w:bidi w:val="0"/>
              <w:rPr>
                <w:rFonts w:ascii="Times New Roman" w:hAnsi="Times New Roman"/>
                <w:b/>
                <w:bCs/>
                <w:sz w:val="20"/>
                <w:szCs w:val="20"/>
              </w:rPr>
            </w:pPr>
          </w:p>
          <w:p w:rsidR="006F7987" w:rsidRPr="005E1554" w:rsidP="006F7987">
            <w:pPr>
              <w:bidi w:val="0"/>
              <w:rPr>
                <w:rFonts w:ascii="Times New Roman" w:hAnsi="Times New Roman"/>
                <w:b/>
                <w:bCs/>
                <w:sz w:val="20"/>
                <w:szCs w:val="20"/>
              </w:rPr>
            </w:pPr>
          </w:p>
          <w:p w:rsidR="006F7987" w:rsidRPr="005E1554" w:rsidP="006F7987">
            <w:pPr>
              <w:bidi w:val="0"/>
              <w:rPr>
                <w:rFonts w:ascii="Times New Roman" w:hAnsi="Times New Roman"/>
                <w:b/>
                <w:bCs/>
                <w:sz w:val="20"/>
                <w:szCs w:val="20"/>
              </w:rPr>
            </w:pPr>
          </w:p>
          <w:p w:rsidR="006F7987" w:rsidRPr="005E1554" w:rsidP="006F7987">
            <w:pPr>
              <w:bidi w:val="0"/>
              <w:rPr>
                <w:rFonts w:ascii="Times New Roman" w:hAnsi="Times New Roman"/>
                <w:b/>
                <w:bCs/>
                <w:sz w:val="20"/>
                <w:szCs w:val="20"/>
              </w:rPr>
            </w:pPr>
          </w:p>
          <w:p w:rsidR="006F7987" w:rsidRPr="005E1554" w:rsidP="006F7987">
            <w:pPr>
              <w:bidi w:val="0"/>
              <w:rPr>
                <w:rFonts w:ascii="Times New Roman" w:hAnsi="Times New Roman"/>
                <w:b/>
                <w:bCs/>
                <w:sz w:val="20"/>
                <w:szCs w:val="20"/>
              </w:rPr>
            </w:pPr>
            <w:r w:rsidRPr="005E1554">
              <w:rPr>
                <w:rFonts w:ascii="Times New Roman" w:hAnsi="Times New Roman"/>
                <w:b/>
                <w:bCs/>
                <w:sz w:val="20"/>
                <w:szCs w:val="20"/>
              </w:rPr>
              <w:t>X/201</w:t>
            </w:r>
            <w:r w:rsidRPr="005E1554" w:rsidR="00CD37CF">
              <w:rPr>
                <w:rFonts w:ascii="Times New Roman" w:hAnsi="Times New Roman"/>
                <w:b/>
                <w:bCs/>
                <w:sz w:val="20"/>
                <w:szCs w:val="20"/>
              </w:rPr>
              <w:t>0</w:t>
            </w:r>
            <w:r w:rsidRPr="005E1554">
              <w:rPr>
                <w:rFonts w:ascii="Times New Roman" w:hAnsi="Times New Roman"/>
                <w:b/>
                <w:bCs/>
                <w:sz w:val="20"/>
                <w:szCs w:val="20"/>
              </w:rPr>
              <w:t xml:space="preserve"> Z.z.</w:t>
            </w:r>
          </w:p>
          <w:p w:rsidR="003432C1" w:rsidRPr="005E1554" w:rsidP="003432C1">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432C1" w:rsidRPr="005E1554" w:rsidP="00423D7A">
            <w:pPr>
              <w:bidi w:val="0"/>
              <w:rPr>
                <w:rFonts w:ascii="Times New Roman" w:hAnsi="Times New Roman"/>
                <w:sz w:val="20"/>
                <w:szCs w:val="20"/>
              </w:rPr>
            </w:pPr>
            <w:r w:rsidRPr="005E1554" w:rsidR="006F7987">
              <w:rPr>
                <w:rFonts w:ascii="Times New Roman" w:hAnsi="Times New Roman"/>
                <w:sz w:val="20"/>
                <w:szCs w:val="20"/>
              </w:rPr>
              <w:t>Čl. II</w:t>
            </w:r>
          </w:p>
          <w:p w:rsidR="006F7987" w:rsidRPr="005E1554" w:rsidP="00423D7A">
            <w:pPr>
              <w:bidi w:val="0"/>
              <w:rPr>
                <w:rFonts w:ascii="Times New Roman" w:hAnsi="Times New Roman"/>
                <w:sz w:val="20"/>
                <w:szCs w:val="20"/>
              </w:rPr>
            </w:pPr>
          </w:p>
          <w:p w:rsidR="006F7987" w:rsidRPr="005E1554" w:rsidP="00423D7A">
            <w:pPr>
              <w:bidi w:val="0"/>
              <w:rPr>
                <w:rFonts w:ascii="Times New Roman" w:hAnsi="Times New Roman"/>
                <w:sz w:val="20"/>
                <w:szCs w:val="20"/>
              </w:rPr>
            </w:pPr>
          </w:p>
          <w:p w:rsidR="006F7987" w:rsidRPr="005E1554" w:rsidP="00423D7A">
            <w:pPr>
              <w:bidi w:val="0"/>
              <w:rPr>
                <w:rFonts w:ascii="Times New Roman" w:hAnsi="Times New Roman"/>
                <w:sz w:val="20"/>
                <w:szCs w:val="20"/>
              </w:rPr>
            </w:pPr>
          </w:p>
          <w:p w:rsidR="006F7987" w:rsidRPr="005E1554" w:rsidP="00423D7A">
            <w:pPr>
              <w:bidi w:val="0"/>
              <w:rPr>
                <w:rFonts w:ascii="Times New Roman" w:hAnsi="Times New Roman"/>
                <w:sz w:val="20"/>
                <w:szCs w:val="20"/>
              </w:rPr>
            </w:pPr>
          </w:p>
          <w:p w:rsidR="006F7987" w:rsidRPr="005E1554" w:rsidP="00423D7A">
            <w:pPr>
              <w:bidi w:val="0"/>
              <w:rPr>
                <w:rFonts w:ascii="Times New Roman" w:hAnsi="Times New Roman"/>
                <w:sz w:val="20"/>
                <w:szCs w:val="20"/>
              </w:rPr>
            </w:pPr>
          </w:p>
          <w:p w:rsidR="006F7987" w:rsidRPr="005E1554" w:rsidP="00423D7A">
            <w:pPr>
              <w:bidi w:val="0"/>
              <w:rPr>
                <w:rFonts w:ascii="Times New Roman" w:hAnsi="Times New Roman"/>
                <w:sz w:val="20"/>
                <w:szCs w:val="20"/>
              </w:rPr>
            </w:pPr>
            <w:r w:rsidRPr="005E1554">
              <w:rPr>
                <w:rFonts w:ascii="Times New Roman" w:hAnsi="Times New Roman"/>
                <w:sz w:val="20"/>
                <w:szCs w:val="20"/>
              </w:rPr>
              <w:t>Príloha č. 6</w:t>
            </w:r>
          </w:p>
          <w:p w:rsidR="006F7987" w:rsidRPr="005E1554" w:rsidP="00423D7A">
            <w:pPr>
              <w:bidi w:val="0"/>
              <w:rPr>
                <w:rFonts w:ascii="Times New Roman" w:hAnsi="Times New Roman"/>
                <w:sz w:val="20"/>
                <w:szCs w:val="20"/>
              </w:rPr>
            </w:pPr>
          </w:p>
          <w:p w:rsidR="006F7987"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6F7987" w:rsidRPr="005E1554" w:rsidP="006F7987">
            <w:pPr>
              <w:pStyle w:val="Zkladntext"/>
              <w:bidi w:val="0"/>
              <w:jc w:val="both"/>
              <w:rPr>
                <w:rFonts w:ascii="Times New Roman" w:hAnsi="Times New Roman"/>
                <w:b/>
                <w:bCs/>
                <w:sz w:val="20"/>
                <w:szCs w:val="20"/>
              </w:rPr>
            </w:pPr>
            <w:r w:rsidRPr="005E1554">
              <w:rPr>
                <w:rFonts w:ascii="Times New Roman" w:hAnsi="Times New Roman"/>
                <w:b/>
                <w:bCs/>
                <w:sz w:val="20"/>
                <w:szCs w:val="20"/>
              </w:rPr>
              <w:t>Tento zákon nadobúda účinnosť 1. januára 2011.</w:t>
            </w:r>
          </w:p>
          <w:p w:rsidR="003432C1" w:rsidRPr="005E1554" w:rsidP="006F7987">
            <w:pPr>
              <w:pStyle w:val="BodyText2"/>
              <w:bidi w:val="0"/>
              <w:spacing w:after="0" w:line="240" w:lineRule="auto"/>
              <w:jc w:val="both"/>
              <w:rPr>
                <w:rFonts w:ascii="Times New Roman" w:hAnsi="Times New Roman"/>
                <w:b/>
                <w:bCs/>
                <w:sz w:val="20"/>
                <w:szCs w:val="20"/>
              </w:rPr>
            </w:pPr>
          </w:p>
          <w:p w:rsidR="006F7987" w:rsidRPr="005E1554" w:rsidP="006F7987">
            <w:pPr>
              <w:pStyle w:val="BodyText2"/>
              <w:bidi w:val="0"/>
              <w:spacing w:after="0" w:line="240" w:lineRule="auto"/>
              <w:jc w:val="both"/>
              <w:rPr>
                <w:rFonts w:ascii="Times New Roman" w:hAnsi="Times New Roman"/>
                <w:b/>
                <w:bCs/>
                <w:sz w:val="20"/>
                <w:szCs w:val="20"/>
              </w:rPr>
            </w:pPr>
          </w:p>
          <w:p w:rsidR="006F7987" w:rsidRPr="005E1554" w:rsidP="006F7987">
            <w:pPr>
              <w:pStyle w:val="BodyText2"/>
              <w:bidi w:val="0"/>
              <w:spacing w:after="0" w:line="240" w:lineRule="auto"/>
              <w:jc w:val="both"/>
              <w:rPr>
                <w:rFonts w:ascii="Times New Roman" w:hAnsi="Times New Roman"/>
                <w:b/>
                <w:bCs/>
                <w:sz w:val="20"/>
                <w:szCs w:val="20"/>
              </w:rPr>
            </w:pPr>
          </w:p>
          <w:p w:rsidR="006F7987" w:rsidRPr="005E1554" w:rsidP="006F7987">
            <w:pPr>
              <w:pStyle w:val="BodyText2"/>
              <w:bidi w:val="0"/>
              <w:spacing w:after="0" w:line="240" w:lineRule="auto"/>
              <w:jc w:val="both"/>
              <w:rPr>
                <w:rFonts w:ascii="Times New Roman" w:hAnsi="Times New Roman"/>
                <w:b/>
                <w:bCs/>
                <w:sz w:val="20"/>
                <w:szCs w:val="20"/>
              </w:rPr>
            </w:pPr>
          </w:p>
          <w:p w:rsidR="006F7987" w:rsidRPr="005E1554" w:rsidP="006F7987">
            <w:pPr>
              <w:pStyle w:val="BodyText2"/>
              <w:bidi w:val="0"/>
              <w:spacing w:after="0" w:line="240" w:lineRule="auto"/>
              <w:jc w:val="both"/>
              <w:rPr>
                <w:rFonts w:ascii="Times New Roman" w:hAnsi="Times New Roman"/>
                <w:b/>
                <w:bCs/>
                <w:sz w:val="20"/>
                <w:szCs w:val="20"/>
              </w:rPr>
            </w:pPr>
          </w:p>
          <w:p w:rsidR="00A74BA0" w:rsidRPr="005E1554" w:rsidP="006F7987">
            <w:pPr>
              <w:pStyle w:val="BodyText2"/>
              <w:tabs>
                <w:tab w:val="left" w:pos="180"/>
              </w:tabs>
              <w:bidi w:val="0"/>
              <w:spacing w:after="0" w:line="240" w:lineRule="auto"/>
              <w:jc w:val="both"/>
              <w:rPr>
                <w:rFonts w:ascii="Times New Roman" w:hAnsi="Times New Roman"/>
                <w:b/>
                <w:bCs/>
                <w:sz w:val="20"/>
                <w:szCs w:val="20"/>
              </w:rPr>
            </w:pPr>
            <w:r w:rsidRPr="005E1554">
              <w:rPr>
                <w:rFonts w:ascii="Times New Roman" w:hAnsi="Times New Roman"/>
                <w:b/>
                <w:bCs/>
                <w:sz w:val="20"/>
                <w:szCs w:val="20"/>
              </w:rPr>
              <w:t>Zoznam preberaných právnych aktov Európskej únie</w:t>
            </w:r>
          </w:p>
          <w:p w:rsidR="006F7987" w:rsidRPr="005E1554" w:rsidP="006F7987">
            <w:pPr>
              <w:pStyle w:val="BodyText2"/>
              <w:tabs>
                <w:tab w:val="left" w:pos="180"/>
              </w:tabs>
              <w:bidi w:val="0"/>
              <w:spacing w:after="0" w:line="240" w:lineRule="auto"/>
              <w:jc w:val="both"/>
              <w:rPr>
                <w:rFonts w:ascii="Times New Roman" w:hAnsi="Times New Roman"/>
                <w:b/>
                <w:bCs/>
                <w:sz w:val="20"/>
                <w:szCs w:val="20"/>
              </w:rPr>
            </w:pPr>
            <w:r w:rsidRPr="005E1554">
              <w:rPr>
                <w:rFonts w:ascii="Times New Roman" w:hAnsi="Times New Roman"/>
                <w:b/>
                <w:bCs/>
                <w:sz w:val="20"/>
                <w:szCs w:val="20"/>
              </w:rPr>
              <w:t>1</w:t>
            </w:r>
            <w:r w:rsidRPr="005E1554" w:rsidR="009329C5">
              <w:rPr>
                <w:rFonts w:ascii="Times New Roman" w:hAnsi="Times New Roman"/>
                <w:b/>
                <w:bCs/>
                <w:sz w:val="20"/>
                <w:szCs w:val="20"/>
              </w:rPr>
              <w:t>1</w:t>
            </w:r>
            <w:r w:rsidRPr="005E1554">
              <w:rPr>
                <w:rFonts w:ascii="Times New Roman" w:hAnsi="Times New Roman"/>
                <w:b/>
                <w:bCs/>
                <w:sz w:val="20"/>
                <w:szCs w:val="20"/>
              </w:rPr>
              <w:t>. Smernica Rady 2009/162/ES z 22. 12. 2009, ktorou sa menia a dopĺňajú niektoré ustanovenia smernice 2006/112/ES o spoločnom systéme dane z pridanej hodnoty (Ú. v. EÚ L 10, 15. 1. 2010).</w:t>
            </w:r>
          </w:p>
          <w:p w:rsidR="006F7987"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r w:rsidRPr="005E1554">
              <w:rPr>
                <w:rFonts w:ascii="Times New Roman" w:hAnsi="Times New Roman"/>
                <w:sz w:val="20"/>
                <w:szCs w:val="20"/>
              </w:rPr>
              <w:t xml:space="preserve">Čl. </w:t>
            </w:r>
            <w:r w:rsidRPr="005E1554" w:rsidR="00AC65A4">
              <w:rPr>
                <w:rFonts w:ascii="Times New Roman" w:hAnsi="Times New Roman"/>
                <w:sz w:val="20"/>
                <w:szCs w:val="20"/>
              </w:rPr>
              <w:t>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Článok 3</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Táto smernica nadobúda účinnosť dňom jej uverejnenia v Úradnom vestníku Európskej únie.</w:t>
            </w:r>
          </w:p>
          <w:p w:rsidR="00423D7A" w:rsidRPr="005E1554"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bidi w:val="0"/>
              <w:jc w:val="both"/>
              <w:rPr>
                <w:rFonts w:ascii="Times New Roman" w:hAnsi="Times New Roman"/>
                <w:sz w:val="20"/>
                <w:szCs w:val="20"/>
              </w:rPr>
            </w:pPr>
            <w:r w:rsidRPr="005E1554" w:rsidR="00B1719A">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E1554" w:rsidP="003432C1">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E1554" w:rsidP="00423D7A">
            <w:pPr>
              <w:bidi w:val="0"/>
              <w:jc w:val="both"/>
              <w:rPr>
                <w:rFonts w:ascii="Times New Roman" w:hAnsi="Times New Roman"/>
                <w:sz w:val="20"/>
                <w:szCs w:val="20"/>
              </w:rPr>
            </w:pPr>
            <w:r w:rsidRPr="005E1554" w:rsidR="00312EBB">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E1554"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E1554" w:rsidP="0026420F">
            <w:pPr>
              <w:bidi w:val="0"/>
              <w:rPr>
                <w:rFonts w:ascii="Times New Roman" w:hAnsi="Times New Roman"/>
                <w:sz w:val="20"/>
                <w:szCs w:val="20"/>
              </w:rPr>
            </w:pPr>
            <w:r w:rsidRPr="005E1554">
              <w:rPr>
                <w:rFonts w:ascii="Times New Roman" w:hAnsi="Times New Roman"/>
                <w:sz w:val="20"/>
                <w:szCs w:val="20"/>
              </w:rPr>
              <w:t xml:space="preserve">Čl. </w:t>
            </w:r>
            <w:r w:rsidRPr="005E1554" w:rsidR="00AC65A4">
              <w:rPr>
                <w:rFonts w:ascii="Times New Roman" w:hAnsi="Times New Roman"/>
                <w:sz w:val="20"/>
                <w:szCs w:val="20"/>
              </w:rPr>
              <w:t>4</w:t>
            </w:r>
          </w:p>
          <w:p w:rsidR="00EB0021" w:rsidRPr="005E1554" w:rsidP="0026420F">
            <w:pPr>
              <w:bidi w:val="0"/>
              <w:rPr>
                <w:rFonts w:ascii="Times New Roman" w:hAnsi="Times New Roman"/>
                <w:sz w:val="20"/>
                <w:szCs w:val="20"/>
              </w:rPr>
            </w:pPr>
          </w:p>
          <w:p w:rsidR="00260A5A" w:rsidRPr="005E1554" w:rsidP="0026420F">
            <w:pPr>
              <w:bidi w:val="0"/>
              <w:rPr>
                <w:rFonts w:ascii="Times New Roman" w:hAnsi="Times New Roman"/>
                <w:sz w:val="20"/>
                <w:szCs w:val="20"/>
              </w:rPr>
            </w:pP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Článok 4</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Táto smernica je určená členským štátom.</w:t>
            </w:r>
          </w:p>
          <w:p w:rsidR="00AC65A4" w:rsidRPr="005E1554" w:rsidP="00AC65A4">
            <w:pPr>
              <w:autoSpaceDE/>
              <w:autoSpaceDN/>
              <w:bidi w:val="0"/>
              <w:jc w:val="both"/>
              <w:rPr>
                <w:rFonts w:ascii="Times New Roman" w:hAnsi="Times New Roman"/>
                <w:sz w:val="20"/>
                <w:szCs w:val="20"/>
              </w:rPr>
            </w:pPr>
            <w:r w:rsidRPr="005E1554">
              <w:rPr>
                <w:rFonts w:ascii="Times New Roman" w:hAnsi="Times New Roman"/>
                <w:sz w:val="20"/>
                <w:szCs w:val="20"/>
              </w:rPr>
              <w:t>V Bruseli 22. decembra 2009</w:t>
            </w:r>
          </w:p>
          <w:p w:rsidR="00260A5A" w:rsidRPr="005E1554" w:rsidP="008B1960">
            <w:pPr>
              <w:autoSpaceDE/>
              <w:autoSpaceDN/>
              <w:bidi w:val="0"/>
              <w:jc w:val="both"/>
              <w:rPr>
                <w:rFonts w:ascii="Times New Roman" w:hAnsi="Times New Roman"/>
                <w:sz w:val="20"/>
                <w:szCs w:val="20"/>
                <w:highlight w:val="yellow"/>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E1554" w:rsidP="007E057C">
            <w:pPr>
              <w:bidi w:val="0"/>
              <w:jc w:val="both"/>
              <w:rPr>
                <w:rFonts w:ascii="Times New Roman" w:hAnsi="Times New Roman"/>
                <w:sz w:val="20"/>
                <w:szCs w:val="20"/>
              </w:rPr>
            </w:pPr>
            <w:r w:rsidRPr="005E1554" w:rsidR="00B1719A">
              <w:rPr>
                <w:rFonts w:ascii="Times New Roman" w:hAnsi="Times New Roman"/>
                <w:sz w:val="20"/>
                <w:szCs w:val="20"/>
              </w:rPr>
              <w:t>n.a.</w:t>
            </w:r>
          </w:p>
          <w:p w:rsidR="00AC5306" w:rsidRPr="005E1554" w:rsidP="006445D8">
            <w:pPr>
              <w:bidi w:val="0"/>
              <w:jc w:val="both"/>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textDirection w:val="lrTb"/>
            <w:vAlign w:val="top"/>
          </w:tcPr>
          <w:p w:rsidR="0051282E" w:rsidRPr="005E1554" w:rsidP="0051282E">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306" w:rsidRPr="005E1554"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rsidP="00A3037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E1554" w:rsidP="007E057C">
            <w:pPr>
              <w:bidi w:val="0"/>
              <w:jc w:val="both"/>
              <w:rPr>
                <w:rFonts w:ascii="Times New Roman" w:hAnsi="Times New Roman"/>
                <w:sz w:val="20"/>
                <w:szCs w:val="20"/>
              </w:rPr>
            </w:pPr>
            <w:r w:rsidRPr="005E1554" w:rsidR="00B1719A">
              <w:rPr>
                <w:rFonts w:ascii="Times New Roman" w:hAnsi="Times New Roman"/>
                <w:sz w:val="20"/>
                <w:szCs w:val="20"/>
              </w:rPr>
              <w:t>n.a.</w:t>
            </w:r>
          </w:p>
          <w:p w:rsidR="009819E7" w:rsidRPr="005E1554" w:rsidP="007E057C">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E1554" w:rsidP="007E057C">
            <w:pPr>
              <w:pStyle w:val="Heading1"/>
              <w:bidi w:val="0"/>
              <w:jc w:val="both"/>
              <w:rPr>
                <w:rFonts w:ascii="Times New Roman" w:hAnsi="Times New Roman"/>
                <w:b w:val="0"/>
                <w:bCs w:val="0"/>
                <w:sz w:val="20"/>
                <w:szCs w:val="20"/>
              </w:rPr>
            </w:pPr>
          </w:p>
        </w:tc>
      </w:tr>
    </w:tbl>
    <w:p w:rsidR="003D3D63" w:rsidRPr="005E1554" w:rsidP="007E057C">
      <w:pPr>
        <w:autoSpaceDE/>
        <w:autoSpaceDN/>
        <w:bidi w:val="0"/>
        <w:jc w:val="both"/>
        <w:rPr>
          <w:rFonts w:ascii="Times New Roman" w:hAnsi="Times New Roman"/>
          <w:sz w:val="20"/>
          <w:szCs w:val="20"/>
        </w:rPr>
      </w:pP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D3D63" w:rsidRPr="005E1554">
            <w:pPr>
              <w:pStyle w:val="Normlny"/>
              <w:autoSpaceDE/>
              <w:autoSpaceDN/>
              <w:bidi w:val="0"/>
              <w:spacing w:after="60"/>
              <w:rPr>
                <w:rFonts w:ascii="Times New Roman" w:hAnsi="Times New Roman"/>
                <w:lang w:eastAsia="sk-SK"/>
              </w:rPr>
            </w:pPr>
            <w:r w:rsidRPr="005E1554">
              <w:rPr>
                <w:rFonts w:ascii="Times New Roman" w:hAnsi="Times New Roman"/>
                <w:lang w:eastAsia="sk-SK"/>
              </w:rPr>
              <w:t>V stĺpci (1):</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Č – článok</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O – odsek</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V – veta</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P – písmeno (číslo)</w:t>
            </w:r>
          </w:p>
          <w:p w:rsidR="003D3D63" w:rsidRPr="005E1554">
            <w:pPr>
              <w:autoSpaceDE/>
              <w:autoSpaceDN/>
              <w:bidi w:val="0"/>
              <w:rPr>
                <w:rFonts w:ascii="Times New Roman" w:hAnsi="Times New Roman"/>
                <w:sz w:val="20"/>
                <w:szCs w:val="20"/>
              </w:rPr>
            </w:pPr>
          </w:p>
        </w:tc>
        <w:tc>
          <w:tcPr>
            <w:tcW w:w="4140" w:type="dxa"/>
            <w:tcBorders>
              <w:top w:val="nil"/>
              <w:left w:val="nil"/>
              <w:bottom w:val="nil"/>
              <w:right w:val="nil"/>
            </w:tcBorders>
            <w:textDirection w:val="lrTb"/>
            <w:vAlign w:val="top"/>
          </w:tcPr>
          <w:p w:rsidR="003D3D63" w:rsidRPr="005E1554">
            <w:pPr>
              <w:pStyle w:val="Normlny"/>
              <w:autoSpaceDE/>
              <w:autoSpaceDN/>
              <w:bidi w:val="0"/>
              <w:spacing w:after="60"/>
              <w:rPr>
                <w:rFonts w:ascii="Times New Roman" w:hAnsi="Times New Roman"/>
                <w:lang w:eastAsia="sk-SK"/>
              </w:rPr>
            </w:pPr>
            <w:r w:rsidRPr="005E1554">
              <w:rPr>
                <w:rFonts w:ascii="Times New Roman" w:hAnsi="Times New Roman"/>
                <w:lang w:eastAsia="sk-SK"/>
              </w:rPr>
              <w:t>V stĺpci (3):</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N – bežná transpozícia</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O – transpozícia s možnosťou voľby</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D – transpozícia podľa úvahy (dobrovoľná)</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3D3D63" w:rsidRPr="005E1554">
            <w:pPr>
              <w:pStyle w:val="Normlny"/>
              <w:autoSpaceDE/>
              <w:autoSpaceDN/>
              <w:bidi w:val="0"/>
              <w:spacing w:after="60"/>
              <w:rPr>
                <w:rFonts w:ascii="Times New Roman" w:hAnsi="Times New Roman"/>
                <w:lang w:eastAsia="sk-SK"/>
              </w:rPr>
            </w:pPr>
            <w:r w:rsidRPr="005E1554">
              <w:rPr>
                <w:rFonts w:ascii="Times New Roman" w:hAnsi="Times New Roman"/>
                <w:lang w:eastAsia="sk-SK"/>
              </w:rPr>
              <w:t>V stĺpci (5):</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Č – článok</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 – paragraf</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O – odsek</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V – veta</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3D3D63" w:rsidRPr="005E1554">
            <w:pPr>
              <w:pStyle w:val="Normlny"/>
              <w:autoSpaceDE/>
              <w:autoSpaceDN/>
              <w:bidi w:val="0"/>
              <w:spacing w:after="60"/>
              <w:rPr>
                <w:rFonts w:ascii="Times New Roman" w:hAnsi="Times New Roman"/>
                <w:lang w:eastAsia="sk-SK"/>
              </w:rPr>
            </w:pPr>
            <w:r w:rsidRPr="005E1554">
              <w:rPr>
                <w:rFonts w:ascii="Times New Roman" w:hAnsi="Times New Roman"/>
                <w:lang w:eastAsia="sk-SK"/>
              </w:rPr>
              <w:t>V stĺpci (7):</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Ú – úplná zhoda</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Č – čiastočná zhoda</w:t>
            </w:r>
          </w:p>
          <w:p w:rsidR="003D3D63" w:rsidRPr="005E1554">
            <w:pPr>
              <w:autoSpaceDE/>
              <w:autoSpaceDN/>
              <w:bidi w:val="0"/>
              <w:rPr>
                <w:rFonts w:ascii="Times New Roman" w:hAnsi="Times New Roman"/>
                <w:sz w:val="20"/>
                <w:szCs w:val="20"/>
              </w:rPr>
            </w:pPr>
            <w:r w:rsidRPr="005E1554">
              <w:rPr>
                <w:rFonts w:ascii="Times New Roman" w:hAnsi="Times New Roman"/>
                <w:sz w:val="20"/>
                <w:szCs w:val="20"/>
              </w:rPr>
              <w:t>R – rozpor (v príp., že zatiaľ nedošlo k transp., ale príde k nej v budúcnosti</w:t>
            </w:r>
          </w:p>
          <w:p w:rsidR="003D3D63" w:rsidRPr="005E1554">
            <w:pPr>
              <w:autoSpaceDE/>
              <w:autoSpaceDN/>
              <w:bidi w:val="0"/>
              <w:rPr>
                <w:rFonts w:ascii="Times New Roman" w:hAnsi="Times New Roman"/>
                <w:sz w:val="20"/>
                <w:szCs w:val="20"/>
              </w:rPr>
            </w:pPr>
            <w:r w:rsidRPr="005E1554" w:rsidR="00E63A6A">
              <w:rPr>
                <w:rFonts w:ascii="Times New Roman" w:hAnsi="Times New Roman"/>
                <w:sz w:val="20"/>
                <w:szCs w:val="20"/>
              </w:rPr>
              <w:t>n.a.</w:t>
            </w:r>
            <w:r w:rsidRPr="005E1554">
              <w:rPr>
                <w:rFonts w:ascii="Times New Roman" w:hAnsi="Times New Roman"/>
                <w:sz w:val="20"/>
                <w:szCs w:val="20"/>
              </w:rPr>
              <w:t xml:space="preserve"> – neaplikovateľné</w:t>
            </w:r>
          </w:p>
        </w:tc>
      </w:tr>
    </w:tbl>
    <w:p w:rsidR="003D3D63" w:rsidRPr="005E1554">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D3D63" w:rsidRPr="005E1554">
            <w:pPr>
              <w:pStyle w:val="Heading2"/>
              <w:bidi w:val="0"/>
              <w:rPr>
                <w:rFonts w:ascii="Times New Roman" w:hAnsi="Times New Roman"/>
              </w:rPr>
            </w:pPr>
            <w:r w:rsidRPr="005E1554">
              <w:rPr>
                <w:rFonts w:ascii="Times New Roman" w:hAnsi="Times New Roman"/>
              </w:rPr>
              <w:t>Zoznam všeobecne záväzných právnych predpisov preberajúcich smernicu: (uveďte číslo smernice)</w:t>
            </w:r>
          </w:p>
          <w:p w:rsidR="003D3D63" w:rsidRPr="005E1554">
            <w:pPr>
              <w:bidi w:val="0"/>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D3D63" w:rsidRPr="005E1554">
            <w:pPr>
              <w:bidi w:val="0"/>
              <w:spacing w:before="120"/>
              <w:jc w:val="center"/>
              <w:rPr>
                <w:rFonts w:ascii="Times New Roman" w:hAnsi="Times New Roman"/>
                <w:sz w:val="20"/>
                <w:szCs w:val="20"/>
              </w:rPr>
            </w:pPr>
            <w:r w:rsidRPr="005E1554">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D3D63" w:rsidRPr="005E1554">
            <w:pPr>
              <w:pStyle w:val="Normlny"/>
              <w:bidi w:val="0"/>
              <w:rPr>
                <w:rFonts w:ascii="Times New Roman" w:hAnsi="Times New Roman"/>
                <w:lang w:eastAsia="sk-SK"/>
              </w:rPr>
            </w:pPr>
            <w:r w:rsidRPr="005E1554">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3D3D63" w:rsidRPr="005E1554">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3D3D63" w:rsidRPr="005E1554">
            <w:pPr>
              <w:pStyle w:val="abc"/>
              <w:widowControl/>
              <w:tabs>
                <w:tab w:val="clear" w:pos="360"/>
                <w:tab w:val="clear" w:pos="680"/>
              </w:tabs>
              <w:bidi w:val="0"/>
              <w:rPr>
                <w:rFonts w:ascii="Times New Roman" w:hAnsi="Times New Roman"/>
                <w:lang w:eastAsia="sk-SK"/>
              </w:rPr>
            </w:pPr>
          </w:p>
        </w:tc>
      </w:tr>
    </w:tbl>
    <w:p w:rsidR="003D3D63" w:rsidRPr="005E1554">
      <w:pPr>
        <w:autoSpaceDE/>
        <w:autoSpaceDN/>
        <w:bidi w:val="0"/>
        <w:rPr>
          <w:rFonts w:ascii="Times New Roman" w:hAnsi="Times New Roman"/>
          <w:sz w:val="20"/>
          <w:szCs w:val="20"/>
        </w:rPr>
      </w:pPr>
    </w:p>
    <w:sectPr w:rsidSect="00F54899">
      <w:footerReference w:type="default" r:id="rId4"/>
      <w:pgSz w:w="16838" w:h="11906" w:orient="landscape" w:code="9"/>
      <w:pgMar w:top="851" w:right="851" w:bottom="851" w:left="851" w:header="284" w:footer="28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09F" w:csb1="00000000"/>
  </w:font>
  <w:font w:name="Calibri">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CE" w:rsidP="009D292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04D63">
      <w:rPr>
        <w:rStyle w:val="PageNumber"/>
        <w:rFonts w:ascii="Times New Roman" w:hAnsi="Times New Roman"/>
        <w:noProof/>
      </w:rPr>
      <w:t>1</w:t>
    </w:r>
    <w:r>
      <w:rPr>
        <w:rStyle w:val="PageNumber"/>
        <w:rFonts w:ascii="Times New Roman" w:hAnsi="Times New Roman"/>
      </w:rPr>
      <w:fldChar w:fldCharType="end"/>
    </w:r>
  </w:p>
  <w:p w:rsidR="007340C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1" o:title=""/>
      </v:shape>
    </w:pict>
  </w:numPicBullet>
  <w:numPicBullet w:numPicBulletId="2">
    <w:pict>
      <v:shape id="_x0000_i1027" type="#_x0000_t75" style="width:3in;height:3in" o:bullet="t" stroked="f">
        <v:imagedata r:id="rId1" o:title=""/>
      </v:shape>
    </w:pict>
  </w:numPicBullet>
  <w:numPicBullet w:numPicBulletId="3">
    <w:pict>
      <v:shape id="_x0000_i1028" type="#_x0000_t75" style="width:3in;height:3in" o:bullet="t" stroked="f">
        <v:imagedata r:id="rId2" o:title=""/>
      </v:shape>
    </w:pict>
  </w:numPicBullet>
  <w:numPicBullet w:numPicBulletId="4">
    <w:pict>
      <v:shape id="_x0000_i1029" type="#_x0000_t75" style="width:3in;height:3in" o:bullet="t" stroked="f">
        <v:imagedata r:id="rId2" o:title=""/>
      </v:shape>
    </w:pict>
  </w:numPicBullet>
  <w:numPicBullet w:numPicBulletId="5">
    <w:pict>
      <v:shape id="_x0000_i1030" type="#_x0000_t75" style="width:3in;height:3in" o:bullet="t" stroked="f">
        <v:imagedata r:id="rId2" o:title=""/>
      </v:shape>
    </w:pict>
  </w:numPicBullet>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6E5AD6"/>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3D1616F"/>
    <w:multiLevelType w:val="hybridMultilevel"/>
    <w:tmpl w:val="E534B2D8"/>
    <w:lvl w:ilvl="0">
      <w:start w:val="5"/>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8984025"/>
    <w:multiLevelType w:val="hybridMultilevel"/>
    <w:tmpl w:val="F816F1B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EA54D6"/>
    <w:multiLevelType w:val="multilevel"/>
    <w:tmpl w:val="5D3AFEE6"/>
    <w:lvl w:ilvl="0">
      <w:start w:val="1"/>
      <w:numFmt w:val="decimal"/>
      <w:lvlText w:val="(%1)"/>
      <w:lvlJc w:val="left"/>
      <w:pPr>
        <w:tabs>
          <w:tab w:val="num" w:pos="1125"/>
        </w:tabs>
        <w:ind w:left="1125" w:hanging="420"/>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8">
    <w:nsid w:val="1B6A6C09"/>
    <w:multiLevelType w:val="hybridMultilevel"/>
    <w:tmpl w:val="129E76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815B0E"/>
    <w:multiLevelType w:val="multilevel"/>
    <w:tmpl w:val="750A6686"/>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1">
    <w:nsid w:val="1D1B5919"/>
    <w:multiLevelType w:val="hybridMultilevel"/>
    <w:tmpl w:val="8E2476D0"/>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DCD739F"/>
    <w:multiLevelType w:val="hybridMultilevel"/>
    <w:tmpl w:val="D6A2C2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51725FA"/>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5794BE1"/>
    <w:multiLevelType w:val="multilevel"/>
    <w:tmpl w:val="DB3400AA"/>
    <w:lvl w:ilvl="0">
      <w:start w:val="1"/>
      <w:numFmt w:val="decimal"/>
      <w:lvlText w:val="(%1)"/>
      <w:lvlJc w:val="left"/>
      <w:pPr>
        <w:tabs>
          <w:tab w:val="num" w:pos="1200"/>
        </w:tabs>
        <w:ind w:left="1200" w:hanging="495"/>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5">
    <w:nsid w:val="27FF121C"/>
    <w:multiLevelType w:val="hybridMultilevel"/>
    <w:tmpl w:val="D6A2C2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8D36FAA"/>
    <w:multiLevelType w:val="multilevel"/>
    <w:tmpl w:val="43625A70"/>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360"/>
        </w:tabs>
        <w:ind w:left="36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D833054"/>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8">
    <w:nsid w:val="2EE3087A"/>
    <w:multiLevelType w:val="hybridMultilevel"/>
    <w:tmpl w:val="D6A2C2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F3303DF"/>
    <w:multiLevelType w:val="hybridMultilevel"/>
    <w:tmpl w:val="4D6473DA"/>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hint="default"/>
        <w:b w:val="0"/>
        <w:bCs w:val="0"/>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6656FD0"/>
    <w:multiLevelType w:val="hybridMultilevel"/>
    <w:tmpl w:val="1DA6DA44"/>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b w:val="0"/>
        <w:bCs w:val="0"/>
        <w:i w:val="0"/>
        <w:i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7F4571"/>
    <w:multiLevelType w:val="multilevel"/>
    <w:tmpl w:val="A15E1BF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8F1794"/>
    <w:multiLevelType w:val="hybridMultilevel"/>
    <w:tmpl w:val="67627F22"/>
    <w:lvl w:ilvl="0">
      <w:start w:val="1"/>
      <w:numFmt w:val="lowerLetter"/>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4">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5">
    <w:nsid w:val="458B165B"/>
    <w:multiLevelType w:val="hybridMultilevel"/>
    <w:tmpl w:val="9F6A496E"/>
    <w:lvl w:ilvl="0">
      <w:start w:val="1"/>
      <w:numFmt w:val="lowerLetter"/>
      <w:lvlText w:val="%1)"/>
      <w:lvlJc w:val="left"/>
      <w:pPr>
        <w:tabs>
          <w:tab w:val="num" w:pos="1440"/>
        </w:tabs>
        <w:ind w:left="1440" w:hanging="360"/>
      </w:pPr>
      <w:rPr>
        <w:rFonts w:cs="Times New Roman"/>
        <w:rtl w:val="0"/>
        <w:cs w:val="0"/>
      </w:rPr>
    </w:lvl>
    <w:lvl w:ilvl="1">
      <w:start w:val="1"/>
      <w:numFmt w:val="decimal"/>
      <w:lvlText w:val="(%2)"/>
      <w:lvlJc w:val="left"/>
      <w:pPr>
        <w:tabs>
          <w:tab w:val="num" w:pos="2160"/>
        </w:tabs>
        <w:ind w:left="2160" w:hanging="360"/>
      </w:pPr>
      <w:rPr>
        <w:rFonts w:cs="Times New Roman" w:hint="default"/>
        <w:b w:val="0"/>
        <w:bCs w:val="0"/>
        <w:i w:val="0"/>
        <w:iCs w:val="0"/>
        <w:rtl w:val="0"/>
        <w:cs w:val="0"/>
      </w:rPr>
    </w:lvl>
    <w:lvl w:ilvl="2">
      <w:start w:val="1"/>
      <w:numFmt w:val="lowerLetter"/>
      <w:lvlText w:val="%3)"/>
      <w:lvlJc w:val="left"/>
      <w:pPr>
        <w:tabs>
          <w:tab w:val="num" w:pos="3060"/>
        </w:tabs>
        <w:ind w:left="3060" w:hanging="36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6">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3B57CC"/>
    <w:multiLevelType w:val="hybridMultilevel"/>
    <w:tmpl w:val="71600A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A5B1ADE"/>
    <w:multiLevelType w:val="hybridMultilevel"/>
    <w:tmpl w:val="FAC4CC46"/>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D734715"/>
    <w:multiLevelType w:val="multilevel"/>
    <w:tmpl w:val="64C8B0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F447E3E"/>
    <w:multiLevelType w:val="hybridMultilevel"/>
    <w:tmpl w:val="ED80F95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FEE7D8C"/>
    <w:multiLevelType w:val="hybridMultilevel"/>
    <w:tmpl w:val="030098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8D43503"/>
    <w:multiLevelType w:val="multilevel"/>
    <w:tmpl w:val="76B6A198"/>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b w:val="0"/>
        <w:bCs w:val="0"/>
        <w:i w:val="0"/>
        <w:iCs w:val="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9B67EAB"/>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4"/>
    <w:lvlOverride w:ilvl="0">
      <w:startOverride w:val="3"/>
    </w:lvlOverride>
  </w:num>
  <w:num w:numId="3">
    <w:abstractNumId w:val="24"/>
  </w:num>
  <w:num w:numId="4">
    <w:abstractNumId w:val="24"/>
    <w:lvlOverride w:ilvl="0">
      <w:startOverride w:val="2"/>
    </w:lvlOverride>
  </w:num>
  <w:num w:numId="5">
    <w:abstractNumId w:val="10"/>
  </w:num>
  <w:num w:numId="6">
    <w:abstractNumId w:val="10"/>
    <w:lvlOverride w:ilvl="0">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29"/>
  </w:num>
  <w:num w:numId="12">
    <w:abstractNumId w:val="2"/>
  </w:num>
  <w:num w:numId="13">
    <w:abstractNumId w:val="27"/>
  </w:num>
  <w:num w:numId="14">
    <w:abstractNumId w:val="1"/>
  </w:num>
  <w:num w:numId="15">
    <w:abstractNumId w:val="16"/>
  </w:num>
  <w:num w:numId="16">
    <w:abstractNumId w:val="34"/>
  </w:num>
  <w:num w:numId="17">
    <w:abstractNumId w:val="9"/>
  </w:num>
  <w:num w:numId="18">
    <w:abstractNumId w:val="17"/>
  </w:num>
  <w:num w:numId="19">
    <w:abstractNumId w:val="14"/>
  </w:num>
  <w:num w:numId="20">
    <w:abstractNumId w:val="7"/>
  </w:num>
  <w:num w:numId="21">
    <w:abstractNumId w:val="35"/>
  </w:num>
  <w:num w:numId="22">
    <w:abstractNumId w:val="5"/>
  </w:num>
  <w:num w:numId="23">
    <w:abstractNumId w:val="30"/>
  </w:num>
  <w:num w:numId="24">
    <w:abstractNumId w:val="11"/>
  </w:num>
  <w:num w:numId="25">
    <w:abstractNumId w:val="6"/>
  </w:num>
  <w:num w:numId="26">
    <w:abstractNumId w:val="32"/>
  </w:num>
  <w:num w:numId="27">
    <w:abstractNumId w:val="20"/>
  </w:num>
  <w:num w:numId="28">
    <w:abstractNumId w:val="13"/>
  </w:num>
  <w:num w:numId="29">
    <w:abstractNumId w:val="3"/>
  </w:num>
  <w:num w:numId="30">
    <w:abstractNumId w:val="23"/>
  </w:num>
  <w:num w:numId="31">
    <w:abstractNumId w:val="19"/>
  </w:num>
  <w:num w:numId="32">
    <w:abstractNumId w:val="25"/>
  </w:num>
  <w:num w:numId="33">
    <w:abstractNumId w:val="31"/>
  </w:num>
  <w:num w:numId="34">
    <w:abstractNumId w:val="22"/>
  </w:num>
  <w:num w:numId="35">
    <w:abstractNumId w:val="33"/>
  </w:num>
  <w:num w:numId="36">
    <w:abstractNumId w:val="18"/>
  </w:num>
  <w:num w:numId="37">
    <w:abstractNumId w:val="8"/>
  </w:num>
  <w:num w:numId="38">
    <w:abstractNumId w:val="15"/>
  </w:num>
  <w:num w:numId="39">
    <w:abstractNumId w:val="12"/>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D3D63"/>
    <w:rsid w:val="000023B0"/>
    <w:rsid w:val="00002A63"/>
    <w:rsid w:val="00002BDA"/>
    <w:rsid w:val="00004D63"/>
    <w:rsid w:val="00015F24"/>
    <w:rsid w:val="00025FA6"/>
    <w:rsid w:val="00026115"/>
    <w:rsid w:val="00030212"/>
    <w:rsid w:val="00035061"/>
    <w:rsid w:val="00035E00"/>
    <w:rsid w:val="0003794B"/>
    <w:rsid w:val="00047735"/>
    <w:rsid w:val="00071A08"/>
    <w:rsid w:val="000777DB"/>
    <w:rsid w:val="0009428D"/>
    <w:rsid w:val="000A3FAE"/>
    <w:rsid w:val="000B35EC"/>
    <w:rsid w:val="000B4F47"/>
    <w:rsid w:val="000B5D8A"/>
    <w:rsid w:val="000B6EF1"/>
    <w:rsid w:val="000C2ED5"/>
    <w:rsid w:val="000C5AFB"/>
    <w:rsid w:val="000E50C4"/>
    <w:rsid w:val="000F46F9"/>
    <w:rsid w:val="001045F8"/>
    <w:rsid w:val="00114AF3"/>
    <w:rsid w:val="0012383C"/>
    <w:rsid w:val="00135BA5"/>
    <w:rsid w:val="0014418C"/>
    <w:rsid w:val="00167998"/>
    <w:rsid w:val="00187281"/>
    <w:rsid w:val="00190FC5"/>
    <w:rsid w:val="001A63C2"/>
    <w:rsid w:val="001B2E06"/>
    <w:rsid w:val="001B7C9F"/>
    <w:rsid w:val="001C0931"/>
    <w:rsid w:val="001C3FC0"/>
    <w:rsid w:val="001E51EC"/>
    <w:rsid w:val="001F2C58"/>
    <w:rsid w:val="00201416"/>
    <w:rsid w:val="00202D09"/>
    <w:rsid w:val="00225532"/>
    <w:rsid w:val="00226E45"/>
    <w:rsid w:val="00231B6E"/>
    <w:rsid w:val="00232BF7"/>
    <w:rsid w:val="0024155C"/>
    <w:rsid w:val="002515A6"/>
    <w:rsid w:val="00260955"/>
    <w:rsid w:val="00260A5A"/>
    <w:rsid w:val="0026420F"/>
    <w:rsid w:val="00283B7B"/>
    <w:rsid w:val="00295065"/>
    <w:rsid w:val="00296D1B"/>
    <w:rsid w:val="002A193A"/>
    <w:rsid w:val="002B5790"/>
    <w:rsid w:val="002C0E8E"/>
    <w:rsid w:val="002C1909"/>
    <w:rsid w:val="002C51DC"/>
    <w:rsid w:val="002E05E0"/>
    <w:rsid w:val="002E13F3"/>
    <w:rsid w:val="002E27A5"/>
    <w:rsid w:val="002E647D"/>
    <w:rsid w:val="002E7141"/>
    <w:rsid w:val="00300751"/>
    <w:rsid w:val="00312EBB"/>
    <w:rsid w:val="003175DF"/>
    <w:rsid w:val="003227C5"/>
    <w:rsid w:val="00323F67"/>
    <w:rsid w:val="00325A49"/>
    <w:rsid w:val="00332BB5"/>
    <w:rsid w:val="003345AD"/>
    <w:rsid w:val="00334603"/>
    <w:rsid w:val="003432C1"/>
    <w:rsid w:val="0034415E"/>
    <w:rsid w:val="003517EA"/>
    <w:rsid w:val="00351D96"/>
    <w:rsid w:val="003606E7"/>
    <w:rsid w:val="003669DF"/>
    <w:rsid w:val="003678F7"/>
    <w:rsid w:val="00374EC2"/>
    <w:rsid w:val="00376FA5"/>
    <w:rsid w:val="003838BF"/>
    <w:rsid w:val="00387ADE"/>
    <w:rsid w:val="0039151F"/>
    <w:rsid w:val="00391B16"/>
    <w:rsid w:val="003964B8"/>
    <w:rsid w:val="003A0889"/>
    <w:rsid w:val="003B4FAF"/>
    <w:rsid w:val="003D205F"/>
    <w:rsid w:val="003D3D63"/>
    <w:rsid w:val="003D46DB"/>
    <w:rsid w:val="003D481D"/>
    <w:rsid w:val="003E3A74"/>
    <w:rsid w:val="003E4B65"/>
    <w:rsid w:val="003F0BCA"/>
    <w:rsid w:val="003F6985"/>
    <w:rsid w:val="00423AD7"/>
    <w:rsid w:val="00423D7A"/>
    <w:rsid w:val="004247FB"/>
    <w:rsid w:val="00427BC5"/>
    <w:rsid w:val="004423E1"/>
    <w:rsid w:val="004451E9"/>
    <w:rsid w:val="00452B96"/>
    <w:rsid w:val="00453C90"/>
    <w:rsid w:val="0045460C"/>
    <w:rsid w:val="00457C44"/>
    <w:rsid w:val="0046231E"/>
    <w:rsid w:val="0046394F"/>
    <w:rsid w:val="00471917"/>
    <w:rsid w:val="00475583"/>
    <w:rsid w:val="00477F45"/>
    <w:rsid w:val="004A7D63"/>
    <w:rsid w:val="004B63D7"/>
    <w:rsid w:val="004B7E63"/>
    <w:rsid w:val="004C1C6A"/>
    <w:rsid w:val="004C74B4"/>
    <w:rsid w:val="004D192D"/>
    <w:rsid w:val="004D4F94"/>
    <w:rsid w:val="004F09B7"/>
    <w:rsid w:val="004F4343"/>
    <w:rsid w:val="004F5E7E"/>
    <w:rsid w:val="004F6211"/>
    <w:rsid w:val="0050432C"/>
    <w:rsid w:val="00510026"/>
    <w:rsid w:val="0051064B"/>
    <w:rsid w:val="00511EAA"/>
    <w:rsid w:val="0051282E"/>
    <w:rsid w:val="00516565"/>
    <w:rsid w:val="005335DC"/>
    <w:rsid w:val="00541D35"/>
    <w:rsid w:val="00542EEF"/>
    <w:rsid w:val="00546F17"/>
    <w:rsid w:val="00554852"/>
    <w:rsid w:val="00566223"/>
    <w:rsid w:val="005733CE"/>
    <w:rsid w:val="0058436A"/>
    <w:rsid w:val="005A5846"/>
    <w:rsid w:val="005B551F"/>
    <w:rsid w:val="005B7794"/>
    <w:rsid w:val="005C3EE0"/>
    <w:rsid w:val="005C693C"/>
    <w:rsid w:val="005D02CB"/>
    <w:rsid w:val="005D1233"/>
    <w:rsid w:val="005D792A"/>
    <w:rsid w:val="005E1554"/>
    <w:rsid w:val="005E5D68"/>
    <w:rsid w:val="00602B20"/>
    <w:rsid w:val="0060726E"/>
    <w:rsid w:val="00611B46"/>
    <w:rsid w:val="00614996"/>
    <w:rsid w:val="00625DB7"/>
    <w:rsid w:val="0062696F"/>
    <w:rsid w:val="00640D0C"/>
    <w:rsid w:val="006445D8"/>
    <w:rsid w:val="00654944"/>
    <w:rsid w:val="00662F60"/>
    <w:rsid w:val="006704FF"/>
    <w:rsid w:val="00682CCB"/>
    <w:rsid w:val="00684B6D"/>
    <w:rsid w:val="006B7323"/>
    <w:rsid w:val="006E3D66"/>
    <w:rsid w:val="006E4796"/>
    <w:rsid w:val="006E5C26"/>
    <w:rsid w:val="006F11EC"/>
    <w:rsid w:val="006F2660"/>
    <w:rsid w:val="006F68CD"/>
    <w:rsid w:val="006F7987"/>
    <w:rsid w:val="006F7F76"/>
    <w:rsid w:val="007058D7"/>
    <w:rsid w:val="007063A2"/>
    <w:rsid w:val="007064BA"/>
    <w:rsid w:val="00717CB7"/>
    <w:rsid w:val="007340CE"/>
    <w:rsid w:val="00743486"/>
    <w:rsid w:val="007645A1"/>
    <w:rsid w:val="00775B29"/>
    <w:rsid w:val="007916EC"/>
    <w:rsid w:val="007936B2"/>
    <w:rsid w:val="00793E5F"/>
    <w:rsid w:val="00793FCC"/>
    <w:rsid w:val="007A46AB"/>
    <w:rsid w:val="007A4F2B"/>
    <w:rsid w:val="007B06A5"/>
    <w:rsid w:val="007C3818"/>
    <w:rsid w:val="007E057C"/>
    <w:rsid w:val="007E2009"/>
    <w:rsid w:val="007E5B78"/>
    <w:rsid w:val="007F122C"/>
    <w:rsid w:val="00841AC5"/>
    <w:rsid w:val="00847607"/>
    <w:rsid w:val="00862C00"/>
    <w:rsid w:val="00865F6D"/>
    <w:rsid w:val="00873254"/>
    <w:rsid w:val="00876EAF"/>
    <w:rsid w:val="0088616E"/>
    <w:rsid w:val="008A4C5B"/>
    <w:rsid w:val="008A581E"/>
    <w:rsid w:val="008B1960"/>
    <w:rsid w:val="008B76E1"/>
    <w:rsid w:val="008D20CE"/>
    <w:rsid w:val="008D7203"/>
    <w:rsid w:val="008E24A6"/>
    <w:rsid w:val="008F4668"/>
    <w:rsid w:val="009050A1"/>
    <w:rsid w:val="00911076"/>
    <w:rsid w:val="0091707B"/>
    <w:rsid w:val="00921C09"/>
    <w:rsid w:val="00927A91"/>
    <w:rsid w:val="009329C5"/>
    <w:rsid w:val="00954B3D"/>
    <w:rsid w:val="0097193F"/>
    <w:rsid w:val="00974370"/>
    <w:rsid w:val="0097725F"/>
    <w:rsid w:val="009819E7"/>
    <w:rsid w:val="009948FF"/>
    <w:rsid w:val="00996851"/>
    <w:rsid w:val="009970FC"/>
    <w:rsid w:val="009B4921"/>
    <w:rsid w:val="009B7155"/>
    <w:rsid w:val="009C18A1"/>
    <w:rsid w:val="009C584E"/>
    <w:rsid w:val="009D1002"/>
    <w:rsid w:val="009D2926"/>
    <w:rsid w:val="009D6DE8"/>
    <w:rsid w:val="009E21EE"/>
    <w:rsid w:val="009F20B4"/>
    <w:rsid w:val="00A0315D"/>
    <w:rsid w:val="00A069B5"/>
    <w:rsid w:val="00A14CD5"/>
    <w:rsid w:val="00A239CD"/>
    <w:rsid w:val="00A24387"/>
    <w:rsid w:val="00A25B88"/>
    <w:rsid w:val="00A30375"/>
    <w:rsid w:val="00A4045D"/>
    <w:rsid w:val="00A6039C"/>
    <w:rsid w:val="00A63E6B"/>
    <w:rsid w:val="00A71674"/>
    <w:rsid w:val="00A74BA0"/>
    <w:rsid w:val="00A76C56"/>
    <w:rsid w:val="00A86FA9"/>
    <w:rsid w:val="00A9393E"/>
    <w:rsid w:val="00AA3501"/>
    <w:rsid w:val="00AA3F77"/>
    <w:rsid w:val="00AA7628"/>
    <w:rsid w:val="00AB53DE"/>
    <w:rsid w:val="00AC5306"/>
    <w:rsid w:val="00AC65A4"/>
    <w:rsid w:val="00AE7C51"/>
    <w:rsid w:val="00B05036"/>
    <w:rsid w:val="00B06652"/>
    <w:rsid w:val="00B07D3A"/>
    <w:rsid w:val="00B13508"/>
    <w:rsid w:val="00B15338"/>
    <w:rsid w:val="00B1719A"/>
    <w:rsid w:val="00B217A2"/>
    <w:rsid w:val="00B36A44"/>
    <w:rsid w:val="00B56543"/>
    <w:rsid w:val="00B56600"/>
    <w:rsid w:val="00B628FF"/>
    <w:rsid w:val="00B6393E"/>
    <w:rsid w:val="00B72456"/>
    <w:rsid w:val="00B7403B"/>
    <w:rsid w:val="00B7478E"/>
    <w:rsid w:val="00B80985"/>
    <w:rsid w:val="00B93A8F"/>
    <w:rsid w:val="00B97AC0"/>
    <w:rsid w:val="00BA2374"/>
    <w:rsid w:val="00BA5CB4"/>
    <w:rsid w:val="00BB6291"/>
    <w:rsid w:val="00BC3B47"/>
    <w:rsid w:val="00BD60EE"/>
    <w:rsid w:val="00BD6E2B"/>
    <w:rsid w:val="00BE7873"/>
    <w:rsid w:val="00BF6CF8"/>
    <w:rsid w:val="00C105F9"/>
    <w:rsid w:val="00C25179"/>
    <w:rsid w:val="00C35536"/>
    <w:rsid w:val="00C35B95"/>
    <w:rsid w:val="00C3683B"/>
    <w:rsid w:val="00C4192F"/>
    <w:rsid w:val="00C421E4"/>
    <w:rsid w:val="00C44FA7"/>
    <w:rsid w:val="00C46BEF"/>
    <w:rsid w:val="00C55DB7"/>
    <w:rsid w:val="00C64193"/>
    <w:rsid w:val="00CB12EF"/>
    <w:rsid w:val="00CB4595"/>
    <w:rsid w:val="00CD37CF"/>
    <w:rsid w:val="00CD7F5E"/>
    <w:rsid w:val="00CF2BF2"/>
    <w:rsid w:val="00D077E2"/>
    <w:rsid w:val="00D2314E"/>
    <w:rsid w:val="00D234D5"/>
    <w:rsid w:val="00D32C9F"/>
    <w:rsid w:val="00D549F9"/>
    <w:rsid w:val="00D755B7"/>
    <w:rsid w:val="00D8481E"/>
    <w:rsid w:val="00D90F92"/>
    <w:rsid w:val="00D9449B"/>
    <w:rsid w:val="00DB5318"/>
    <w:rsid w:val="00DC0D66"/>
    <w:rsid w:val="00DC328B"/>
    <w:rsid w:val="00DC4C3D"/>
    <w:rsid w:val="00DD67AD"/>
    <w:rsid w:val="00DE196B"/>
    <w:rsid w:val="00DE2E76"/>
    <w:rsid w:val="00DE4559"/>
    <w:rsid w:val="00DF299E"/>
    <w:rsid w:val="00DF6E86"/>
    <w:rsid w:val="00E103C6"/>
    <w:rsid w:val="00E10C48"/>
    <w:rsid w:val="00E1289B"/>
    <w:rsid w:val="00E3020E"/>
    <w:rsid w:val="00E31221"/>
    <w:rsid w:val="00E3380F"/>
    <w:rsid w:val="00E4322A"/>
    <w:rsid w:val="00E473DC"/>
    <w:rsid w:val="00E52D41"/>
    <w:rsid w:val="00E60184"/>
    <w:rsid w:val="00E63A6A"/>
    <w:rsid w:val="00E703F6"/>
    <w:rsid w:val="00E71162"/>
    <w:rsid w:val="00E73874"/>
    <w:rsid w:val="00E86173"/>
    <w:rsid w:val="00E86A1F"/>
    <w:rsid w:val="00E93E30"/>
    <w:rsid w:val="00E96B5C"/>
    <w:rsid w:val="00EB0021"/>
    <w:rsid w:val="00ED450F"/>
    <w:rsid w:val="00ED45B0"/>
    <w:rsid w:val="00ED6186"/>
    <w:rsid w:val="00EE4CCE"/>
    <w:rsid w:val="00EF4B05"/>
    <w:rsid w:val="00EF7EEB"/>
    <w:rsid w:val="00EF7FC6"/>
    <w:rsid w:val="00F16916"/>
    <w:rsid w:val="00F24E6E"/>
    <w:rsid w:val="00F313C4"/>
    <w:rsid w:val="00F45FAE"/>
    <w:rsid w:val="00F54899"/>
    <w:rsid w:val="00F66EF8"/>
    <w:rsid w:val="00F732BE"/>
    <w:rsid w:val="00F748F4"/>
    <w:rsid w:val="00F81BBC"/>
    <w:rsid w:val="00FA00F7"/>
    <w:rsid w:val="00FA1F07"/>
    <w:rsid w:val="00FA2607"/>
    <w:rsid w:val="00FC24DE"/>
    <w:rsid w:val="00FD3A37"/>
    <w:rsid w:val="00FD7376"/>
    <w:rsid w:val="00FE4C37"/>
    <w:rsid w:val="00FE50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pPr>
      <w:keepNext/>
      <w:jc w:val="center"/>
      <w:outlineLvl w:val="0"/>
    </w:pPr>
    <w:rPr>
      <w:b/>
      <w:bCs/>
    </w:rPr>
  </w:style>
  <w:style w:type="paragraph" w:styleId="Heading2">
    <w:name w:val="heading 2"/>
    <w:basedOn w:val="Normal"/>
    <w:next w:val="Normal"/>
    <w:link w:val="Nadpis2Char"/>
    <w:uiPriority w:val="99"/>
    <w:pPr>
      <w:keepNext/>
      <w:spacing w:before="120"/>
      <w:jc w:val="center"/>
      <w:outlineLvl w:val="1"/>
    </w:pPr>
    <w:rPr>
      <w:b/>
      <w:bCs/>
      <w:sz w:val="20"/>
      <w:szCs w:val="20"/>
    </w:rPr>
  </w:style>
  <w:style w:type="paragraph" w:styleId="Heading4">
    <w:name w:val="heading 4"/>
    <w:basedOn w:val="Normal"/>
    <w:next w:val="Normal"/>
    <w:link w:val="Nadpis4Char"/>
    <w:uiPriority w:val="99"/>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eastAsia="Times New Roman"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eastAsia="Times New Roman"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0E50C4"/>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471917"/>
    <w:rPr>
      <w:rFonts w:cs="Times New Roman"/>
      <w:rtl w:val="0"/>
      <w:cs w:val="0"/>
      <w:lang w:val="sk-SK" w:eastAsia="sk-SK" w:bidi="ar-SA"/>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54899"/>
    <w:rPr>
      <w:rFonts w:cs="Times New Roman"/>
      <w:sz w:val="18"/>
      <w:szCs w:val="18"/>
      <w:rtl w:val="0"/>
      <w:cs w:val="0"/>
    </w:rPr>
  </w:style>
  <w:style w:type="character" w:styleId="CommentReference">
    <w:name w:val="annotation reference"/>
    <w:basedOn w:val="DefaultParagraphFont"/>
    <w:uiPriority w:val="99"/>
    <w:semiHidden/>
    <w:rsid w:val="00DE4559"/>
    <w:rPr>
      <w:rFonts w:cs="Times New Roman"/>
      <w:sz w:val="16"/>
      <w:szCs w:val="16"/>
      <w:rtl w:val="0"/>
      <w:cs w:val="0"/>
    </w:rPr>
  </w:style>
  <w:style w:type="paragraph" w:styleId="BodyTextIndent2">
    <w:name w:val="Body Text Indent 2"/>
    <w:basedOn w:val="Normal"/>
    <w:link w:val="Zarkazkladnhotextu2Char"/>
    <w:uiPriority w:val="99"/>
    <w:rsid w:val="003678F7"/>
    <w:pPr>
      <w:autoSpaceDE/>
      <w:autoSpaceDN/>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E60184"/>
    <w:pPr>
      <w:autoSpaceDE/>
      <w:autoSpaceDN/>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Normlnywebov6">
    <w:name w:val="Normálny (webový)6"/>
    <w:basedOn w:val="Normal"/>
    <w:uiPriority w:val="99"/>
    <w:rsid w:val="00ED450F"/>
    <w:pPr>
      <w:autoSpaceDE/>
      <w:autoSpaceDN/>
      <w:spacing w:before="167" w:after="167"/>
      <w:ind w:left="753" w:right="586"/>
      <w:jc w:val="left"/>
    </w:pPr>
    <w:rPr>
      <w:sz w:val="22"/>
      <w:szCs w:val="22"/>
    </w:rPr>
  </w:style>
  <w:style w:type="paragraph" w:customStyle="1" w:styleId="Normlnywebov8">
    <w:name w:val="Normálny (webový)8"/>
    <w:basedOn w:val="Normal"/>
    <w:uiPriority w:val="99"/>
    <w:rsid w:val="00C55DB7"/>
    <w:pPr>
      <w:autoSpaceDE/>
      <w:autoSpaceDN/>
      <w:spacing w:before="84" w:after="84"/>
      <w:ind w:left="251" w:right="251"/>
      <w:jc w:val="left"/>
    </w:pPr>
    <w:rPr>
      <w:sz w:val="22"/>
      <w:szCs w:val="22"/>
    </w:rPr>
  </w:style>
  <w:style w:type="paragraph" w:customStyle="1" w:styleId="Zkladntext">
    <w:name w:val="Základní text"/>
    <w:uiPriority w:val="99"/>
    <w:rsid w:val="003F0BCA"/>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rsid w:val="00CB4595"/>
    <w:pPr>
      <w:autoSpaceDE/>
      <w:autoSpaceDN/>
      <w:spacing w:before="167" w:after="167"/>
      <w:ind w:left="753" w:right="586"/>
      <w:jc w:val="left"/>
    </w:pPr>
    <w:rPr>
      <w:sz w:val="19"/>
      <w:szCs w:val="19"/>
    </w:rPr>
  </w:style>
  <w:style w:type="paragraph" w:customStyle="1" w:styleId="tlNormlnywebovArialNarrow10ptPodaokrajaVavo">
    <w:name w:val="Štýl Normálny (webový) + Arial Narrow 10 pt Podľa okraja Vľavo:..."/>
    <w:basedOn w:val="NormalWeb"/>
    <w:uiPriority w:val="99"/>
    <w:rsid w:val="00CB4595"/>
    <w:pPr>
      <w:spacing w:before="0" w:after="0"/>
      <w:ind w:left="0" w:right="0"/>
      <w:jc w:val="both"/>
    </w:pPr>
    <w:rPr>
      <w:rFonts w:ascii="Arial Narrow" w:hAnsi="Arial Narrow" w:cs="Arial Narrow"/>
      <w:sz w:val="20"/>
      <w:szCs w:val="20"/>
    </w:rPr>
  </w:style>
  <w:style w:type="paragraph" w:customStyle="1" w:styleId="tlNormlnywebovTahomaTunVavo0cm">
    <w:name w:val="Štýl Normálny (webový) + Tahoma Tučné Vľavo:  0 cm"/>
    <w:basedOn w:val="NormalWeb"/>
    <w:uiPriority w:val="99"/>
    <w:rsid w:val="00C44FA7"/>
    <w:pPr>
      <w:ind w:left="0"/>
      <w:jc w:val="left"/>
    </w:pPr>
    <w:rPr>
      <w:rFonts w:ascii="Tahoma" w:hAnsi="Tahoma" w:cs="Tahoma"/>
      <w:b/>
      <w:bCs/>
    </w:rPr>
  </w:style>
  <w:style w:type="paragraph" w:customStyle="1" w:styleId="tlNormlnywebovArialNarrow10ptPodaokrajaVavo1">
    <w:name w:val="Štýl Normálny (webový) + Arial Narrow 10 pt Podľa okraja Vľavo:...1"/>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2">
    <w:name w:val="Štýl Normálny (webový) + Arial Narrow 10 pt Podľa okraja Vľavo:...2"/>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3">
    <w:name w:val="Štýl Normálny (webový) + Arial Narrow 10 pt Podľa okraja Vľavo:...3"/>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ArialNarrow10ptPodaokraja">
    <w:name w:val="Štýl Arial Narrow 10 pt Podľa okraja"/>
    <w:basedOn w:val="Normal"/>
    <w:uiPriority w:val="99"/>
    <w:rsid w:val="00C105F9"/>
    <w:pPr>
      <w:jc w:val="both"/>
    </w:pPr>
    <w:rPr>
      <w:rFonts w:ascii="Arial Narrow" w:hAnsi="Arial Narrow" w:cs="Arial Narrow"/>
      <w:sz w:val="20"/>
      <w:szCs w:val="20"/>
    </w:rPr>
  </w:style>
  <w:style w:type="paragraph" w:styleId="BodyTextIndent">
    <w:name w:val="Body Text Indent"/>
    <w:basedOn w:val="Normal"/>
    <w:link w:val="ZarkazkladnhotextuChar"/>
    <w:uiPriority w:val="99"/>
    <w:rsid w:val="00C46BEF"/>
    <w:pPr>
      <w:autoSpaceDE/>
      <w:autoSpaceDN/>
      <w:ind w:firstLine="709"/>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PlainText">
    <w:name w:val="Plain Text"/>
    <w:basedOn w:val="Normal"/>
    <w:link w:val="ObyajntextChar"/>
    <w:uiPriority w:val="99"/>
    <w:semiHidden/>
    <w:rsid w:val="00DE196B"/>
    <w:pPr>
      <w:autoSpaceDE/>
      <w:autoSpaceDN/>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3239</Words>
  <Characters>18468</Characters>
  <Application>Microsoft Office Word</Application>
  <DocSecurity>0</DocSecurity>
  <Lines>0</Lines>
  <Paragraphs>0</Paragraphs>
  <ScaleCrop>false</ScaleCrop>
  <Company>ÚV SR</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lrybansky</cp:lastModifiedBy>
  <cp:revision>2</cp:revision>
  <cp:lastPrinted>2009-01-12T11:07:00Z</cp:lastPrinted>
  <dcterms:created xsi:type="dcterms:W3CDTF">2010-05-31T13:08:00Z</dcterms:created>
  <dcterms:modified xsi:type="dcterms:W3CDTF">2010-05-31T13:08:00Z</dcterms:modified>
</cp:coreProperties>
</file>