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260"/>
        <w:gridCol w:w="5040"/>
        <w:gridCol w:w="540"/>
        <w:gridCol w:w="1080"/>
        <w:gridCol w:w="720"/>
        <w:gridCol w:w="5940"/>
        <w:gridCol w:w="360"/>
        <w:gridCol w:w="72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3D3D63" w:rsidRPr="00EB22C2">
            <w:pPr>
              <w:pStyle w:val="Heading1"/>
              <w:bidi w:val="0"/>
              <w:rPr>
                <w:rFonts w:ascii="Times New Roman" w:hAnsi="Times New Roman"/>
                <w:sz w:val="20"/>
                <w:szCs w:val="20"/>
              </w:rPr>
            </w:pPr>
            <w:r w:rsidRPr="00EB22C2">
              <w:rPr>
                <w:rFonts w:ascii="Times New Roman" w:hAnsi="Times New Roman"/>
                <w:sz w:val="20"/>
                <w:szCs w:val="20"/>
              </w:rPr>
              <w:t>TABUĽKA  ZHODY</w:t>
            </w:r>
          </w:p>
          <w:p w:rsidR="003D3D63" w:rsidRPr="00EB22C2">
            <w:pPr>
              <w:pStyle w:val="Heading1"/>
              <w:bidi w:val="0"/>
              <w:spacing w:after="120"/>
              <w:rPr>
                <w:rFonts w:ascii="Times New Roman" w:hAnsi="Times New Roman"/>
                <w:b w:val="0"/>
                <w:bCs w:val="0"/>
                <w:sz w:val="20"/>
                <w:szCs w:val="20"/>
              </w:rPr>
            </w:pPr>
            <w:r w:rsidRPr="00EB22C2">
              <w:rPr>
                <w:rFonts w:ascii="Times New Roman" w:hAnsi="Times New Roman"/>
                <w:sz w:val="20"/>
                <w:szCs w:val="20"/>
              </w:rPr>
              <w:t>smernice ES/EÚ s ustanoveniami všetkých všeobecne záväzných právnych predpisov, ktoré danú smernicu preberajú</w:t>
            </w:r>
          </w:p>
        </w:tc>
      </w:tr>
      <w:tr>
        <w:tblPrEx>
          <w:tblW w:w="16200" w:type="dxa"/>
          <w:tblInd w:w="-497" w:type="dxa"/>
          <w:tblLayout w:type="fixed"/>
          <w:tblCellMar>
            <w:left w:w="43" w:type="dxa"/>
            <w:right w:w="43" w:type="dxa"/>
          </w:tblCellMar>
        </w:tblPrEx>
        <w:trPr>
          <w:cantSplit/>
          <w:trHeight w:val="567"/>
        </w:trPr>
        <w:tc>
          <w:tcPr>
            <w:tcW w:w="1800" w:type="dxa"/>
            <w:gridSpan w:val="2"/>
            <w:tcBorders>
              <w:top w:val="single" w:sz="4" w:space="0" w:color="auto"/>
              <w:left w:val="single" w:sz="12" w:space="0" w:color="auto"/>
              <w:bottom w:val="single" w:sz="4" w:space="0" w:color="auto"/>
              <w:right w:val="nil"/>
            </w:tcBorders>
            <w:textDirection w:val="lrTb"/>
            <w:vAlign w:val="top"/>
          </w:tcPr>
          <w:p w:rsidR="003D3D63" w:rsidRPr="00EB22C2">
            <w:pPr>
              <w:pStyle w:val="Heading4"/>
              <w:bidi w:val="0"/>
              <w:jc w:val="both"/>
              <w:rPr>
                <w:rFonts w:ascii="Times New Roman" w:hAnsi="Times New Roman"/>
                <w:sz w:val="20"/>
                <w:szCs w:val="20"/>
              </w:rPr>
            </w:pPr>
            <w:r w:rsidRPr="00EB22C2">
              <w:rPr>
                <w:rFonts w:ascii="Times New Roman" w:hAnsi="Times New Roman"/>
                <w:sz w:val="20"/>
                <w:szCs w:val="20"/>
              </w:rPr>
              <w:t>Názov smernice:</w:t>
            </w:r>
          </w:p>
        </w:tc>
        <w:tc>
          <w:tcPr>
            <w:tcW w:w="14400" w:type="dxa"/>
            <w:gridSpan w:val="7"/>
            <w:tcBorders>
              <w:top w:val="single" w:sz="4" w:space="0" w:color="auto"/>
              <w:left w:val="nil"/>
              <w:bottom w:val="single" w:sz="4" w:space="0" w:color="auto"/>
              <w:right w:val="single" w:sz="12" w:space="0" w:color="auto"/>
            </w:tcBorders>
            <w:textDirection w:val="lrTb"/>
            <w:vAlign w:val="top"/>
          </w:tcPr>
          <w:p w:rsidR="003D3D63" w:rsidRPr="00EB22C2" w:rsidP="007058D7">
            <w:pPr>
              <w:pStyle w:val="tlNormlnywebovTahomaTunVavo0cm"/>
              <w:bidi w:val="0"/>
              <w:spacing w:before="0" w:after="0"/>
              <w:ind w:right="0"/>
              <w:jc w:val="both"/>
              <w:rPr>
                <w:rFonts w:ascii="Times New Roman" w:hAnsi="Times New Roman" w:cs="Times New Roman"/>
                <w:b w:val="0"/>
                <w:bCs w:val="0"/>
                <w:sz w:val="20"/>
                <w:szCs w:val="20"/>
              </w:rPr>
            </w:pPr>
            <w:r w:rsidRPr="00EB22C2" w:rsidR="00AD1931">
              <w:rPr>
                <w:rFonts w:ascii="Times New Roman" w:hAnsi="Times New Roman" w:cs="Times New Roman"/>
                <w:sz w:val="20"/>
                <w:szCs w:val="20"/>
              </w:rPr>
              <w:t>Smernica Rady 2009/69/ES z  25. júna 2009, ktorou sa mení a dopĺňa smernica 2006/112/ES o spoločnom systéme dane z pridanej hodnoty, pokiaľ ide o daňové úniky súvisiace s dovozom</w:t>
            </w:r>
          </w:p>
        </w:tc>
      </w:tr>
      <w:tr>
        <w:tblPrEx>
          <w:tblW w:w="16200" w:type="dxa"/>
          <w:tblInd w:w="-497" w:type="dxa"/>
          <w:tblLayout w:type="fixed"/>
          <w:tblCellMar>
            <w:left w:w="43" w:type="dxa"/>
            <w:right w:w="43" w:type="dxa"/>
          </w:tblCellMar>
        </w:tblPrEx>
        <w:trPr>
          <w:trHeight w:val="567"/>
        </w:trPr>
        <w:tc>
          <w:tcPr>
            <w:tcW w:w="7380" w:type="dxa"/>
            <w:gridSpan w:val="4"/>
            <w:tcBorders>
              <w:top w:val="single" w:sz="4" w:space="0" w:color="auto"/>
              <w:left w:val="single" w:sz="12" w:space="0" w:color="auto"/>
              <w:bottom w:val="single" w:sz="4" w:space="0" w:color="auto"/>
              <w:right w:val="single" w:sz="12" w:space="0" w:color="auto"/>
            </w:tcBorders>
            <w:textDirection w:val="lrTb"/>
            <w:vAlign w:val="top"/>
          </w:tcPr>
          <w:p w:rsidR="003D3D63" w:rsidRPr="00EB22C2" w:rsidP="002E13F3">
            <w:pPr>
              <w:pStyle w:val="Heading4"/>
              <w:bidi w:val="0"/>
              <w:spacing w:before="120"/>
              <w:jc w:val="both"/>
              <w:rPr>
                <w:rFonts w:ascii="Times New Roman" w:hAnsi="Times New Roman"/>
                <w:sz w:val="20"/>
                <w:szCs w:val="20"/>
                <w:u w:val="single"/>
              </w:rPr>
            </w:pPr>
            <w:r w:rsidRPr="00EB22C2">
              <w:rPr>
                <w:rFonts w:ascii="Times New Roman" w:hAnsi="Times New Roman"/>
                <w:sz w:val="20"/>
                <w:szCs w:val="20"/>
                <w:u w:val="single"/>
              </w:rPr>
              <w:t>Smernica ES/EÚ</w:t>
            </w:r>
          </w:p>
          <w:p w:rsidR="003D3D63" w:rsidRPr="00EB22C2" w:rsidP="00C44FA7">
            <w:pPr>
              <w:pStyle w:val="BodyText3"/>
              <w:bidi w:val="0"/>
              <w:spacing w:line="240" w:lineRule="auto"/>
              <w:rPr>
                <w:rFonts w:ascii="Times New Roman" w:hAnsi="Times New Roman"/>
                <w:sz w:val="20"/>
                <w:szCs w:val="20"/>
              </w:rPr>
            </w:pPr>
          </w:p>
          <w:p w:rsidR="00F732BE" w:rsidRPr="00EB22C2" w:rsidP="007058D7">
            <w:pPr>
              <w:pStyle w:val="tlNormlnywebovTahomaTunVavo0cm"/>
              <w:bidi w:val="0"/>
              <w:spacing w:before="0" w:after="0"/>
              <w:ind w:right="0"/>
              <w:jc w:val="both"/>
              <w:rPr>
                <w:rFonts w:ascii="Times New Roman" w:hAnsi="Times New Roman" w:cs="Times New Roman"/>
                <w:sz w:val="20"/>
                <w:szCs w:val="20"/>
              </w:rPr>
            </w:pPr>
            <w:r w:rsidRPr="00EB22C2" w:rsidR="00AD1931">
              <w:rPr>
                <w:rFonts w:ascii="Times New Roman" w:hAnsi="Times New Roman" w:cs="Times New Roman"/>
                <w:sz w:val="20"/>
                <w:szCs w:val="20"/>
              </w:rPr>
              <w:t>Smernica Rady 2009/69/ES z  25. júna 2009 , ktorou sa mení a dopĺňa smernica 2006/112/ES o spoločnom systéme dane z pridanej hodnoty, pokiaľ ide o daňové úniky súvisiace s dovozom</w:t>
            </w:r>
          </w:p>
        </w:tc>
        <w:tc>
          <w:tcPr>
            <w:tcW w:w="8820" w:type="dxa"/>
            <w:gridSpan w:val="5"/>
            <w:tcBorders>
              <w:top w:val="single" w:sz="4" w:space="0" w:color="auto"/>
              <w:left w:val="nil"/>
              <w:bottom w:val="single" w:sz="4" w:space="0" w:color="auto"/>
              <w:right w:val="single" w:sz="12" w:space="0" w:color="auto"/>
            </w:tcBorders>
            <w:textDirection w:val="lrTb"/>
            <w:vAlign w:val="top"/>
          </w:tcPr>
          <w:p w:rsidR="003D3D63" w:rsidRPr="00EB22C2" w:rsidP="002E13F3">
            <w:pPr>
              <w:pStyle w:val="Heading4"/>
              <w:bidi w:val="0"/>
              <w:spacing w:before="120"/>
              <w:jc w:val="both"/>
              <w:rPr>
                <w:rFonts w:ascii="Times New Roman" w:hAnsi="Times New Roman"/>
                <w:sz w:val="20"/>
                <w:szCs w:val="20"/>
                <w:u w:val="single"/>
              </w:rPr>
            </w:pPr>
            <w:r w:rsidRPr="00EB22C2">
              <w:rPr>
                <w:rFonts w:ascii="Times New Roman" w:hAnsi="Times New Roman"/>
                <w:sz w:val="20"/>
                <w:szCs w:val="20"/>
                <w:u w:val="single"/>
              </w:rPr>
              <w:t>Všeobecne záväzné právne predpisy Slovenskej republiky</w:t>
            </w:r>
          </w:p>
          <w:p w:rsidR="003D3D63" w:rsidRPr="00EB22C2" w:rsidP="002E13F3">
            <w:pPr>
              <w:pStyle w:val="Header"/>
              <w:tabs>
                <w:tab w:val="left" w:pos="709"/>
              </w:tabs>
              <w:bidi w:val="0"/>
              <w:jc w:val="both"/>
              <w:rPr>
                <w:rFonts w:ascii="Times New Roman" w:hAnsi="Times New Roman"/>
                <w:sz w:val="20"/>
                <w:szCs w:val="20"/>
              </w:rPr>
            </w:pPr>
          </w:p>
          <w:p w:rsidR="00030212" w:rsidRPr="00EB22C2" w:rsidP="002E13F3">
            <w:pPr>
              <w:pStyle w:val="Header"/>
              <w:tabs>
                <w:tab w:val="left" w:pos="709"/>
              </w:tabs>
              <w:bidi w:val="0"/>
              <w:jc w:val="both"/>
              <w:rPr>
                <w:rFonts w:ascii="Times New Roman" w:hAnsi="Times New Roman"/>
                <w:b/>
                <w:bCs/>
                <w:sz w:val="20"/>
                <w:szCs w:val="20"/>
              </w:rPr>
            </w:pPr>
            <w:r w:rsidRPr="00EB22C2">
              <w:rPr>
                <w:rFonts w:ascii="Times New Roman" w:hAnsi="Times New Roman"/>
                <w:b/>
                <w:bCs/>
                <w:sz w:val="20"/>
                <w:szCs w:val="20"/>
              </w:rPr>
              <w:t>Zákon č. 222/2004 Z.z. o dani z pridanej hodnoty v znení neskorších predpisov (ďalej len „222/2004 Z.z.)</w:t>
            </w:r>
          </w:p>
          <w:p w:rsidR="00030212" w:rsidRPr="00EB22C2" w:rsidP="002E13F3">
            <w:pPr>
              <w:pStyle w:val="Header"/>
              <w:tabs>
                <w:tab w:val="left" w:pos="709"/>
              </w:tabs>
              <w:bidi w:val="0"/>
              <w:jc w:val="both"/>
              <w:rPr>
                <w:rFonts w:ascii="Times New Roman" w:hAnsi="Times New Roman"/>
                <w:b/>
                <w:bCs/>
                <w:sz w:val="20"/>
                <w:szCs w:val="20"/>
              </w:rPr>
            </w:pPr>
          </w:p>
          <w:p w:rsidR="00135BA5" w:rsidRPr="00EB22C2" w:rsidP="002E13F3">
            <w:pPr>
              <w:pStyle w:val="Header"/>
              <w:tabs>
                <w:tab w:val="left" w:pos="709"/>
              </w:tabs>
              <w:bidi w:val="0"/>
              <w:jc w:val="both"/>
              <w:rPr>
                <w:rFonts w:ascii="Times New Roman" w:hAnsi="Times New Roman"/>
                <w:sz w:val="20"/>
                <w:szCs w:val="20"/>
              </w:rPr>
            </w:pPr>
            <w:r w:rsidRPr="00EB22C2">
              <w:rPr>
                <w:rFonts w:ascii="Times New Roman" w:hAnsi="Times New Roman"/>
                <w:b/>
                <w:bCs/>
                <w:sz w:val="20"/>
                <w:szCs w:val="20"/>
              </w:rPr>
              <w:t>Návrh zákona</w:t>
            </w:r>
            <w:r w:rsidRPr="00EB22C2" w:rsidR="00542EEF">
              <w:rPr>
                <w:rFonts w:ascii="Times New Roman" w:hAnsi="Times New Roman"/>
                <w:b/>
                <w:bCs/>
                <w:sz w:val="20"/>
                <w:szCs w:val="20"/>
              </w:rPr>
              <w:t xml:space="preserve">, ktorým sa mení a dopĺňa zákon č. </w:t>
            </w:r>
            <w:r w:rsidRPr="00EB22C2" w:rsidR="00030212">
              <w:rPr>
                <w:rFonts w:ascii="Times New Roman" w:hAnsi="Times New Roman"/>
                <w:b/>
                <w:bCs/>
                <w:sz w:val="20"/>
                <w:szCs w:val="20"/>
              </w:rPr>
              <w:t>2</w:t>
            </w:r>
            <w:r w:rsidRPr="00EB22C2" w:rsidR="00542EEF">
              <w:rPr>
                <w:rFonts w:ascii="Times New Roman" w:hAnsi="Times New Roman"/>
                <w:b/>
                <w:bCs/>
                <w:sz w:val="20"/>
                <w:szCs w:val="20"/>
              </w:rPr>
              <w:t>22/2004 Z.z. o dani z pridanej hodnoty v znení neskorších predpisov (ďalej len „</w:t>
            </w:r>
            <w:r w:rsidRPr="00EB22C2" w:rsidR="009970FC">
              <w:rPr>
                <w:rFonts w:ascii="Times New Roman" w:hAnsi="Times New Roman"/>
                <w:b/>
                <w:bCs/>
                <w:sz w:val="20"/>
                <w:szCs w:val="20"/>
              </w:rPr>
              <w:t>X/20</w:t>
            </w:r>
            <w:r w:rsidRPr="00EB22C2" w:rsidR="007E5B78">
              <w:rPr>
                <w:rFonts w:ascii="Times New Roman" w:hAnsi="Times New Roman"/>
                <w:b/>
                <w:bCs/>
                <w:sz w:val="20"/>
                <w:szCs w:val="20"/>
              </w:rPr>
              <w:t>1</w:t>
            </w:r>
            <w:r w:rsidRPr="00EB22C2" w:rsidR="000B26F6">
              <w:rPr>
                <w:rFonts w:ascii="Times New Roman" w:hAnsi="Times New Roman"/>
                <w:b/>
                <w:bCs/>
                <w:sz w:val="20"/>
                <w:szCs w:val="20"/>
              </w:rPr>
              <w:t>0</w:t>
            </w:r>
            <w:r w:rsidRPr="00EB22C2" w:rsidR="00FE4C37">
              <w:rPr>
                <w:rFonts w:ascii="Times New Roman" w:hAnsi="Times New Roman"/>
                <w:b/>
                <w:bCs/>
                <w:sz w:val="20"/>
                <w:szCs w:val="20"/>
              </w:rPr>
              <w:t xml:space="preserve"> Z.z.</w:t>
            </w:r>
            <w:r w:rsidRPr="00EB22C2" w:rsidR="00542EEF">
              <w:rPr>
                <w:rFonts w:ascii="Times New Roman" w:hAnsi="Times New Roman"/>
                <w:b/>
                <w:bCs/>
                <w:sz w:val="20"/>
                <w:szCs w:val="20"/>
              </w:rPr>
              <w:t>“)</w:t>
            </w:r>
          </w:p>
          <w:p w:rsidR="002E13F3" w:rsidRPr="00EB22C2" w:rsidP="00ED450F">
            <w:pPr>
              <w:pStyle w:val="Header"/>
              <w:tabs>
                <w:tab w:val="left" w:pos="709"/>
              </w:tabs>
              <w:bidi w:val="0"/>
              <w:jc w:val="both"/>
              <w:rPr>
                <w:rFonts w:ascii="Times New Roman" w:hAnsi="Times New Roman"/>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60A5A" w:rsidRPr="00EB22C2">
            <w:pPr>
              <w:bidi w:val="0"/>
              <w:jc w:val="center"/>
              <w:rPr>
                <w:rFonts w:ascii="Times New Roman" w:hAnsi="Times New Roman"/>
                <w:sz w:val="20"/>
                <w:szCs w:val="20"/>
              </w:rPr>
            </w:pPr>
            <w:r w:rsidRPr="00EB22C2">
              <w:rPr>
                <w:rFonts w:ascii="Times New Roman" w:hAnsi="Times New Roman"/>
                <w:sz w:val="20"/>
                <w:szCs w:val="20"/>
              </w:rPr>
              <w:t>1</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260A5A" w:rsidRPr="00EB22C2">
            <w:pPr>
              <w:bidi w:val="0"/>
              <w:jc w:val="center"/>
              <w:rPr>
                <w:rFonts w:ascii="Times New Roman" w:hAnsi="Times New Roman"/>
                <w:sz w:val="20"/>
                <w:szCs w:val="20"/>
              </w:rPr>
            </w:pPr>
            <w:r w:rsidRPr="00EB22C2">
              <w:rPr>
                <w:rFonts w:ascii="Times New Roman" w:hAnsi="Times New Roman"/>
                <w:sz w:val="20"/>
                <w:szCs w:val="20"/>
              </w:rPr>
              <w:t>2</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260A5A" w:rsidRPr="00EB22C2">
            <w:pPr>
              <w:bidi w:val="0"/>
              <w:jc w:val="center"/>
              <w:rPr>
                <w:rFonts w:ascii="Times New Roman" w:hAnsi="Times New Roman"/>
                <w:sz w:val="20"/>
                <w:szCs w:val="20"/>
              </w:rPr>
            </w:pPr>
            <w:r w:rsidRPr="00EB22C2">
              <w:rPr>
                <w:rFonts w:ascii="Times New Roman" w:hAnsi="Times New Roman"/>
                <w:sz w:val="20"/>
                <w:szCs w:val="20"/>
              </w:rPr>
              <w:t>3</w:t>
            </w:r>
          </w:p>
        </w:tc>
        <w:tc>
          <w:tcPr>
            <w:tcW w:w="1080" w:type="dxa"/>
            <w:tcBorders>
              <w:top w:val="single" w:sz="4" w:space="0" w:color="auto"/>
              <w:left w:val="nil"/>
              <w:bottom w:val="single" w:sz="4" w:space="0" w:color="auto"/>
              <w:right w:val="single" w:sz="4" w:space="0" w:color="auto"/>
            </w:tcBorders>
            <w:textDirection w:val="lrTb"/>
            <w:vAlign w:val="top"/>
          </w:tcPr>
          <w:p w:rsidR="00260A5A" w:rsidRPr="00EB22C2">
            <w:pPr>
              <w:bidi w:val="0"/>
              <w:jc w:val="center"/>
              <w:rPr>
                <w:rFonts w:ascii="Times New Roman" w:hAnsi="Times New Roman"/>
                <w:sz w:val="20"/>
                <w:szCs w:val="20"/>
              </w:rPr>
            </w:pPr>
            <w:r w:rsidRPr="00EB22C2">
              <w:rPr>
                <w:rFonts w:ascii="Times New Roman" w:hAnsi="Times New Roman"/>
                <w:sz w:val="20"/>
                <w:szCs w:val="20"/>
              </w:rPr>
              <w:t>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60A5A" w:rsidRPr="00EB22C2">
            <w:pPr>
              <w:pStyle w:val="BodyText2"/>
              <w:bidi w:val="0"/>
              <w:spacing w:after="0" w:line="240" w:lineRule="exact"/>
              <w:jc w:val="center"/>
              <w:rPr>
                <w:rFonts w:ascii="Times New Roman" w:hAnsi="Times New Roman"/>
                <w:sz w:val="20"/>
                <w:szCs w:val="20"/>
              </w:rPr>
            </w:pPr>
            <w:r w:rsidRPr="00EB22C2">
              <w:rPr>
                <w:rFonts w:ascii="Times New Roman" w:hAnsi="Times New Roman"/>
                <w:sz w:val="20"/>
                <w:szCs w:val="20"/>
              </w:rPr>
              <w:t>5</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260A5A" w:rsidRPr="00EB22C2">
            <w:pPr>
              <w:pStyle w:val="BodyText2"/>
              <w:bidi w:val="0"/>
              <w:spacing w:after="0" w:line="240" w:lineRule="exact"/>
              <w:jc w:val="center"/>
              <w:rPr>
                <w:rFonts w:ascii="Times New Roman" w:hAnsi="Times New Roman"/>
                <w:sz w:val="20"/>
                <w:szCs w:val="20"/>
              </w:rPr>
            </w:pPr>
            <w:r w:rsidRPr="00EB22C2">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260A5A" w:rsidRPr="00EB22C2">
            <w:pPr>
              <w:bidi w:val="0"/>
              <w:jc w:val="center"/>
              <w:rPr>
                <w:rFonts w:ascii="Times New Roman" w:hAnsi="Times New Roman"/>
                <w:sz w:val="20"/>
                <w:szCs w:val="20"/>
              </w:rPr>
            </w:pPr>
            <w:r w:rsidRPr="00EB22C2">
              <w:rPr>
                <w:rFonts w:ascii="Times New Roman" w:hAnsi="Times New Roman"/>
                <w:sz w:val="20"/>
                <w:szCs w:val="20"/>
              </w:rPr>
              <w:t>7</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260A5A" w:rsidRPr="00EB22C2" w:rsidP="00260A5A">
            <w:pPr>
              <w:bidi w:val="0"/>
              <w:jc w:val="center"/>
              <w:rPr>
                <w:rFonts w:ascii="Times New Roman" w:hAnsi="Times New Roman"/>
                <w:sz w:val="20"/>
                <w:szCs w:val="20"/>
              </w:rPr>
            </w:pPr>
            <w:r w:rsidRPr="00EB22C2">
              <w:rPr>
                <w:rFonts w:ascii="Times New Roman" w:hAnsi="Times New Roman"/>
                <w:sz w:val="20"/>
                <w:szCs w:val="20"/>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60A5A" w:rsidRPr="00EB22C2">
            <w:pPr>
              <w:pStyle w:val="Normlny"/>
              <w:bidi w:val="0"/>
              <w:rPr>
                <w:rFonts w:ascii="Times New Roman" w:hAnsi="Times New Roman"/>
              </w:rPr>
            </w:pPr>
            <w:r w:rsidRPr="00EB22C2">
              <w:rPr>
                <w:rFonts w:ascii="Times New Roman" w:hAnsi="Times New Roman"/>
              </w:rPr>
              <w:t>Článok</w:t>
            </w:r>
          </w:p>
          <w:p w:rsidR="00260A5A" w:rsidRPr="00EB22C2">
            <w:pPr>
              <w:pStyle w:val="Normlny"/>
              <w:bidi w:val="0"/>
              <w:rPr>
                <w:rFonts w:ascii="Times New Roman" w:hAnsi="Times New Roman"/>
              </w:rPr>
            </w:pPr>
            <w:r w:rsidRPr="00EB22C2">
              <w:rPr>
                <w:rFonts w:ascii="Times New Roman" w:hAnsi="Times New Roman"/>
              </w:rPr>
              <w:t>(Č, O,</w:t>
            </w:r>
          </w:p>
          <w:p w:rsidR="00260A5A" w:rsidRPr="00EB22C2">
            <w:pPr>
              <w:pStyle w:val="Normlny"/>
              <w:bidi w:val="0"/>
              <w:rPr>
                <w:rFonts w:ascii="Times New Roman" w:hAnsi="Times New Roman"/>
              </w:rPr>
            </w:pPr>
            <w:r w:rsidRPr="00EB22C2">
              <w:rPr>
                <w:rFonts w:ascii="Times New Roman" w:hAnsi="Times New Roman"/>
              </w:rPr>
              <w:t>V, P)</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260A5A" w:rsidRPr="00EB22C2">
            <w:pPr>
              <w:pStyle w:val="Normlny"/>
              <w:bidi w:val="0"/>
              <w:jc w:val="center"/>
              <w:rPr>
                <w:rFonts w:ascii="Times New Roman" w:hAnsi="Times New Roman"/>
              </w:rPr>
            </w:pPr>
            <w:r w:rsidRPr="00EB22C2">
              <w:rPr>
                <w:rFonts w:ascii="Times New Roman" w:hAnsi="Times New Roman"/>
              </w:rPr>
              <w:t>Text</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260A5A" w:rsidRPr="00EB22C2">
            <w:pPr>
              <w:pStyle w:val="Normlny"/>
              <w:bidi w:val="0"/>
              <w:jc w:val="center"/>
              <w:rPr>
                <w:rFonts w:ascii="Times New Roman" w:hAnsi="Times New Roman"/>
              </w:rPr>
            </w:pPr>
            <w:r w:rsidRPr="00EB22C2">
              <w:rPr>
                <w:rFonts w:ascii="Times New Roman" w:hAnsi="Times New Roman"/>
              </w:rPr>
              <w:t>Spôsob transpozície</w:t>
            </w:r>
          </w:p>
        </w:tc>
        <w:tc>
          <w:tcPr>
            <w:tcW w:w="1080" w:type="dxa"/>
            <w:tcBorders>
              <w:top w:val="single" w:sz="4" w:space="0" w:color="auto"/>
              <w:left w:val="nil"/>
              <w:bottom w:val="single" w:sz="4" w:space="0" w:color="auto"/>
              <w:right w:val="single" w:sz="4" w:space="0" w:color="auto"/>
            </w:tcBorders>
            <w:textDirection w:val="lrTb"/>
            <w:vAlign w:val="top"/>
          </w:tcPr>
          <w:p w:rsidR="00260A5A" w:rsidRPr="00EB22C2">
            <w:pPr>
              <w:pStyle w:val="Normlny"/>
              <w:bidi w:val="0"/>
              <w:jc w:val="center"/>
              <w:rPr>
                <w:rFonts w:ascii="Times New Roman" w:hAnsi="Times New Roman"/>
              </w:rPr>
            </w:pPr>
            <w:r w:rsidRPr="00EB22C2">
              <w:rPr>
                <w:rFonts w:ascii="Times New Roman" w:hAnsi="Times New Roman"/>
              </w:rPr>
              <w:t>Číslo</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60A5A" w:rsidRPr="00EB22C2">
            <w:pPr>
              <w:pStyle w:val="Normlny"/>
              <w:bidi w:val="0"/>
              <w:jc w:val="center"/>
              <w:rPr>
                <w:rFonts w:ascii="Times New Roman" w:hAnsi="Times New Roman"/>
              </w:rPr>
            </w:pPr>
            <w:r w:rsidRPr="00EB22C2">
              <w:rPr>
                <w:rFonts w:ascii="Times New Roman" w:hAnsi="Times New Roman"/>
              </w:rPr>
              <w:t>Článok (Č, §, O, V, P)</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260A5A" w:rsidRPr="00EB22C2">
            <w:pPr>
              <w:pStyle w:val="Normlny"/>
              <w:bidi w:val="0"/>
              <w:jc w:val="center"/>
              <w:rPr>
                <w:rFonts w:ascii="Times New Roman" w:hAnsi="Times New Roman"/>
              </w:rPr>
            </w:pPr>
            <w:r w:rsidRPr="00EB22C2">
              <w:rPr>
                <w:rFonts w:ascii="Times New Roman" w:hAnsi="Times New Roman"/>
              </w:rPr>
              <w:t>Text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260A5A" w:rsidRPr="00EB22C2">
            <w:pPr>
              <w:pStyle w:val="Normlny"/>
              <w:bidi w:val="0"/>
              <w:jc w:val="center"/>
              <w:rPr>
                <w:rFonts w:ascii="Times New Roman" w:hAnsi="Times New Roman"/>
              </w:rPr>
            </w:pPr>
            <w:r w:rsidRPr="00EB22C2">
              <w:rPr>
                <w:rFonts w:ascii="Times New Roman" w:hAnsi="Times New Roman"/>
              </w:rPr>
              <w:t>Zhoda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260A5A" w:rsidRPr="00EB22C2">
            <w:pPr>
              <w:pStyle w:val="Normlny"/>
              <w:bidi w:val="0"/>
              <w:jc w:val="center"/>
              <w:rPr>
                <w:rFonts w:ascii="Times New Roman" w:hAnsi="Times New Roman"/>
              </w:rPr>
            </w:pPr>
            <w:r w:rsidRPr="00EB22C2">
              <w:rPr>
                <w:rFonts w:ascii="Times New Roman" w:hAnsi="Times New Roman"/>
              </w:rPr>
              <w:t>Poznámky</w:t>
            </w:r>
          </w:p>
          <w:p w:rsidR="00260A5A" w:rsidRPr="00EB22C2" w:rsidP="00260A5A">
            <w:pPr>
              <w:pStyle w:val="Normlny"/>
              <w:bidi w:val="0"/>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EB22C2" w:rsidP="0026420F">
            <w:pPr>
              <w:bidi w:val="0"/>
              <w:rPr>
                <w:rFonts w:ascii="Times New Roman" w:hAnsi="Times New Roman"/>
                <w:sz w:val="20"/>
                <w:szCs w:val="20"/>
              </w:rPr>
            </w:pPr>
            <w:r w:rsidRPr="00EB22C2">
              <w:rPr>
                <w:rFonts w:ascii="Times New Roman" w:hAnsi="Times New Roman"/>
                <w:sz w:val="20"/>
                <w:szCs w:val="20"/>
              </w:rPr>
              <w:t xml:space="preserve">Čl. </w:t>
            </w:r>
            <w:r w:rsidRPr="00EB22C2" w:rsidR="00A109F4">
              <w:rPr>
                <w:rFonts w:ascii="Times New Roman" w:hAnsi="Times New Roman"/>
                <w:sz w:val="20"/>
                <w:szCs w:val="20"/>
              </w:rPr>
              <w:t>1 bod 1</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Článok 1</w:t>
            </w:r>
          </w:p>
          <w:p w:rsidR="00A109F4" w:rsidRPr="00EB22C2" w:rsidP="00AC26A1">
            <w:pPr>
              <w:autoSpaceDE/>
              <w:autoSpaceDN/>
              <w:bidi w:val="0"/>
              <w:jc w:val="both"/>
              <w:rPr>
                <w:rFonts w:ascii="Times New Roman" w:hAnsi="Times New Roman"/>
                <w:sz w:val="20"/>
                <w:szCs w:val="20"/>
                <w:u w:val="single"/>
              </w:rPr>
            </w:pPr>
            <w:r w:rsidRPr="00EB22C2">
              <w:rPr>
                <w:rFonts w:ascii="Times New Roman" w:hAnsi="Times New Roman"/>
                <w:sz w:val="20"/>
                <w:szCs w:val="20"/>
                <w:u w:val="single"/>
              </w:rPr>
              <w:t>Smernica 2006/112/ES sa mení a dopĺňa takto:</w:t>
            </w:r>
          </w:p>
          <w:p w:rsidR="00A109F4" w:rsidRPr="00EB22C2" w:rsidP="00AC26A1">
            <w:pPr>
              <w:autoSpaceDE/>
              <w:autoSpaceDN/>
              <w:bidi w:val="0"/>
              <w:jc w:val="both"/>
              <w:rPr>
                <w:rFonts w:ascii="Times New Roman" w:hAnsi="Times New Roman"/>
                <w:sz w:val="20"/>
                <w:szCs w:val="20"/>
              </w:rPr>
            </w:pPr>
          </w:p>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1. Článok 22 sa nahrádza takto:</w:t>
            </w:r>
          </w:p>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"Článok 22</w:t>
            </w:r>
          </w:p>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Za nadobudnutie tovaru v rámci Spoločenstva za protihodnotu sa považuje pridelenie tovaru pre ozbrojené sily štátu, ktorý je stranou Severoatlantickej zmluvy, na ich použitie alebo na použitie civilnými zamestnancami, ktorí ich sprevádzajú, ktorý nebol zakúpený podľa všeobecných pravidiel zdanenia na domácom trhu členského štátu, ak by dovoz tohto tovaru nemohol byť oslobodený od dane podľa článku 143 ods. 1 písm. h)."</w:t>
            </w:r>
          </w:p>
          <w:p w:rsidR="00423D7A" w:rsidRPr="00EB22C2" w:rsidP="00AC26A1">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EB22C2" w:rsidP="007E057C">
            <w:pPr>
              <w:bidi w:val="0"/>
              <w:jc w:val="both"/>
              <w:rPr>
                <w:rFonts w:ascii="Times New Roman" w:hAnsi="Times New Roman"/>
                <w:sz w:val="20"/>
                <w:szCs w:val="20"/>
              </w:rPr>
            </w:pPr>
            <w:r w:rsidRPr="00EB22C2" w:rsidR="000777DB">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D709E7" w:rsidRPr="00EB22C2" w:rsidP="00D709E7">
            <w:pPr>
              <w:bidi w:val="0"/>
              <w:rPr>
                <w:rFonts w:ascii="Times New Roman" w:hAnsi="Times New Roman"/>
                <w:b/>
                <w:bCs/>
                <w:sz w:val="20"/>
                <w:szCs w:val="20"/>
              </w:rPr>
            </w:pPr>
          </w:p>
          <w:p w:rsidR="00D709E7" w:rsidRPr="00EB22C2" w:rsidP="00D709E7">
            <w:pPr>
              <w:bidi w:val="0"/>
              <w:rPr>
                <w:rFonts w:ascii="Times New Roman" w:hAnsi="Times New Roman"/>
                <w:b/>
                <w:bCs/>
                <w:sz w:val="20"/>
                <w:szCs w:val="20"/>
              </w:rPr>
            </w:pPr>
          </w:p>
          <w:p w:rsidR="00D709E7" w:rsidRPr="00EB22C2" w:rsidP="00D709E7">
            <w:pPr>
              <w:bidi w:val="0"/>
              <w:rPr>
                <w:rFonts w:ascii="Times New Roman" w:hAnsi="Times New Roman"/>
                <w:b/>
                <w:bCs/>
                <w:sz w:val="20"/>
                <w:szCs w:val="20"/>
              </w:rPr>
            </w:pPr>
          </w:p>
          <w:p w:rsidR="00D709E7" w:rsidRPr="00EB22C2" w:rsidP="00D709E7">
            <w:pPr>
              <w:bidi w:val="0"/>
              <w:rPr>
                <w:rFonts w:ascii="Times New Roman" w:hAnsi="Times New Roman"/>
                <w:b/>
                <w:bCs/>
                <w:sz w:val="20"/>
                <w:szCs w:val="20"/>
              </w:rPr>
            </w:pPr>
          </w:p>
          <w:p w:rsidR="00D709E7" w:rsidRPr="00EB22C2" w:rsidP="00D709E7">
            <w:pPr>
              <w:bidi w:val="0"/>
              <w:rPr>
                <w:rFonts w:ascii="Times New Roman" w:hAnsi="Times New Roman"/>
                <w:b/>
                <w:bCs/>
                <w:sz w:val="20"/>
                <w:szCs w:val="20"/>
              </w:rPr>
            </w:pPr>
          </w:p>
          <w:p w:rsidR="00D709E7" w:rsidRPr="00EB22C2" w:rsidP="00D709E7">
            <w:pPr>
              <w:bidi w:val="0"/>
              <w:rPr>
                <w:rFonts w:ascii="Times New Roman" w:hAnsi="Times New Roman"/>
                <w:b/>
                <w:bCs/>
                <w:sz w:val="20"/>
                <w:szCs w:val="20"/>
              </w:rPr>
            </w:pPr>
            <w:r w:rsidRPr="00EB22C2">
              <w:rPr>
                <w:rFonts w:ascii="Times New Roman" w:hAnsi="Times New Roman"/>
                <w:b/>
                <w:bCs/>
                <w:sz w:val="20"/>
                <w:szCs w:val="20"/>
              </w:rPr>
              <w:t>X/201</w:t>
            </w:r>
            <w:r w:rsidRPr="00EB22C2" w:rsidR="000B26F6">
              <w:rPr>
                <w:rFonts w:ascii="Times New Roman" w:hAnsi="Times New Roman"/>
                <w:b/>
                <w:bCs/>
                <w:sz w:val="20"/>
                <w:szCs w:val="20"/>
              </w:rPr>
              <w:t>0</w:t>
            </w:r>
            <w:r w:rsidRPr="00EB22C2">
              <w:rPr>
                <w:rFonts w:ascii="Times New Roman" w:hAnsi="Times New Roman"/>
                <w:b/>
                <w:bCs/>
                <w:sz w:val="20"/>
                <w:szCs w:val="20"/>
              </w:rPr>
              <w:t xml:space="preserve"> Z.z.</w:t>
            </w:r>
          </w:p>
          <w:p w:rsidR="00D709E7" w:rsidRPr="00EB22C2" w:rsidP="00D709E7">
            <w:pPr>
              <w:bidi w:val="0"/>
              <w:rPr>
                <w:rFonts w:ascii="Times New Roman" w:hAnsi="Times New Roman"/>
                <w:b/>
                <w:bCs/>
                <w:sz w:val="20"/>
                <w:szCs w:val="20"/>
              </w:rPr>
            </w:pPr>
          </w:p>
          <w:p w:rsidR="00423D7A" w:rsidRPr="00EB22C2" w:rsidP="00D709E7">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A38DD" w:rsidRPr="00EB22C2" w:rsidP="007E057C">
            <w:pPr>
              <w:bidi w:val="0"/>
              <w:rPr>
                <w:rFonts w:ascii="Times New Roman" w:hAnsi="Times New Roman"/>
                <w:sz w:val="20"/>
                <w:szCs w:val="20"/>
              </w:rPr>
            </w:pPr>
          </w:p>
          <w:p w:rsidR="002A38DD" w:rsidRPr="00EB22C2" w:rsidP="007E057C">
            <w:pPr>
              <w:bidi w:val="0"/>
              <w:rPr>
                <w:rFonts w:ascii="Times New Roman" w:hAnsi="Times New Roman"/>
                <w:sz w:val="20"/>
                <w:szCs w:val="20"/>
              </w:rPr>
            </w:pPr>
          </w:p>
          <w:p w:rsidR="002A38DD" w:rsidRPr="00EB22C2" w:rsidP="007E057C">
            <w:pPr>
              <w:bidi w:val="0"/>
              <w:rPr>
                <w:rFonts w:ascii="Times New Roman" w:hAnsi="Times New Roman"/>
                <w:sz w:val="20"/>
                <w:szCs w:val="20"/>
              </w:rPr>
            </w:pPr>
          </w:p>
          <w:p w:rsidR="002A38DD" w:rsidRPr="00EB22C2" w:rsidP="007E057C">
            <w:pPr>
              <w:bidi w:val="0"/>
              <w:rPr>
                <w:rFonts w:ascii="Times New Roman" w:hAnsi="Times New Roman"/>
                <w:sz w:val="20"/>
                <w:szCs w:val="20"/>
              </w:rPr>
            </w:pPr>
          </w:p>
          <w:p w:rsidR="00D709E7" w:rsidRPr="00EB22C2" w:rsidP="007E057C">
            <w:pPr>
              <w:bidi w:val="0"/>
              <w:rPr>
                <w:rFonts w:ascii="Times New Roman" w:hAnsi="Times New Roman"/>
                <w:sz w:val="20"/>
                <w:szCs w:val="20"/>
              </w:rPr>
            </w:pPr>
          </w:p>
          <w:p w:rsidR="00423D7A" w:rsidRPr="00EB22C2" w:rsidP="007E057C">
            <w:pPr>
              <w:bidi w:val="0"/>
              <w:rPr>
                <w:rFonts w:ascii="Times New Roman" w:hAnsi="Times New Roman"/>
                <w:sz w:val="20"/>
                <w:szCs w:val="20"/>
              </w:rPr>
            </w:pPr>
            <w:r w:rsidRPr="00EB22C2" w:rsidR="002A38DD">
              <w:rPr>
                <w:rFonts w:ascii="Times New Roman" w:hAnsi="Times New Roman"/>
                <w:sz w:val="20"/>
                <w:szCs w:val="20"/>
              </w:rPr>
              <w:t>§ 11 ods. 9</w:t>
            </w:r>
          </w:p>
          <w:p w:rsidR="002A38DD" w:rsidRPr="00EB22C2" w:rsidP="007E057C">
            <w:pPr>
              <w:bidi w:val="0"/>
              <w:rPr>
                <w:rFonts w:ascii="Times New Roman" w:hAnsi="Times New Roman"/>
                <w:sz w:val="20"/>
                <w:szCs w:val="20"/>
              </w:rPr>
            </w:pPr>
          </w:p>
          <w:p w:rsidR="002A38DD" w:rsidRPr="00EB22C2" w:rsidP="007E057C">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423D7A" w:rsidRPr="00EB22C2" w:rsidP="00283B7B">
            <w:pPr>
              <w:pStyle w:val="BodyText2"/>
              <w:bidi w:val="0"/>
              <w:spacing w:after="0" w:line="240" w:lineRule="auto"/>
              <w:jc w:val="both"/>
              <w:rPr>
                <w:rFonts w:ascii="Times New Roman" w:hAnsi="Times New Roman"/>
                <w:sz w:val="20"/>
                <w:szCs w:val="20"/>
              </w:rPr>
            </w:pPr>
          </w:p>
          <w:p w:rsidR="002A38DD" w:rsidRPr="00EB22C2" w:rsidP="00283B7B">
            <w:pPr>
              <w:pStyle w:val="BodyText2"/>
              <w:bidi w:val="0"/>
              <w:spacing w:after="0" w:line="240" w:lineRule="auto"/>
              <w:jc w:val="both"/>
              <w:rPr>
                <w:rFonts w:ascii="Times New Roman" w:hAnsi="Times New Roman"/>
                <w:sz w:val="20"/>
                <w:szCs w:val="20"/>
              </w:rPr>
            </w:pPr>
          </w:p>
          <w:p w:rsidR="002A38DD" w:rsidRPr="00EB22C2" w:rsidP="00283B7B">
            <w:pPr>
              <w:pStyle w:val="BodyText2"/>
              <w:bidi w:val="0"/>
              <w:spacing w:after="0" w:line="240" w:lineRule="auto"/>
              <w:jc w:val="both"/>
              <w:rPr>
                <w:rFonts w:ascii="Times New Roman" w:hAnsi="Times New Roman"/>
                <w:sz w:val="20"/>
                <w:szCs w:val="20"/>
              </w:rPr>
            </w:pPr>
          </w:p>
          <w:p w:rsidR="002A38DD" w:rsidRPr="00EB22C2" w:rsidP="00283B7B">
            <w:pPr>
              <w:pStyle w:val="BodyText2"/>
              <w:bidi w:val="0"/>
              <w:spacing w:after="0" w:line="240" w:lineRule="auto"/>
              <w:jc w:val="both"/>
              <w:rPr>
                <w:rFonts w:ascii="Times New Roman" w:hAnsi="Times New Roman"/>
                <w:sz w:val="20"/>
                <w:szCs w:val="20"/>
              </w:rPr>
            </w:pPr>
          </w:p>
          <w:p w:rsidR="00D709E7" w:rsidRPr="00EB22C2" w:rsidP="00283B7B">
            <w:pPr>
              <w:pStyle w:val="BodyText2"/>
              <w:bidi w:val="0"/>
              <w:spacing w:after="0" w:line="240" w:lineRule="auto"/>
              <w:jc w:val="both"/>
              <w:rPr>
                <w:rFonts w:ascii="Times New Roman" w:hAnsi="Times New Roman"/>
                <w:sz w:val="20"/>
                <w:szCs w:val="20"/>
              </w:rPr>
            </w:pPr>
          </w:p>
          <w:p w:rsidR="002A38DD" w:rsidRPr="00E841AD" w:rsidP="002A38DD">
            <w:pPr>
              <w:pStyle w:val="Zkladntext"/>
              <w:bidi w:val="0"/>
              <w:spacing w:line="240" w:lineRule="atLeast"/>
              <w:jc w:val="both"/>
              <w:rPr>
                <w:rFonts w:ascii="Times New Roman" w:hAnsi="Times New Roman"/>
                <w:b/>
                <w:sz w:val="20"/>
                <w:szCs w:val="20"/>
              </w:rPr>
            </w:pPr>
            <w:r w:rsidRPr="00E841AD">
              <w:rPr>
                <w:rFonts w:ascii="Times New Roman" w:hAnsi="Times New Roman"/>
                <w:b/>
                <w:sz w:val="20"/>
                <w:szCs w:val="20"/>
              </w:rPr>
              <w:t>(9) Za nadobudnutie tovaru za protihodnotu v tuzemsku z iného členského štátu sa považuje aj pridelenie tovaru ozbrojeným silám štátu, ktorý je stranou Severoatlantickej zmluvy, na ich použitie alebo na použitie civilnými zamestnancami, ktorí ich sprevádzajú, ak tento tovar nebol kúpený podľa všeobecných pravidiel zdanenia v členskom štáte pridelenia a ak by dovoz tohto tovaru nebol oslobodený od dane podľa § 48 ods. 6.</w:t>
            </w:r>
          </w:p>
          <w:p w:rsidR="002A38DD" w:rsidRPr="00EB22C2" w:rsidP="00283B7B">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EB22C2" w:rsidP="007E057C">
            <w:pPr>
              <w:bidi w:val="0"/>
              <w:jc w:val="both"/>
              <w:rPr>
                <w:rFonts w:ascii="Times New Roman" w:hAnsi="Times New Roman"/>
                <w:sz w:val="20"/>
                <w:szCs w:val="20"/>
              </w:rPr>
            </w:pPr>
            <w:r w:rsidRPr="00EB22C2" w:rsidR="00876EAF">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EB22C2" w:rsidP="007E057C">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EB22C2" w:rsidP="0026420F">
            <w:pPr>
              <w:bidi w:val="0"/>
              <w:rPr>
                <w:rFonts w:ascii="Times New Roman" w:hAnsi="Times New Roman"/>
                <w:sz w:val="20"/>
                <w:szCs w:val="20"/>
              </w:rPr>
            </w:pPr>
            <w:r w:rsidRPr="00EB22C2">
              <w:rPr>
                <w:rFonts w:ascii="Times New Roman" w:hAnsi="Times New Roman"/>
                <w:sz w:val="20"/>
                <w:szCs w:val="20"/>
              </w:rPr>
              <w:t xml:space="preserve">Čl. </w:t>
            </w:r>
            <w:r w:rsidRPr="00EB22C2" w:rsidR="00A109F4">
              <w:rPr>
                <w:rFonts w:ascii="Times New Roman" w:hAnsi="Times New Roman"/>
                <w:sz w:val="20"/>
                <w:szCs w:val="20"/>
              </w:rPr>
              <w:t>1 bod 2</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2. V článku 140 sa písmeno b) nahrádza takto:</w:t>
            </w:r>
          </w:p>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"b) nadobudnutie tovaru v rámci Spoločenstva, ktorého dovoz by bol v každom prípade oslobodený od dane podľa článku 143 ods. 1 písm. a), b) a c) a e) až l);".</w:t>
            </w:r>
          </w:p>
          <w:p w:rsidR="00423D7A" w:rsidRPr="00EB22C2" w:rsidP="00AC26A1">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EB22C2" w:rsidP="007E057C">
            <w:pPr>
              <w:bidi w:val="0"/>
              <w:jc w:val="both"/>
              <w:rPr>
                <w:rFonts w:ascii="Times New Roman" w:hAnsi="Times New Roman"/>
                <w:sz w:val="20"/>
                <w:szCs w:val="20"/>
              </w:rPr>
            </w:pPr>
            <w:r w:rsidRPr="00EB22C2" w:rsidR="000777DB">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545103" w:rsidRPr="00EB22C2" w:rsidP="00D709E7">
            <w:pPr>
              <w:bidi w:val="0"/>
              <w:rPr>
                <w:rFonts w:ascii="Times New Roman" w:hAnsi="Times New Roman"/>
                <w:sz w:val="20"/>
                <w:szCs w:val="20"/>
              </w:rPr>
            </w:pPr>
            <w:r w:rsidRPr="00EB22C2">
              <w:rPr>
                <w:rFonts w:ascii="Times New Roman" w:hAnsi="Times New Roman"/>
                <w:sz w:val="20"/>
                <w:szCs w:val="20"/>
              </w:rPr>
              <w:t>222/2004 Z.z.</w:t>
            </w:r>
          </w:p>
          <w:p w:rsidR="00545103" w:rsidRPr="00EB22C2" w:rsidP="00D709E7">
            <w:pPr>
              <w:bidi w:val="0"/>
              <w:rPr>
                <w:rFonts w:ascii="Times New Roman" w:hAnsi="Times New Roman"/>
                <w:b/>
                <w:bCs/>
                <w:sz w:val="20"/>
                <w:szCs w:val="20"/>
              </w:rPr>
            </w:pPr>
          </w:p>
          <w:p w:rsidR="00D709E7" w:rsidRPr="00EB22C2" w:rsidP="00D709E7">
            <w:pPr>
              <w:bidi w:val="0"/>
              <w:rPr>
                <w:rFonts w:ascii="Times New Roman" w:hAnsi="Times New Roman"/>
                <w:b/>
                <w:bCs/>
                <w:sz w:val="20"/>
                <w:szCs w:val="20"/>
              </w:rPr>
            </w:pPr>
            <w:r w:rsidRPr="00EB22C2" w:rsidR="000B26F6">
              <w:rPr>
                <w:rFonts w:ascii="Times New Roman" w:hAnsi="Times New Roman"/>
                <w:b/>
                <w:bCs/>
                <w:sz w:val="20"/>
                <w:szCs w:val="20"/>
              </w:rPr>
              <w:t>X/2010</w:t>
            </w:r>
            <w:r w:rsidRPr="00EB22C2">
              <w:rPr>
                <w:rFonts w:ascii="Times New Roman" w:hAnsi="Times New Roman"/>
                <w:b/>
                <w:bCs/>
                <w:sz w:val="20"/>
                <w:szCs w:val="20"/>
              </w:rPr>
              <w:t xml:space="preserve"> Z.z.</w:t>
            </w:r>
          </w:p>
          <w:p w:rsidR="000777DB" w:rsidRPr="00EB22C2" w:rsidP="004F4343">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777DB" w:rsidRPr="00EB22C2" w:rsidP="007E057C">
            <w:pPr>
              <w:bidi w:val="0"/>
              <w:rPr>
                <w:rFonts w:ascii="Times New Roman" w:hAnsi="Times New Roman"/>
                <w:sz w:val="20"/>
                <w:szCs w:val="20"/>
              </w:rPr>
            </w:pPr>
            <w:r w:rsidRPr="00EB22C2" w:rsidR="00545103">
              <w:rPr>
                <w:rFonts w:ascii="Times New Roman" w:hAnsi="Times New Roman"/>
                <w:sz w:val="20"/>
                <w:szCs w:val="20"/>
              </w:rPr>
              <w:t>§ 44</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545103" w:rsidRPr="00EB22C2" w:rsidP="00545103">
            <w:pPr>
              <w:pStyle w:val="BodyText2"/>
              <w:bidi w:val="0"/>
              <w:spacing w:after="0" w:line="240" w:lineRule="auto"/>
              <w:jc w:val="both"/>
              <w:rPr>
                <w:rFonts w:ascii="Times New Roman" w:hAnsi="Times New Roman"/>
                <w:sz w:val="20"/>
                <w:szCs w:val="20"/>
              </w:rPr>
            </w:pPr>
            <w:r w:rsidRPr="00EB22C2">
              <w:rPr>
                <w:rFonts w:ascii="Times New Roman" w:hAnsi="Times New Roman"/>
                <w:sz w:val="20"/>
                <w:szCs w:val="20"/>
              </w:rPr>
              <w:t>Oslobodené od dane je nadobudnutie tovaru v tuzemsku z iného členského štátu, ak</w:t>
            </w:r>
          </w:p>
          <w:p w:rsidR="00545103" w:rsidRPr="00EB22C2" w:rsidP="00545103">
            <w:pPr>
              <w:pStyle w:val="BodyText2"/>
              <w:bidi w:val="0"/>
              <w:spacing w:after="0" w:line="240" w:lineRule="auto"/>
              <w:jc w:val="both"/>
              <w:rPr>
                <w:rFonts w:ascii="Times New Roman" w:hAnsi="Times New Roman"/>
                <w:sz w:val="20"/>
                <w:szCs w:val="20"/>
              </w:rPr>
            </w:pPr>
            <w:r w:rsidRPr="00EB22C2">
              <w:rPr>
                <w:rFonts w:ascii="Times New Roman" w:hAnsi="Times New Roman"/>
                <w:sz w:val="20"/>
                <w:szCs w:val="20"/>
              </w:rPr>
              <w:t>a) by dodanie takého tovaru platiteľom v tuzemsku bolo oslobodené od dane,</w:t>
            </w:r>
          </w:p>
          <w:p w:rsidR="00545103" w:rsidRPr="00EB22C2" w:rsidP="00545103">
            <w:pPr>
              <w:pStyle w:val="BodyText2"/>
              <w:bidi w:val="0"/>
              <w:spacing w:after="0" w:line="240" w:lineRule="auto"/>
              <w:jc w:val="both"/>
              <w:rPr>
                <w:rFonts w:ascii="Times New Roman" w:hAnsi="Times New Roman"/>
                <w:sz w:val="20"/>
                <w:szCs w:val="20"/>
              </w:rPr>
            </w:pPr>
            <w:r w:rsidRPr="00EB22C2">
              <w:rPr>
                <w:rFonts w:ascii="Times New Roman" w:hAnsi="Times New Roman"/>
                <w:sz w:val="20"/>
                <w:szCs w:val="20"/>
              </w:rPr>
              <w:t xml:space="preserve">b) by dovoz takého tovaru bol oslobodený od dane </w:t>
            </w:r>
            <w:r w:rsidRPr="00EB22C2">
              <w:rPr>
                <w:rFonts w:ascii="Times New Roman" w:hAnsi="Times New Roman"/>
                <w:b/>
                <w:bCs/>
                <w:sz w:val="20"/>
                <w:szCs w:val="20"/>
              </w:rPr>
              <w:t>podľa § 48 ods. 1 a 2 a ods. 4 až 9</w:t>
            </w:r>
            <w:r w:rsidRPr="00EB22C2">
              <w:rPr>
                <w:rFonts w:ascii="Times New Roman" w:hAnsi="Times New Roman"/>
                <w:sz w:val="22"/>
                <w:szCs w:val="22"/>
              </w:rPr>
              <w:t xml:space="preserve"> </w:t>
            </w:r>
            <w:r w:rsidRPr="00EB22C2">
              <w:rPr>
                <w:rFonts w:ascii="Times New Roman" w:hAnsi="Times New Roman"/>
                <w:sz w:val="20"/>
                <w:szCs w:val="20"/>
              </w:rPr>
              <w:t>alebo</w:t>
            </w:r>
          </w:p>
          <w:p w:rsidR="0062696F" w:rsidRPr="00EB22C2" w:rsidP="00545103">
            <w:pPr>
              <w:pStyle w:val="BodyText2"/>
              <w:bidi w:val="0"/>
              <w:spacing w:after="0" w:line="240" w:lineRule="auto"/>
              <w:jc w:val="both"/>
              <w:rPr>
                <w:rFonts w:ascii="Times New Roman" w:hAnsi="Times New Roman"/>
                <w:sz w:val="20"/>
                <w:szCs w:val="20"/>
              </w:rPr>
            </w:pPr>
            <w:r w:rsidRPr="00EB22C2" w:rsidR="00545103">
              <w:rPr>
                <w:rFonts w:ascii="Times New Roman" w:hAnsi="Times New Roman"/>
                <w:sz w:val="20"/>
                <w:szCs w:val="20"/>
              </w:rPr>
              <w:t>c) tento tovar je určený bezprostredne na ďalšie dodanie tovaru z tuzemska do iného členského štátu alebo na územie tretieho štátu a toto dodanie je oslobodené od dane s možnosťou odpočítania dane.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EB22C2" w:rsidP="007E057C">
            <w:pPr>
              <w:bidi w:val="0"/>
              <w:jc w:val="both"/>
              <w:rPr>
                <w:rFonts w:ascii="Times New Roman" w:hAnsi="Times New Roman"/>
                <w:sz w:val="20"/>
                <w:szCs w:val="20"/>
              </w:rPr>
            </w:pPr>
            <w:r w:rsidRPr="00EB22C2" w:rsidR="00876EAF">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EB22C2" w:rsidP="007E057C">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EB22C2" w:rsidP="00423D7A">
            <w:pPr>
              <w:bidi w:val="0"/>
              <w:rPr>
                <w:rFonts w:ascii="Times New Roman" w:hAnsi="Times New Roman"/>
                <w:sz w:val="20"/>
                <w:szCs w:val="20"/>
              </w:rPr>
            </w:pPr>
            <w:r w:rsidRPr="00EB22C2">
              <w:rPr>
                <w:rFonts w:ascii="Times New Roman" w:hAnsi="Times New Roman"/>
                <w:sz w:val="20"/>
                <w:szCs w:val="20"/>
              </w:rPr>
              <w:t xml:space="preserve">Čl. </w:t>
            </w:r>
            <w:r w:rsidRPr="00EB22C2" w:rsidR="00A109F4">
              <w:rPr>
                <w:rFonts w:ascii="Times New Roman" w:hAnsi="Times New Roman"/>
                <w:sz w:val="20"/>
                <w:szCs w:val="20"/>
              </w:rPr>
              <w:t>1 bod 3</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3. Článok 143 sa mení a dopĺňa takto:</w:t>
            </w:r>
          </w:p>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a) úvodné slová sa nahrádzajú takto:</w:t>
            </w:r>
          </w:p>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"1. Členské štáty oslobodia od dane tieto transakcie:";</w:t>
            </w:r>
          </w:p>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b) dopĺňa sa tento odsek:</w:t>
            </w:r>
          </w:p>
          <w:p w:rsidR="008D46DD" w:rsidRPr="00EB22C2" w:rsidP="00AC26A1">
            <w:pPr>
              <w:autoSpaceDE/>
              <w:autoSpaceDN/>
              <w:bidi w:val="0"/>
              <w:jc w:val="both"/>
              <w:rPr>
                <w:rFonts w:ascii="Times New Roman" w:hAnsi="Times New Roman"/>
                <w:sz w:val="20"/>
                <w:szCs w:val="20"/>
              </w:rPr>
            </w:pPr>
          </w:p>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"2. Oslobodenie od dane podľa odseku 1 písm. d) sa v prípadoch, keď po dovoze tovaru nasleduje dodanie tovaru oslobodeného od dane podľa článku 138 ods. 1 a článku 138 ods. 2 písm. c), uplatňuje iba vtedy, ak v čase dovozu dovozca poskytol príslušným orgánom členského štátu dovozu minimálne tieto informácie:</w:t>
            </w:r>
          </w:p>
          <w:p w:rsidR="00F2597E" w:rsidRPr="00EB22C2" w:rsidP="00AC26A1">
            <w:pPr>
              <w:autoSpaceDE/>
              <w:autoSpaceDN/>
              <w:bidi w:val="0"/>
              <w:jc w:val="both"/>
              <w:rPr>
                <w:rFonts w:ascii="Times New Roman" w:hAnsi="Times New Roman"/>
                <w:sz w:val="20"/>
                <w:szCs w:val="20"/>
              </w:rPr>
            </w:pPr>
          </w:p>
          <w:p w:rsidR="00F2597E" w:rsidRPr="00EB22C2" w:rsidP="00AC26A1">
            <w:pPr>
              <w:autoSpaceDE/>
              <w:autoSpaceDN/>
              <w:bidi w:val="0"/>
              <w:jc w:val="both"/>
              <w:rPr>
                <w:rFonts w:ascii="Times New Roman" w:hAnsi="Times New Roman"/>
                <w:sz w:val="20"/>
                <w:szCs w:val="20"/>
              </w:rPr>
            </w:pPr>
          </w:p>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a) svoje identifikačné číslo pre DPH pridelené v členskom štáte dovozu alebo identifikačné číslo pre DPH svojho daňového zástupcu, ktorý je povinný platiť DPH, pridelené v členskom štáte dovozu;</w:t>
            </w:r>
          </w:p>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b) identifikačné číslo pre DPH zákazníka, ktorému sa tovar dodáva v súlade s článkom 138 ods. 1, pridelené v inom členskom štáte alebo svoje vlastné identifikačné číslo pre DPH pridelené v členskom štáte, v ktorom sa odoslanie alebo preprava tovaru končí, keď sa tovar premiestňuje v súlade s článkom 138 ods. 2 písm. c);</w:t>
            </w:r>
          </w:p>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c) dôkaz, že dovážaný tovar je určený na prepravu alebo odoslanie z členského štátu dovozu do iného členského štátu.</w:t>
            </w:r>
          </w:p>
          <w:p w:rsidR="00A109F4"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Členské štáty však môžu ustanoviť, že dôkaz uvedený v písmene c) sa príslušným orgánom uvádza len na požiadanie."</w:t>
            </w:r>
          </w:p>
          <w:p w:rsidR="00423D7A" w:rsidRPr="00EB22C2" w:rsidP="00AC26A1">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EB22C2" w:rsidP="00423D7A">
            <w:pPr>
              <w:bidi w:val="0"/>
              <w:jc w:val="both"/>
              <w:rPr>
                <w:rFonts w:ascii="Times New Roman" w:hAnsi="Times New Roman"/>
                <w:sz w:val="20"/>
                <w:szCs w:val="20"/>
              </w:rPr>
            </w:pPr>
            <w:r w:rsidRPr="00EB22C2" w:rsidR="004B63D7">
              <w:rPr>
                <w:rFonts w:ascii="Times New Roman" w:hAnsi="Times New Roman"/>
                <w:sz w:val="20"/>
                <w:szCs w:val="20"/>
              </w:rPr>
              <w:t>N</w:t>
            </w: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r w:rsidRPr="00EB22C2">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FE4C37" w:rsidRPr="00EB22C2" w:rsidP="00423D7A">
            <w:pPr>
              <w:bidi w:val="0"/>
              <w:rPr>
                <w:rFonts w:ascii="Times New Roman" w:hAnsi="Times New Roman"/>
                <w:b/>
                <w:bCs/>
                <w:sz w:val="20"/>
                <w:szCs w:val="20"/>
              </w:rPr>
            </w:pPr>
          </w:p>
          <w:p w:rsidR="008D46DD" w:rsidRPr="00EB22C2" w:rsidP="00423D7A">
            <w:pPr>
              <w:bidi w:val="0"/>
              <w:rPr>
                <w:rFonts w:ascii="Times New Roman" w:hAnsi="Times New Roman"/>
                <w:b/>
                <w:bCs/>
                <w:sz w:val="20"/>
                <w:szCs w:val="20"/>
              </w:rPr>
            </w:pPr>
          </w:p>
          <w:p w:rsidR="008D46DD" w:rsidRPr="00EB22C2" w:rsidP="00423D7A">
            <w:pPr>
              <w:bidi w:val="0"/>
              <w:rPr>
                <w:rFonts w:ascii="Times New Roman" w:hAnsi="Times New Roman"/>
                <w:b/>
                <w:bCs/>
                <w:sz w:val="20"/>
                <w:szCs w:val="20"/>
              </w:rPr>
            </w:pPr>
          </w:p>
          <w:p w:rsidR="008D46DD" w:rsidRPr="00EB22C2" w:rsidP="00423D7A">
            <w:pPr>
              <w:bidi w:val="0"/>
              <w:rPr>
                <w:rFonts w:ascii="Times New Roman" w:hAnsi="Times New Roman"/>
                <w:b/>
                <w:bCs/>
                <w:sz w:val="20"/>
                <w:szCs w:val="20"/>
              </w:rPr>
            </w:pPr>
          </w:p>
          <w:p w:rsidR="008D46DD" w:rsidRPr="00EB22C2" w:rsidP="00423D7A">
            <w:pPr>
              <w:bidi w:val="0"/>
              <w:rPr>
                <w:rFonts w:ascii="Times New Roman" w:hAnsi="Times New Roman"/>
                <w:b/>
                <w:bCs/>
                <w:sz w:val="20"/>
                <w:szCs w:val="20"/>
              </w:rPr>
            </w:pPr>
          </w:p>
          <w:p w:rsidR="008D46DD" w:rsidRPr="00EB22C2" w:rsidP="008D46DD">
            <w:pPr>
              <w:bidi w:val="0"/>
              <w:rPr>
                <w:rFonts w:ascii="Times New Roman" w:hAnsi="Times New Roman"/>
                <w:sz w:val="20"/>
                <w:szCs w:val="20"/>
              </w:rPr>
            </w:pPr>
            <w:r w:rsidRPr="00EB22C2">
              <w:rPr>
                <w:rFonts w:ascii="Times New Roman" w:hAnsi="Times New Roman"/>
                <w:sz w:val="20"/>
                <w:szCs w:val="20"/>
              </w:rPr>
              <w:t>222/2004 Z.z.</w:t>
            </w:r>
          </w:p>
          <w:p w:rsidR="008D46DD" w:rsidRPr="00EB22C2" w:rsidP="008D46DD">
            <w:pPr>
              <w:bidi w:val="0"/>
              <w:rPr>
                <w:rFonts w:ascii="Times New Roman" w:hAnsi="Times New Roman"/>
                <w:b/>
                <w:bCs/>
                <w:sz w:val="20"/>
                <w:szCs w:val="20"/>
              </w:rPr>
            </w:pPr>
          </w:p>
          <w:p w:rsidR="00F2597E" w:rsidRPr="00EB22C2" w:rsidP="008D46DD">
            <w:pPr>
              <w:bidi w:val="0"/>
              <w:rPr>
                <w:rFonts w:ascii="Times New Roman" w:hAnsi="Times New Roman"/>
                <w:b/>
                <w:bCs/>
                <w:sz w:val="20"/>
                <w:szCs w:val="20"/>
              </w:rPr>
            </w:pPr>
          </w:p>
          <w:p w:rsidR="008D46DD" w:rsidRPr="00EB22C2" w:rsidP="008D46DD">
            <w:pPr>
              <w:bidi w:val="0"/>
              <w:rPr>
                <w:rFonts w:ascii="Times New Roman" w:hAnsi="Times New Roman"/>
                <w:b/>
                <w:bCs/>
                <w:sz w:val="20"/>
                <w:szCs w:val="20"/>
              </w:rPr>
            </w:pPr>
            <w:r w:rsidRPr="00EB22C2">
              <w:rPr>
                <w:rFonts w:ascii="Times New Roman" w:hAnsi="Times New Roman"/>
                <w:b/>
                <w:bCs/>
                <w:sz w:val="20"/>
                <w:szCs w:val="20"/>
              </w:rPr>
              <w:t>X/201</w:t>
            </w:r>
            <w:r w:rsidRPr="00EB22C2" w:rsidR="000B26F6">
              <w:rPr>
                <w:rFonts w:ascii="Times New Roman" w:hAnsi="Times New Roman"/>
                <w:b/>
                <w:bCs/>
                <w:sz w:val="20"/>
                <w:szCs w:val="20"/>
              </w:rPr>
              <w:t>0</w:t>
            </w:r>
            <w:r w:rsidRPr="00EB22C2">
              <w:rPr>
                <w:rFonts w:ascii="Times New Roman" w:hAnsi="Times New Roman"/>
                <w:b/>
                <w:bCs/>
                <w:sz w:val="20"/>
                <w:szCs w:val="20"/>
              </w:rPr>
              <w:t xml:space="preserve"> Z.z.</w:t>
            </w:r>
          </w:p>
          <w:p w:rsidR="008D46DD" w:rsidRPr="00EB22C2" w:rsidP="00423D7A">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4C37" w:rsidRPr="00EB22C2" w:rsidP="00423D7A">
            <w:pPr>
              <w:bidi w:val="0"/>
              <w:rPr>
                <w:rFonts w:ascii="Times New Roman" w:hAnsi="Times New Roman"/>
                <w:sz w:val="20"/>
                <w:szCs w:val="20"/>
              </w:rPr>
            </w:pPr>
          </w:p>
          <w:p w:rsidR="008D46DD" w:rsidRPr="00EB22C2" w:rsidP="00423D7A">
            <w:pPr>
              <w:bidi w:val="0"/>
              <w:rPr>
                <w:rFonts w:ascii="Times New Roman" w:hAnsi="Times New Roman"/>
                <w:sz w:val="20"/>
                <w:szCs w:val="20"/>
              </w:rPr>
            </w:pPr>
          </w:p>
          <w:p w:rsidR="008D46DD" w:rsidRPr="00EB22C2" w:rsidP="00423D7A">
            <w:pPr>
              <w:bidi w:val="0"/>
              <w:rPr>
                <w:rFonts w:ascii="Times New Roman" w:hAnsi="Times New Roman"/>
                <w:sz w:val="20"/>
                <w:szCs w:val="20"/>
              </w:rPr>
            </w:pPr>
          </w:p>
          <w:p w:rsidR="008D46DD" w:rsidRPr="00EB22C2" w:rsidP="00423D7A">
            <w:pPr>
              <w:bidi w:val="0"/>
              <w:rPr>
                <w:rFonts w:ascii="Times New Roman" w:hAnsi="Times New Roman"/>
                <w:sz w:val="20"/>
                <w:szCs w:val="20"/>
              </w:rPr>
            </w:pPr>
          </w:p>
          <w:p w:rsidR="008D46DD" w:rsidRPr="00EB22C2" w:rsidP="00423D7A">
            <w:pPr>
              <w:bidi w:val="0"/>
              <w:rPr>
                <w:rFonts w:ascii="Times New Roman" w:hAnsi="Times New Roman"/>
                <w:sz w:val="20"/>
                <w:szCs w:val="20"/>
              </w:rPr>
            </w:pPr>
          </w:p>
          <w:p w:rsidR="008D46DD" w:rsidRPr="00EB22C2" w:rsidP="00423D7A">
            <w:pPr>
              <w:bidi w:val="0"/>
              <w:rPr>
                <w:rFonts w:ascii="Times New Roman" w:hAnsi="Times New Roman"/>
                <w:sz w:val="20"/>
                <w:szCs w:val="20"/>
              </w:rPr>
            </w:pPr>
            <w:r w:rsidRPr="00EB22C2">
              <w:rPr>
                <w:rFonts w:ascii="Times New Roman" w:hAnsi="Times New Roman"/>
                <w:sz w:val="20"/>
                <w:szCs w:val="20"/>
              </w:rPr>
              <w:t>§ 48 ods. 3</w:t>
            </w:r>
          </w:p>
          <w:p w:rsidR="008D46DD" w:rsidRPr="00EB22C2" w:rsidP="00423D7A">
            <w:pPr>
              <w:bidi w:val="0"/>
              <w:rPr>
                <w:rFonts w:ascii="Times New Roman" w:hAnsi="Times New Roman"/>
                <w:sz w:val="20"/>
                <w:szCs w:val="20"/>
              </w:rPr>
            </w:pPr>
          </w:p>
          <w:p w:rsidR="008D46DD" w:rsidRPr="00EB22C2" w:rsidP="00423D7A">
            <w:pPr>
              <w:bidi w:val="0"/>
              <w:rPr>
                <w:rFonts w:ascii="Times New Roman" w:hAnsi="Times New Roman"/>
                <w:sz w:val="20"/>
                <w:szCs w:val="20"/>
              </w:rPr>
            </w:pPr>
          </w:p>
          <w:p w:rsidR="008D46DD" w:rsidRPr="00EB22C2" w:rsidP="00423D7A">
            <w:pPr>
              <w:bidi w:val="0"/>
              <w:rPr>
                <w:rFonts w:ascii="Times New Roman" w:hAnsi="Times New Roman"/>
                <w:sz w:val="20"/>
                <w:szCs w:val="20"/>
              </w:rPr>
            </w:pPr>
          </w:p>
          <w:p w:rsidR="008D46DD" w:rsidRPr="00EB22C2"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423D7A" w:rsidRPr="00EB22C2" w:rsidP="00423D7A">
            <w:pPr>
              <w:pStyle w:val="BodyText2"/>
              <w:bidi w:val="0"/>
              <w:spacing w:after="0" w:line="240" w:lineRule="auto"/>
              <w:jc w:val="both"/>
              <w:rPr>
                <w:rFonts w:ascii="Times New Roman" w:hAnsi="Times New Roman"/>
                <w:sz w:val="20"/>
                <w:szCs w:val="20"/>
              </w:rPr>
            </w:pPr>
          </w:p>
          <w:p w:rsidR="008D46DD" w:rsidRPr="00EB22C2" w:rsidP="00423D7A">
            <w:pPr>
              <w:pStyle w:val="BodyText2"/>
              <w:bidi w:val="0"/>
              <w:spacing w:after="0" w:line="240" w:lineRule="auto"/>
              <w:jc w:val="both"/>
              <w:rPr>
                <w:rFonts w:ascii="Times New Roman" w:hAnsi="Times New Roman"/>
                <w:sz w:val="20"/>
                <w:szCs w:val="20"/>
              </w:rPr>
            </w:pPr>
          </w:p>
          <w:p w:rsidR="008D46DD" w:rsidRPr="00EB22C2" w:rsidP="00423D7A">
            <w:pPr>
              <w:pStyle w:val="BodyText2"/>
              <w:bidi w:val="0"/>
              <w:spacing w:after="0" w:line="240" w:lineRule="auto"/>
              <w:jc w:val="both"/>
              <w:rPr>
                <w:rFonts w:ascii="Times New Roman" w:hAnsi="Times New Roman"/>
                <w:sz w:val="20"/>
                <w:szCs w:val="20"/>
              </w:rPr>
            </w:pPr>
          </w:p>
          <w:p w:rsidR="008D46DD" w:rsidRPr="00EB22C2" w:rsidP="00423D7A">
            <w:pPr>
              <w:pStyle w:val="BodyText2"/>
              <w:bidi w:val="0"/>
              <w:spacing w:after="0" w:line="240" w:lineRule="auto"/>
              <w:jc w:val="both"/>
              <w:rPr>
                <w:rFonts w:ascii="Times New Roman" w:hAnsi="Times New Roman"/>
                <w:sz w:val="20"/>
                <w:szCs w:val="20"/>
              </w:rPr>
            </w:pPr>
          </w:p>
          <w:p w:rsidR="008D46DD" w:rsidRPr="00EB22C2" w:rsidP="00423D7A">
            <w:pPr>
              <w:pStyle w:val="BodyText2"/>
              <w:bidi w:val="0"/>
              <w:spacing w:after="0" w:line="240" w:lineRule="auto"/>
              <w:jc w:val="both"/>
              <w:rPr>
                <w:rFonts w:ascii="Times New Roman" w:hAnsi="Times New Roman"/>
                <w:sz w:val="20"/>
                <w:szCs w:val="20"/>
              </w:rPr>
            </w:pPr>
          </w:p>
          <w:p w:rsidR="00F2597E" w:rsidRPr="00EB22C2" w:rsidP="00F2597E">
            <w:pPr>
              <w:pStyle w:val="Zkladntext"/>
              <w:bidi w:val="0"/>
              <w:spacing w:line="240" w:lineRule="atLeast"/>
              <w:jc w:val="both"/>
              <w:rPr>
                <w:rFonts w:ascii="Times New Roman" w:hAnsi="Times New Roman"/>
                <w:sz w:val="20"/>
                <w:szCs w:val="20"/>
              </w:rPr>
            </w:pPr>
            <w:r w:rsidRPr="00EB22C2">
              <w:rPr>
                <w:rFonts w:ascii="Times New Roman" w:hAnsi="Times New Roman"/>
                <w:sz w:val="20"/>
                <w:szCs w:val="20"/>
              </w:rPr>
              <w:t>(3) Dovoz tovaru, ktorý je odoslaný alebo prepravený z tretieho štátu a ktorého odoslanie alebo preprava sa skončí v inom členskom štáte, je oslobodený od dane za podmienky, ak u dovozcu (§ 69 ods. 8) je dodanie tohto tovaru z tuzemska do iného členského štátu oslobodené od dane podľa § 43 ods. 1 až 4.</w:t>
            </w:r>
          </w:p>
          <w:p w:rsidR="00F2597E" w:rsidRPr="00EB22C2" w:rsidP="00F2597E">
            <w:pPr>
              <w:pStyle w:val="Zkladntext"/>
              <w:bidi w:val="0"/>
              <w:spacing w:line="240" w:lineRule="atLeast"/>
              <w:jc w:val="both"/>
              <w:rPr>
                <w:rFonts w:ascii="Times New Roman" w:hAnsi="Times New Roman"/>
                <w:b/>
                <w:bCs/>
                <w:sz w:val="20"/>
                <w:szCs w:val="20"/>
              </w:rPr>
            </w:pPr>
            <w:r w:rsidRPr="00EB22C2">
              <w:rPr>
                <w:rFonts w:ascii="Times New Roman" w:hAnsi="Times New Roman"/>
                <w:b/>
                <w:bCs/>
                <w:sz w:val="20"/>
                <w:szCs w:val="20"/>
              </w:rPr>
              <w:t>Oslobodenie od dane sa uplatní, ak v čase dovozu tovaru dovozca</w:t>
            </w:r>
            <w:r w:rsidRPr="00EB22C2" w:rsidR="000564D4">
              <w:rPr>
                <w:rFonts w:ascii="Times New Roman" w:hAnsi="Times New Roman"/>
                <w:b/>
                <w:bCs/>
                <w:sz w:val="20"/>
                <w:szCs w:val="20"/>
              </w:rPr>
              <w:t xml:space="preserve"> alebo jeho zástupca </w:t>
            </w:r>
            <w:r w:rsidRPr="00EB22C2">
              <w:rPr>
                <w:rFonts w:ascii="Times New Roman" w:hAnsi="Times New Roman"/>
                <w:b/>
                <w:bCs/>
                <w:sz w:val="20"/>
                <w:szCs w:val="20"/>
              </w:rPr>
              <w:t>poskytne colnému orgánu najmenej tieto informácie:</w:t>
            </w:r>
          </w:p>
          <w:p w:rsidR="00F2597E" w:rsidRPr="00EB22C2" w:rsidP="00F2597E">
            <w:pPr>
              <w:pStyle w:val="Zkladntext"/>
              <w:numPr>
                <w:numId w:val="36"/>
              </w:numPr>
              <w:bidi w:val="0"/>
              <w:spacing w:line="240" w:lineRule="atLeast"/>
              <w:ind w:left="0" w:firstLine="0"/>
              <w:jc w:val="both"/>
              <w:rPr>
                <w:rFonts w:ascii="Times New Roman" w:hAnsi="Times New Roman"/>
                <w:b/>
                <w:bCs/>
                <w:sz w:val="20"/>
                <w:szCs w:val="20"/>
              </w:rPr>
            </w:pPr>
            <w:r w:rsidRPr="00EB22C2">
              <w:rPr>
                <w:rFonts w:ascii="Times New Roman" w:hAnsi="Times New Roman"/>
                <w:b/>
                <w:bCs/>
                <w:sz w:val="20"/>
                <w:szCs w:val="20"/>
              </w:rPr>
              <w:t xml:space="preserve">svoje </w:t>
            </w:r>
            <w:r w:rsidRPr="00EB22C2" w:rsidR="000A3E35">
              <w:rPr>
                <w:rFonts w:ascii="Times New Roman" w:hAnsi="Times New Roman"/>
                <w:b/>
                <w:bCs/>
                <w:sz w:val="20"/>
                <w:szCs w:val="20"/>
              </w:rPr>
              <w:t>identifikačné</w:t>
            </w:r>
            <w:r w:rsidRPr="00EB22C2">
              <w:rPr>
                <w:rFonts w:ascii="Times New Roman" w:hAnsi="Times New Roman"/>
                <w:b/>
                <w:bCs/>
                <w:sz w:val="20"/>
                <w:szCs w:val="20"/>
              </w:rPr>
              <w:t xml:space="preserve"> číslo pre daň pridelené v tuzemsku alebo osobitné identifikačné číslo pre daň daňového zástupcu, ktorý zastupuje dovozcu vo veci uplatnenia oslobodenia od dane podľa § 69a,</w:t>
            </w:r>
          </w:p>
          <w:p w:rsidR="00F2597E" w:rsidP="00F2597E">
            <w:pPr>
              <w:pStyle w:val="Zkladntext"/>
              <w:numPr>
                <w:numId w:val="36"/>
              </w:numPr>
              <w:bidi w:val="0"/>
              <w:spacing w:line="240" w:lineRule="atLeast"/>
              <w:ind w:left="0" w:firstLine="0"/>
              <w:jc w:val="both"/>
              <w:rPr>
                <w:rFonts w:ascii="Times New Roman" w:hAnsi="Times New Roman"/>
                <w:b/>
                <w:bCs/>
                <w:sz w:val="20"/>
                <w:szCs w:val="20"/>
              </w:rPr>
            </w:pPr>
            <w:r w:rsidRPr="00EB22C2">
              <w:rPr>
                <w:rFonts w:ascii="Times New Roman" w:hAnsi="Times New Roman"/>
                <w:b/>
                <w:bCs/>
                <w:sz w:val="20"/>
                <w:szCs w:val="20"/>
              </w:rPr>
              <w:t>identifikačné číslo pre daň zákazníka pridelené v inom členskom štáte alebo svoje identifikačné číslo pre daň pridelené v členskom štáte, v ktorom sa odoslanie alebo preprava tovaru skončí,</w:t>
            </w:r>
          </w:p>
          <w:p w:rsidR="00D236D9" w:rsidRPr="00D236D9" w:rsidP="00F2597E">
            <w:pPr>
              <w:pStyle w:val="Zkladntext"/>
              <w:numPr>
                <w:numId w:val="36"/>
              </w:numPr>
              <w:bidi w:val="0"/>
              <w:spacing w:line="240" w:lineRule="atLeast"/>
              <w:ind w:left="0" w:firstLine="0"/>
              <w:jc w:val="both"/>
              <w:rPr>
                <w:rFonts w:ascii="Times New Roman" w:hAnsi="Times New Roman"/>
                <w:b/>
                <w:bCs/>
                <w:sz w:val="20"/>
                <w:szCs w:val="20"/>
              </w:rPr>
            </w:pPr>
            <w:r w:rsidRPr="00D236D9">
              <w:rPr>
                <w:rFonts w:ascii="Times New Roman" w:hAnsi="Times New Roman"/>
                <w:b/>
                <w:sz w:val="20"/>
                <w:szCs w:val="20"/>
              </w:rPr>
              <w:t xml:space="preserve">dôkaz, že dovážaný tovar má byť odoslaný alebo prepravený z tuzemska do iného členského štátu, </w:t>
            </w:r>
            <w:r w:rsidR="00E841AD">
              <w:rPr>
                <w:rFonts w:ascii="Times New Roman" w:hAnsi="Times New Roman"/>
                <w:b/>
                <w:sz w:val="20"/>
                <w:szCs w:val="20"/>
              </w:rPr>
              <w:t xml:space="preserve">najmä </w:t>
            </w:r>
            <w:r w:rsidRPr="00D236D9">
              <w:rPr>
                <w:rFonts w:ascii="Times New Roman" w:hAnsi="Times New Roman"/>
                <w:b/>
                <w:sz w:val="20"/>
                <w:szCs w:val="20"/>
              </w:rPr>
              <w:t>zmluvu o preprave tovaru alebo prepravný do</w:t>
            </w:r>
            <w:r>
              <w:rPr>
                <w:rFonts w:ascii="Times New Roman" w:hAnsi="Times New Roman"/>
                <w:b/>
                <w:sz w:val="20"/>
                <w:szCs w:val="20"/>
              </w:rPr>
              <w:t>klad.</w:t>
            </w:r>
          </w:p>
          <w:p w:rsidR="008D46DD" w:rsidRPr="00D236D9" w:rsidP="00423D7A">
            <w:pPr>
              <w:pStyle w:val="BodyText2"/>
              <w:bidi w:val="0"/>
              <w:spacing w:after="0" w:line="240" w:lineRule="auto"/>
              <w:jc w:val="both"/>
              <w:rPr>
                <w:rFonts w:ascii="Times New Roman" w:hAnsi="Times New Roman"/>
                <w:sz w:val="20"/>
                <w:szCs w:val="20"/>
              </w:rPr>
            </w:pPr>
          </w:p>
          <w:p w:rsidR="008D46DD" w:rsidRPr="00EB22C2" w:rsidP="00423D7A">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EB22C2" w:rsidP="00423D7A">
            <w:pPr>
              <w:bidi w:val="0"/>
              <w:jc w:val="both"/>
              <w:rPr>
                <w:rFonts w:ascii="Times New Roman" w:hAnsi="Times New Roman"/>
                <w:sz w:val="20"/>
                <w:szCs w:val="20"/>
              </w:rPr>
            </w:pPr>
            <w:r w:rsidRPr="00EB22C2" w:rsidR="004B63D7">
              <w:rPr>
                <w:rFonts w:ascii="Times New Roman" w:hAnsi="Times New Roman"/>
                <w:sz w:val="20"/>
                <w:szCs w:val="20"/>
              </w:rPr>
              <w:t>Ú</w:t>
            </w: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p>
          <w:p w:rsidR="00CC7004" w:rsidRPr="00EB22C2" w:rsidP="00423D7A">
            <w:pPr>
              <w:bidi w:val="0"/>
              <w:jc w:val="both"/>
              <w:rPr>
                <w:rFonts w:ascii="Times New Roman" w:hAnsi="Times New Roman"/>
                <w:sz w:val="20"/>
                <w:szCs w:val="20"/>
              </w:rPr>
            </w:pPr>
            <w:r w:rsidRPr="00EB22C2">
              <w:rPr>
                <w:rFonts w:ascii="Times New Roman" w:hAnsi="Times New Roman"/>
                <w:sz w:val="20"/>
                <w:szCs w:val="20"/>
              </w:rPr>
              <w:t>n.a.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EB22C2"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EB22C2" w:rsidP="00423D7A">
            <w:pPr>
              <w:bidi w:val="0"/>
              <w:rPr>
                <w:rFonts w:ascii="Times New Roman" w:hAnsi="Times New Roman"/>
                <w:sz w:val="20"/>
                <w:szCs w:val="20"/>
              </w:rPr>
            </w:pPr>
            <w:r w:rsidRPr="00EB22C2">
              <w:rPr>
                <w:rFonts w:ascii="Times New Roman" w:hAnsi="Times New Roman"/>
                <w:sz w:val="20"/>
                <w:szCs w:val="20"/>
              </w:rPr>
              <w:t xml:space="preserve">Čl. </w:t>
            </w:r>
            <w:r w:rsidRPr="00EB22C2" w:rsidR="00260955">
              <w:rPr>
                <w:rFonts w:ascii="Times New Roman" w:hAnsi="Times New Roman"/>
                <w:sz w:val="20"/>
                <w:szCs w:val="20"/>
              </w:rPr>
              <w:t>2</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AC26A1"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Článok 2</w:t>
            </w:r>
          </w:p>
          <w:p w:rsidR="00AC26A1"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Transpozícia</w:t>
            </w:r>
          </w:p>
          <w:p w:rsidR="00AC26A1"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1. Členské štáty uvedú do účinnosti zákony, iné právne predpisy a správne opatrenia potrebné na dosiahnutie súladu s touto smernicou od 1. januára 2011. Komisii bezodkladne oznámia znenie týchto ustanovení.</w:t>
            </w:r>
          </w:p>
          <w:p w:rsidR="0031233F" w:rsidRPr="00EB22C2" w:rsidP="00AC26A1">
            <w:pPr>
              <w:autoSpaceDE/>
              <w:autoSpaceDN/>
              <w:bidi w:val="0"/>
              <w:jc w:val="both"/>
              <w:rPr>
                <w:rFonts w:ascii="Times New Roman" w:hAnsi="Times New Roman"/>
                <w:sz w:val="20"/>
                <w:szCs w:val="20"/>
              </w:rPr>
            </w:pPr>
          </w:p>
          <w:p w:rsidR="00AC26A1"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Členské štáty uvedú priamo v prijatých opatreniach alebo pri ich úradnom uverejnení odkaz na túto smernicu. Podrobnosti o odkaze upravia členské štáty.</w:t>
            </w:r>
          </w:p>
          <w:p w:rsidR="00AC26A1" w:rsidRPr="00EB22C2" w:rsidP="00AC26A1">
            <w:pPr>
              <w:autoSpaceDE/>
              <w:autoSpaceDN/>
              <w:bidi w:val="0"/>
              <w:jc w:val="both"/>
              <w:rPr>
                <w:rFonts w:ascii="Times New Roman" w:hAnsi="Times New Roman"/>
                <w:sz w:val="20"/>
                <w:szCs w:val="20"/>
              </w:rPr>
            </w:pPr>
            <w:r w:rsidRPr="00EB22C2">
              <w:rPr>
                <w:rFonts w:ascii="Times New Roman" w:hAnsi="Times New Roman"/>
                <w:sz w:val="20"/>
                <w:szCs w:val="20"/>
              </w:rPr>
              <w:t>2. Členské štáty oznámia Komisii znenie hlavných ustanovení vnútroštátnych právnych predpisov, ktoré prijmú v oblasti pôsobnosti tejto smernice.</w:t>
            </w:r>
          </w:p>
          <w:p w:rsidR="00423D7A" w:rsidRPr="00EB22C2" w:rsidP="002A1CFA">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EB22C2" w:rsidP="00423D7A">
            <w:pPr>
              <w:bidi w:val="0"/>
              <w:jc w:val="both"/>
              <w:rPr>
                <w:rFonts w:ascii="Times New Roman" w:hAnsi="Times New Roman"/>
                <w:sz w:val="20"/>
                <w:szCs w:val="20"/>
              </w:rPr>
            </w:pPr>
            <w:r w:rsidRPr="00EB22C2" w:rsidR="004B63D7">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31233F" w:rsidRPr="00EB22C2" w:rsidP="0031233F">
            <w:pPr>
              <w:bidi w:val="0"/>
              <w:rPr>
                <w:rFonts w:ascii="Times New Roman" w:hAnsi="Times New Roman"/>
                <w:b/>
                <w:bCs/>
                <w:sz w:val="20"/>
                <w:szCs w:val="20"/>
              </w:rPr>
            </w:pPr>
            <w:r w:rsidRPr="00EB22C2">
              <w:rPr>
                <w:rFonts w:ascii="Times New Roman" w:hAnsi="Times New Roman"/>
                <w:b/>
                <w:bCs/>
                <w:sz w:val="20"/>
                <w:szCs w:val="20"/>
              </w:rPr>
              <w:t>X/201</w:t>
            </w:r>
            <w:r w:rsidRPr="00EB22C2" w:rsidR="000B26F6">
              <w:rPr>
                <w:rFonts w:ascii="Times New Roman" w:hAnsi="Times New Roman"/>
                <w:b/>
                <w:bCs/>
                <w:sz w:val="20"/>
                <w:szCs w:val="20"/>
              </w:rPr>
              <w:t>0</w:t>
            </w:r>
            <w:r w:rsidRPr="00EB22C2">
              <w:rPr>
                <w:rFonts w:ascii="Times New Roman" w:hAnsi="Times New Roman"/>
                <w:b/>
                <w:bCs/>
                <w:sz w:val="20"/>
                <w:szCs w:val="20"/>
              </w:rPr>
              <w:t xml:space="preserve"> Z.z.</w:t>
            </w:r>
          </w:p>
          <w:p w:rsidR="0031233F" w:rsidRPr="00EB22C2" w:rsidP="0031233F">
            <w:pPr>
              <w:bidi w:val="0"/>
              <w:rPr>
                <w:rFonts w:ascii="Times New Roman" w:hAnsi="Times New Roman"/>
                <w:b/>
                <w:bCs/>
                <w:sz w:val="20"/>
                <w:szCs w:val="20"/>
              </w:rPr>
            </w:pPr>
          </w:p>
          <w:p w:rsidR="0031233F" w:rsidRPr="00EB22C2" w:rsidP="0031233F">
            <w:pPr>
              <w:bidi w:val="0"/>
              <w:rPr>
                <w:rFonts w:ascii="Times New Roman" w:hAnsi="Times New Roman"/>
                <w:b/>
                <w:bCs/>
                <w:sz w:val="20"/>
                <w:szCs w:val="20"/>
              </w:rPr>
            </w:pPr>
          </w:p>
          <w:p w:rsidR="0031233F" w:rsidRPr="00EB22C2" w:rsidP="0031233F">
            <w:pPr>
              <w:bidi w:val="0"/>
              <w:rPr>
                <w:rFonts w:ascii="Times New Roman" w:hAnsi="Times New Roman"/>
                <w:b/>
                <w:bCs/>
                <w:sz w:val="20"/>
                <w:szCs w:val="20"/>
              </w:rPr>
            </w:pPr>
          </w:p>
          <w:p w:rsidR="0031233F" w:rsidRPr="00EB22C2" w:rsidP="0031233F">
            <w:pPr>
              <w:bidi w:val="0"/>
              <w:rPr>
                <w:rFonts w:ascii="Times New Roman" w:hAnsi="Times New Roman"/>
                <w:b/>
                <w:bCs/>
                <w:sz w:val="20"/>
                <w:szCs w:val="20"/>
              </w:rPr>
            </w:pPr>
          </w:p>
          <w:p w:rsidR="0031233F" w:rsidRPr="00EB22C2" w:rsidP="0031233F">
            <w:pPr>
              <w:bidi w:val="0"/>
              <w:rPr>
                <w:rFonts w:ascii="Times New Roman" w:hAnsi="Times New Roman"/>
                <w:b/>
                <w:bCs/>
                <w:sz w:val="20"/>
                <w:szCs w:val="20"/>
              </w:rPr>
            </w:pPr>
          </w:p>
          <w:p w:rsidR="0031233F" w:rsidRPr="00EB22C2" w:rsidP="0031233F">
            <w:pPr>
              <w:bidi w:val="0"/>
              <w:rPr>
                <w:rFonts w:ascii="Times New Roman" w:hAnsi="Times New Roman"/>
                <w:b/>
                <w:bCs/>
                <w:sz w:val="20"/>
                <w:szCs w:val="20"/>
              </w:rPr>
            </w:pPr>
            <w:r w:rsidRPr="00EB22C2">
              <w:rPr>
                <w:rFonts w:ascii="Times New Roman" w:hAnsi="Times New Roman"/>
                <w:b/>
                <w:bCs/>
                <w:sz w:val="20"/>
                <w:szCs w:val="20"/>
              </w:rPr>
              <w:t>X/201</w:t>
            </w:r>
            <w:r w:rsidRPr="00EB22C2" w:rsidR="000B26F6">
              <w:rPr>
                <w:rFonts w:ascii="Times New Roman" w:hAnsi="Times New Roman"/>
                <w:b/>
                <w:bCs/>
                <w:sz w:val="20"/>
                <w:szCs w:val="20"/>
              </w:rPr>
              <w:t>0</w:t>
            </w:r>
            <w:r w:rsidRPr="00EB22C2">
              <w:rPr>
                <w:rFonts w:ascii="Times New Roman" w:hAnsi="Times New Roman"/>
                <w:b/>
                <w:bCs/>
                <w:sz w:val="20"/>
                <w:szCs w:val="20"/>
              </w:rPr>
              <w:t xml:space="preserve"> Z.z.</w:t>
            </w:r>
          </w:p>
          <w:p w:rsidR="0046394F" w:rsidRPr="00EB22C2" w:rsidP="00423D7A">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1233F" w:rsidRPr="00EB22C2" w:rsidP="0031233F">
            <w:pPr>
              <w:bidi w:val="0"/>
              <w:rPr>
                <w:rFonts w:ascii="Times New Roman" w:hAnsi="Times New Roman"/>
                <w:sz w:val="20"/>
                <w:szCs w:val="20"/>
              </w:rPr>
            </w:pPr>
            <w:r w:rsidRPr="00EB22C2">
              <w:rPr>
                <w:rFonts w:ascii="Times New Roman" w:hAnsi="Times New Roman"/>
                <w:sz w:val="20"/>
                <w:szCs w:val="20"/>
              </w:rPr>
              <w:t>Čl. II</w:t>
            </w:r>
          </w:p>
          <w:p w:rsidR="0031233F" w:rsidRPr="00EB22C2" w:rsidP="0031233F">
            <w:pPr>
              <w:bidi w:val="0"/>
              <w:rPr>
                <w:rFonts w:ascii="Times New Roman" w:hAnsi="Times New Roman"/>
                <w:sz w:val="20"/>
                <w:szCs w:val="20"/>
              </w:rPr>
            </w:pPr>
          </w:p>
          <w:p w:rsidR="0031233F" w:rsidRPr="00EB22C2" w:rsidP="0031233F">
            <w:pPr>
              <w:bidi w:val="0"/>
              <w:rPr>
                <w:rFonts w:ascii="Times New Roman" w:hAnsi="Times New Roman"/>
                <w:sz w:val="20"/>
                <w:szCs w:val="20"/>
              </w:rPr>
            </w:pPr>
          </w:p>
          <w:p w:rsidR="0031233F" w:rsidRPr="00EB22C2" w:rsidP="0031233F">
            <w:pPr>
              <w:bidi w:val="0"/>
              <w:rPr>
                <w:rFonts w:ascii="Times New Roman" w:hAnsi="Times New Roman"/>
                <w:sz w:val="20"/>
                <w:szCs w:val="20"/>
              </w:rPr>
            </w:pPr>
          </w:p>
          <w:p w:rsidR="0031233F" w:rsidRPr="00EB22C2" w:rsidP="0031233F">
            <w:pPr>
              <w:bidi w:val="0"/>
              <w:rPr>
                <w:rFonts w:ascii="Times New Roman" w:hAnsi="Times New Roman"/>
                <w:sz w:val="20"/>
                <w:szCs w:val="20"/>
              </w:rPr>
            </w:pPr>
          </w:p>
          <w:p w:rsidR="0031233F" w:rsidRPr="00EB22C2" w:rsidP="0031233F">
            <w:pPr>
              <w:bidi w:val="0"/>
              <w:rPr>
                <w:rFonts w:ascii="Times New Roman" w:hAnsi="Times New Roman"/>
                <w:sz w:val="20"/>
                <w:szCs w:val="20"/>
              </w:rPr>
            </w:pPr>
          </w:p>
          <w:p w:rsidR="0031233F" w:rsidRPr="00EB22C2" w:rsidP="0031233F">
            <w:pPr>
              <w:bidi w:val="0"/>
              <w:rPr>
                <w:rFonts w:ascii="Times New Roman" w:hAnsi="Times New Roman"/>
                <w:sz w:val="20"/>
                <w:szCs w:val="20"/>
              </w:rPr>
            </w:pPr>
            <w:r w:rsidRPr="00EB22C2">
              <w:rPr>
                <w:rFonts w:ascii="Times New Roman" w:hAnsi="Times New Roman"/>
                <w:sz w:val="20"/>
                <w:szCs w:val="20"/>
              </w:rPr>
              <w:t>Príloha č. 6</w:t>
            </w:r>
          </w:p>
          <w:p w:rsidR="0046394F" w:rsidRPr="00EB22C2"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31233F" w:rsidRPr="00EB22C2" w:rsidP="0031233F">
            <w:pPr>
              <w:pStyle w:val="Zkladntext"/>
              <w:bidi w:val="0"/>
              <w:jc w:val="both"/>
              <w:rPr>
                <w:rFonts w:ascii="Times New Roman" w:hAnsi="Times New Roman"/>
                <w:b/>
                <w:bCs/>
                <w:sz w:val="20"/>
                <w:szCs w:val="20"/>
              </w:rPr>
            </w:pPr>
            <w:r w:rsidRPr="00EB22C2">
              <w:rPr>
                <w:rFonts w:ascii="Times New Roman" w:hAnsi="Times New Roman"/>
                <w:b/>
                <w:bCs/>
                <w:sz w:val="20"/>
                <w:szCs w:val="20"/>
              </w:rPr>
              <w:t>Tento zákon nadobúda účinnosť 1. januára 2011.</w:t>
            </w:r>
          </w:p>
          <w:p w:rsidR="0031233F" w:rsidRPr="00EB22C2" w:rsidP="0031233F">
            <w:pPr>
              <w:pStyle w:val="BodyText2"/>
              <w:bidi w:val="0"/>
              <w:spacing w:after="0" w:line="240" w:lineRule="auto"/>
              <w:jc w:val="both"/>
              <w:rPr>
                <w:rFonts w:ascii="Times New Roman" w:hAnsi="Times New Roman"/>
                <w:b/>
                <w:bCs/>
                <w:sz w:val="20"/>
                <w:szCs w:val="20"/>
              </w:rPr>
            </w:pPr>
          </w:p>
          <w:p w:rsidR="0031233F" w:rsidRPr="00EB22C2" w:rsidP="0031233F">
            <w:pPr>
              <w:pStyle w:val="BodyText2"/>
              <w:bidi w:val="0"/>
              <w:spacing w:after="0" w:line="240" w:lineRule="auto"/>
              <w:jc w:val="both"/>
              <w:rPr>
                <w:rFonts w:ascii="Times New Roman" w:hAnsi="Times New Roman"/>
                <w:b/>
                <w:bCs/>
                <w:sz w:val="20"/>
                <w:szCs w:val="20"/>
              </w:rPr>
            </w:pPr>
          </w:p>
          <w:p w:rsidR="0031233F" w:rsidRPr="00EB22C2" w:rsidP="0031233F">
            <w:pPr>
              <w:pStyle w:val="BodyText2"/>
              <w:bidi w:val="0"/>
              <w:spacing w:after="0" w:line="240" w:lineRule="auto"/>
              <w:jc w:val="both"/>
              <w:rPr>
                <w:rFonts w:ascii="Times New Roman" w:hAnsi="Times New Roman"/>
                <w:b/>
                <w:bCs/>
                <w:sz w:val="20"/>
                <w:szCs w:val="20"/>
              </w:rPr>
            </w:pPr>
          </w:p>
          <w:p w:rsidR="0031233F" w:rsidRPr="00EB22C2" w:rsidP="0031233F">
            <w:pPr>
              <w:pStyle w:val="BodyText2"/>
              <w:bidi w:val="0"/>
              <w:spacing w:after="0" w:line="240" w:lineRule="auto"/>
              <w:jc w:val="both"/>
              <w:rPr>
                <w:rFonts w:ascii="Times New Roman" w:hAnsi="Times New Roman"/>
                <w:b/>
                <w:bCs/>
                <w:sz w:val="20"/>
                <w:szCs w:val="20"/>
              </w:rPr>
            </w:pPr>
          </w:p>
          <w:p w:rsidR="0031233F" w:rsidRPr="00EB22C2" w:rsidP="0031233F">
            <w:pPr>
              <w:pStyle w:val="BodyText2"/>
              <w:bidi w:val="0"/>
              <w:spacing w:after="0" w:line="240" w:lineRule="auto"/>
              <w:jc w:val="both"/>
              <w:rPr>
                <w:rFonts w:ascii="Times New Roman" w:hAnsi="Times New Roman"/>
                <w:b/>
                <w:bCs/>
                <w:sz w:val="20"/>
                <w:szCs w:val="20"/>
              </w:rPr>
            </w:pPr>
          </w:p>
          <w:p w:rsidR="0031233F" w:rsidRPr="00EB22C2" w:rsidP="0031233F">
            <w:pPr>
              <w:pStyle w:val="BodyText2"/>
              <w:tabs>
                <w:tab w:val="left" w:pos="180"/>
              </w:tabs>
              <w:bidi w:val="0"/>
              <w:spacing w:after="0" w:line="240" w:lineRule="auto"/>
              <w:jc w:val="both"/>
              <w:rPr>
                <w:rFonts w:ascii="Times New Roman" w:hAnsi="Times New Roman"/>
                <w:b/>
                <w:bCs/>
                <w:sz w:val="20"/>
                <w:szCs w:val="20"/>
              </w:rPr>
            </w:pPr>
            <w:r w:rsidRPr="00EB22C2">
              <w:rPr>
                <w:rFonts w:ascii="Times New Roman" w:hAnsi="Times New Roman"/>
                <w:b/>
                <w:bCs/>
                <w:sz w:val="20"/>
                <w:szCs w:val="20"/>
              </w:rPr>
              <w:t>Zoznam preberaných právnych aktov Európskej únie</w:t>
            </w:r>
          </w:p>
          <w:p w:rsidR="0031233F" w:rsidRPr="00EB22C2" w:rsidP="0031233F">
            <w:pPr>
              <w:pStyle w:val="BodyText2"/>
              <w:tabs>
                <w:tab w:val="left" w:pos="180"/>
              </w:tabs>
              <w:bidi w:val="0"/>
              <w:spacing w:after="0" w:line="240" w:lineRule="auto"/>
              <w:jc w:val="both"/>
              <w:rPr>
                <w:rFonts w:ascii="Times New Roman" w:hAnsi="Times New Roman"/>
                <w:b/>
                <w:bCs/>
                <w:sz w:val="20"/>
                <w:szCs w:val="20"/>
              </w:rPr>
            </w:pPr>
            <w:r w:rsidRPr="00EB22C2">
              <w:rPr>
                <w:rFonts w:ascii="Times New Roman" w:hAnsi="Times New Roman"/>
                <w:b/>
                <w:bCs/>
                <w:sz w:val="20"/>
                <w:szCs w:val="20"/>
              </w:rPr>
              <w:t>1</w:t>
            </w:r>
            <w:r w:rsidRPr="00EB22C2" w:rsidR="000564D4">
              <w:rPr>
                <w:rFonts w:ascii="Times New Roman" w:hAnsi="Times New Roman"/>
                <w:b/>
                <w:bCs/>
                <w:sz w:val="20"/>
                <w:szCs w:val="20"/>
              </w:rPr>
              <w:t>0</w:t>
            </w:r>
            <w:r w:rsidRPr="00EB22C2">
              <w:rPr>
                <w:rFonts w:ascii="Times New Roman" w:hAnsi="Times New Roman"/>
                <w:b/>
                <w:bCs/>
                <w:sz w:val="20"/>
                <w:szCs w:val="20"/>
              </w:rPr>
              <w:t xml:space="preserve">. Smernica Rady 2009/69/ES z 25. 6. 2009, ktorou sa mení a dopĺňa smernica 2006/112/ES o spoločnom systéme dane z pridanej hodnoty, pokiaľ ide o daňové úniky súvisiace s dovozom (Ú. v. EÚ L 175, 4. 7. 2009). </w:t>
            </w:r>
          </w:p>
          <w:p w:rsidR="0046394F" w:rsidRPr="00EB22C2" w:rsidP="000B26F6">
            <w:pPr>
              <w:pStyle w:val="BodyText2"/>
              <w:tabs>
                <w:tab w:val="left" w:pos="180"/>
              </w:tabs>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EB22C2" w:rsidP="00423D7A">
            <w:pPr>
              <w:bidi w:val="0"/>
              <w:jc w:val="both"/>
              <w:rPr>
                <w:rFonts w:ascii="Times New Roman" w:hAnsi="Times New Roman"/>
                <w:sz w:val="20"/>
                <w:szCs w:val="20"/>
              </w:rPr>
            </w:pPr>
            <w:r w:rsidRPr="00EB22C2" w:rsidR="004B63D7">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EB22C2"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EB22C2" w:rsidP="00423D7A">
            <w:pPr>
              <w:bidi w:val="0"/>
              <w:rPr>
                <w:rFonts w:ascii="Times New Roman" w:hAnsi="Times New Roman"/>
                <w:sz w:val="20"/>
                <w:szCs w:val="20"/>
              </w:rPr>
            </w:pPr>
            <w:r w:rsidRPr="00EB22C2">
              <w:rPr>
                <w:rFonts w:ascii="Times New Roman" w:hAnsi="Times New Roman"/>
                <w:sz w:val="20"/>
                <w:szCs w:val="20"/>
              </w:rPr>
              <w:t xml:space="preserve">Čl. </w:t>
            </w:r>
            <w:r w:rsidRPr="00EB22C2" w:rsidR="002A1CFA">
              <w:rPr>
                <w:rFonts w:ascii="Times New Roman" w:hAnsi="Times New Roman"/>
                <w:sz w:val="20"/>
                <w:szCs w:val="20"/>
              </w:rPr>
              <w:t>3</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2A1CFA" w:rsidRPr="00EB22C2" w:rsidP="002A1CFA">
            <w:pPr>
              <w:autoSpaceDE/>
              <w:autoSpaceDN/>
              <w:bidi w:val="0"/>
              <w:jc w:val="both"/>
              <w:rPr>
                <w:rFonts w:ascii="Times New Roman" w:hAnsi="Times New Roman"/>
                <w:sz w:val="20"/>
                <w:szCs w:val="20"/>
              </w:rPr>
            </w:pPr>
            <w:r w:rsidRPr="00EB22C2">
              <w:rPr>
                <w:rFonts w:ascii="Times New Roman" w:hAnsi="Times New Roman"/>
                <w:sz w:val="20"/>
                <w:szCs w:val="20"/>
              </w:rPr>
              <w:t>Článok 3</w:t>
            </w:r>
          </w:p>
          <w:p w:rsidR="002A1CFA" w:rsidRPr="00EB22C2" w:rsidP="002A1CFA">
            <w:pPr>
              <w:autoSpaceDE/>
              <w:autoSpaceDN/>
              <w:bidi w:val="0"/>
              <w:jc w:val="both"/>
              <w:rPr>
                <w:rFonts w:ascii="Times New Roman" w:hAnsi="Times New Roman"/>
                <w:sz w:val="20"/>
                <w:szCs w:val="20"/>
              </w:rPr>
            </w:pPr>
            <w:r w:rsidRPr="00EB22C2">
              <w:rPr>
                <w:rFonts w:ascii="Times New Roman" w:hAnsi="Times New Roman"/>
                <w:sz w:val="20"/>
                <w:szCs w:val="20"/>
              </w:rPr>
              <w:t>Táto smernica nadobúda účinnosť dvadsiatym dňom po jej uverejnení v Úradnom vestníku Európskej únie.</w:t>
            </w:r>
          </w:p>
          <w:p w:rsidR="00423D7A" w:rsidRPr="00EB22C2" w:rsidP="00423D7A">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EB22C2" w:rsidP="00423D7A">
            <w:pPr>
              <w:bidi w:val="0"/>
              <w:jc w:val="both"/>
              <w:rPr>
                <w:rFonts w:ascii="Times New Roman" w:hAnsi="Times New Roman"/>
                <w:sz w:val="20"/>
                <w:szCs w:val="20"/>
              </w:rPr>
            </w:pPr>
            <w:r w:rsidRPr="00EB22C2" w:rsidR="002A1CFA">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9B7155" w:rsidRPr="00EB22C2" w:rsidP="009B7155">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7155" w:rsidRPr="00EB22C2"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9B7155" w:rsidRPr="00EB22C2" w:rsidP="00423D7A">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EB22C2" w:rsidP="00423D7A">
            <w:pPr>
              <w:bidi w:val="0"/>
              <w:jc w:val="both"/>
              <w:rPr>
                <w:rFonts w:ascii="Times New Roman" w:hAnsi="Times New Roman"/>
                <w:sz w:val="20"/>
                <w:szCs w:val="20"/>
              </w:rPr>
            </w:pPr>
            <w:r w:rsidRPr="00EB22C2" w:rsidR="002A1CFA">
              <w:rPr>
                <w:rFonts w:ascii="Times New Roman" w:hAnsi="Times New Roman"/>
                <w:sz w:val="20"/>
                <w:szCs w:val="20"/>
              </w:rPr>
              <w:t>n.a.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EB22C2"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EB22C2" w:rsidP="00423D7A">
            <w:pPr>
              <w:bidi w:val="0"/>
              <w:rPr>
                <w:rFonts w:ascii="Times New Roman" w:hAnsi="Times New Roman"/>
                <w:sz w:val="20"/>
                <w:szCs w:val="20"/>
              </w:rPr>
            </w:pPr>
            <w:r w:rsidRPr="00EB22C2">
              <w:rPr>
                <w:rFonts w:ascii="Times New Roman" w:hAnsi="Times New Roman"/>
                <w:sz w:val="20"/>
                <w:szCs w:val="20"/>
              </w:rPr>
              <w:t xml:space="preserve">Čl. </w:t>
            </w:r>
            <w:r w:rsidRPr="00EB22C2" w:rsidR="002A1CFA">
              <w:rPr>
                <w:rFonts w:ascii="Times New Roman" w:hAnsi="Times New Roman"/>
                <w:sz w:val="20"/>
                <w:szCs w:val="20"/>
              </w:rPr>
              <w:t>4</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2A1CFA" w:rsidRPr="00EB22C2" w:rsidP="002A1CFA">
            <w:pPr>
              <w:autoSpaceDE/>
              <w:autoSpaceDN/>
              <w:bidi w:val="0"/>
              <w:jc w:val="both"/>
              <w:rPr>
                <w:rFonts w:ascii="Times New Roman" w:hAnsi="Times New Roman"/>
                <w:sz w:val="20"/>
                <w:szCs w:val="20"/>
              </w:rPr>
            </w:pPr>
            <w:r w:rsidRPr="00EB22C2">
              <w:rPr>
                <w:rFonts w:ascii="Times New Roman" w:hAnsi="Times New Roman"/>
                <w:sz w:val="20"/>
                <w:szCs w:val="20"/>
              </w:rPr>
              <w:t>Článok 4</w:t>
            </w:r>
          </w:p>
          <w:p w:rsidR="002A1CFA" w:rsidRPr="00EB22C2" w:rsidP="002A1CFA">
            <w:pPr>
              <w:autoSpaceDE/>
              <w:autoSpaceDN/>
              <w:bidi w:val="0"/>
              <w:jc w:val="both"/>
              <w:rPr>
                <w:rFonts w:ascii="Times New Roman" w:hAnsi="Times New Roman"/>
                <w:sz w:val="20"/>
                <w:szCs w:val="20"/>
              </w:rPr>
            </w:pPr>
            <w:r w:rsidRPr="00EB22C2">
              <w:rPr>
                <w:rFonts w:ascii="Times New Roman" w:hAnsi="Times New Roman"/>
                <w:sz w:val="20"/>
                <w:szCs w:val="20"/>
              </w:rPr>
              <w:t>Táto smernica je určená členským štátom.</w:t>
            </w:r>
          </w:p>
          <w:p w:rsidR="002A1CFA" w:rsidRPr="00EB22C2" w:rsidP="002A1CFA">
            <w:pPr>
              <w:autoSpaceDE/>
              <w:autoSpaceDN/>
              <w:bidi w:val="0"/>
              <w:jc w:val="both"/>
              <w:rPr>
                <w:rFonts w:ascii="Times New Roman" w:hAnsi="Times New Roman"/>
                <w:sz w:val="20"/>
                <w:szCs w:val="20"/>
              </w:rPr>
            </w:pPr>
            <w:r w:rsidRPr="00EB22C2">
              <w:rPr>
                <w:rFonts w:ascii="Times New Roman" w:hAnsi="Times New Roman"/>
                <w:sz w:val="20"/>
                <w:szCs w:val="20"/>
              </w:rPr>
              <w:t>V Luxemburgu 25. júna 2009</w:t>
            </w:r>
          </w:p>
          <w:p w:rsidR="00423D7A" w:rsidRPr="00EB22C2" w:rsidP="00423D7A">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EB22C2" w:rsidP="00423D7A">
            <w:pPr>
              <w:bidi w:val="0"/>
              <w:jc w:val="both"/>
              <w:rPr>
                <w:rFonts w:ascii="Times New Roman" w:hAnsi="Times New Roman"/>
                <w:sz w:val="20"/>
                <w:szCs w:val="20"/>
              </w:rPr>
            </w:pPr>
            <w:r w:rsidRPr="00EB22C2" w:rsidR="002A1CFA">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23D7A" w:rsidRPr="00EB22C2" w:rsidP="0046394F">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6394F" w:rsidRPr="00EB22C2"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46394F" w:rsidRPr="00EB22C2" w:rsidP="00423D7A">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EB22C2" w:rsidP="00423D7A">
            <w:pPr>
              <w:bidi w:val="0"/>
              <w:jc w:val="both"/>
              <w:rPr>
                <w:rFonts w:ascii="Times New Roman" w:hAnsi="Times New Roman"/>
                <w:sz w:val="20"/>
                <w:szCs w:val="20"/>
              </w:rPr>
            </w:pPr>
            <w:r w:rsidRPr="00EB22C2" w:rsidR="002A1CFA">
              <w:rPr>
                <w:rFonts w:ascii="Times New Roman" w:hAnsi="Times New Roman"/>
                <w:sz w:val="20"/>
                <w:szCs w:val="20"/>
              </w:rPr>
              <w:t>n.a.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EB22C2" w:rsidP="00423D7A">
            <w:pPr>
              <w:pStyle w:val="Heading1"/>
              <w:bidi w:val="0"/>
              <w:jc w:val="both"/>
              <w:rPr>
                <w:rFonts w:ascii="Times New Roman" w:hAnsi="Times New Roman"/>
                <w:b w:val="0"/>
                <w:bCs w:val="0"/>
                <w:sz w:val="20"/>
                <w:szCs w:val="20"/>
              </w:rPr>
            </w:pPr>
          </w:p>
        </w:tc>
      </w:tr>
    </w:tbl>
    <w:p w:rsidR="003D3D63" w:rsidRPr="00EB22C2" w:rsidP="007E057C">
      <w:pPr>
        <w:autoSpaceDE/>
        <w:autoSpaceDN/>
        <w:bidi w:val="0"/>
        <w:jc w:val="both"/>
        <w:rPr>
          <w:rFonts w:ascii="Times New Roman" w:hAnsi="Times New Roman"/>
          <w:sz w:val="20"/>
          <w:szCs w:val="20"/>
        </w:rPr>
      </w:pP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4140"/>
        <w:gridCol w:w="2410"/>
        <w:gridCol w:w="677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3D3D63" w:rsidRPr="00EB22C2">
            <w:pPr>
              <w:pStyle w:val="Normlny"/>
              <w:autoSpaceDE/>
              <w:autoSpaceDN/>
              <w:bidi w:val="0"/>
              <w:spacing w:after="60"/>
              <w:rPr>
                <w:rFonts w:ascii="Times New Roman" w:hAnsi="Times New Roman"/>
                <w:lang w:eastAsia="sk-SK"/>
              </w:rPr>
            </w:pPr>
            <w:r w:rsidRPr="00EB22C2">
              <w:rPr>
                <w:rFonts w:ascii="Times New Roman" w:hAnsi="Times New Roman"/>
                <w:lang w:eastAsia="sk-SK"/>
              </w:rPr>
              <w:t>V stĺpci (1):</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Č – článok</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O – odsek</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V – veta</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P – písmeno (číslo)</w:t>
            </w:r>
          </w:p>
          <w:p w:rsidR="003D3D63" w:rsidRPr="00EB22C2">
            <w:pPr>
              <w:autoSpaceDE/>
              <w:autoSpaceDN/>
              <w:bidi w:val="0"/>
              <w:rPr>
                <w:rFonts w:ascii="Times New Roman" w:hAnsi="Times New Roman"/>
                <w:sz w:val="20"/>
                <w:szCs w:val="20"/>
              </w:rPr>
            </w:pPr>
          </w:p>
        </w:tc>
        <w:tc>
          <w:tcPr>
            <w:tcW w:w="4140" w:type="dxa"/>
            <w:tcBorders>
              <w:top w:val="nil"/>
              <w:left w:val="nil"/>
              <w:bottom w:val="nil"/>
              <w:right w:val="nil"/>
            </w:tcBorders>
            <w:textDirection w:val="lrTb"/>
            <w:vAlign w:val="top"/>
          </w:tcPr>
          <w:p w:rsidR="003D3D63" w:rsidRPr="00EB22C2">
            <w:pPr>
              <w:pStyle w:val="Normlny"/>
              <w:autoSpaceDE/>
              <w:autoSpaceDN/>
              <w:bidi w:val="0"/>
              <w:spacing w:after="60"/>
              <w:rPr>
                <w:rFonts w:ascii="Times New Roman" w:hAnsi="Times New Roman"/>
                <w:lang w:eastAsia="sk-SK"/>
              </w:rPr>
            </w:pPr>
            <w:r w:rsidRPr="00EB22C2">
              <w:rPr>
                <w:rFonts w:ascii="Times New Roman" w:hAnsi="Times New Roman"/>
                <w:lang w:eastAsia="sk-SK"/>
              </w:rPr>
              <w:t>V stĺpci (3):</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N – bežná transpozícia</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O – transpozícia s možnosťou voľby</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D – transpozícia podľa úvahy (dobrovoľná)</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n.a. – transpozícia sa neuskutočňuje</w:t>
            </w:r>
          </w:p>
        </w:tc>
        <w:tc>
          <w:tcPr>
            <w:tcW w:w="2410" w:type="dxa"/>
            <w:tcBorders>
              <w:top w:val="nil"/>
              <w:left w:val="nil"/>
              <w:bottom w:val="nil"/>
              <w:right w:val="nil"/>
            </w:tcBorders>
            <w:textDirection w:val="lrTb"/>
            <w:vAlign w:val="top"/>
          </w:tcPr>
          <w:p w:rsidR="003D3D63" w:rsidRPr="00EB22C2">
            <w:pPr>
              <w:pStyle w:val="Normlny"/>
              <w:autoSpaceDE/>
              <w:autoSpaceDN/>
              <w:bidi w:val="0"/>
              <w:spacing w:after="60"/>
              <w:rPr>
                <w:rFonts w:ascii="Times New Roman" w:hAnsi="Times New Roman"/>
                <w:lang w:eastAsia="sk-SK"/>
              </w:rPr>
            </w:pPr>
            <w:r w:rsidRPr="00EB22C2">
              <w:rPr>
                <w:rFonts w:ascii="Times New Roman" w:hAnsi="Times New Roman"/>
                <w:lang w:eastAsia="sk-SK"/>
              </w:rPr>
              <w:t>V stĺpci (5):</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Č – článok</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 – paragraf</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O – odsek</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V – veta</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P – písmeno (číslo)</w:t>
            </w:r>
          </w:p>
        </w:tc>
        <w:tc>
          <w:tcPr>
            <w:tcW w:w="6770" w:type="dxa"/>
            <w:tcBorders>
              <w:top w:val="nil"/>
              <w:left w:val="nil"/>
              <w:bottom w:val="nil"/>
              <w:right w:val="nil"/>
            </w:tcBorders>
            <w:textDirection w:val="lrTb"/>
            <w:vAlign w:val="top"/>
          </w:tcPr>
          <w:p w:rsidR="003D3D63" w:rsidRPr="00EB22C2">
            <w:pPr>
              <w:pStyle w:val="Normlny"/>
              <w:autoSpaceDE/>
              <w:autoSpaceDN/>
              <w:bidi w:val="0"/>
              <w:spacing w:after="60"/>
              <w:rPr>
                <w:rFonts w:ascii="Times New Roman" w:hAnsi="Times New Roman"/>
                <w:lang w:eastAsia="sk-SK"/>
              </w:rPr>
            </w:pPr>
            <w:r w:rsidRPr="00EB22C2">
              <w:rPr>
                <w:rFonts w:ascii="Times New Roman" w:hAnsi="Times New Roman"/>
                <w:lang w:eastAsia="sk-SK"/>
              </w:rPr>
              <w:t>V stĺpci (7):</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Ú – úplná zhoda</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Č – čiastočná zhoda</w:t>
            </w:r>
          </w:p>
          <w:p w:rsidR="003D3D63" w:rsidRPr="00EB22C2">
            <w:pPr>
              <w:autoSpaceDE/>
              <w:autoSpaceDN/>
              <w:bidi w:val="0"/>
              <w:rPr>
                <w:rFonts w:ascii="Times New Roman" w:hAnsi="Times New Roman"/>
                <w:sz w:val="20"/>
                <w:szCs w:val="20"/>
              </w:rPr>
            </w:pPr>
            <w:r w:rsidRPr="00EB22C2">
              <w:rPr>
                <w:rFonts w:ascii="Times New Roman" w:hAnsi="Times New Roman"/>
                <w:sz w:val="20"/>
                <w:szCs w:val="20"/>
              </w:rPr>
              <w:t>R – rozpor (v príp., že zatiaľ nedošlo k transp., ale príde k nej v budúcnosti</w:t>
            </w:r>
          </w:p>
          <w:p w:rsidR="003D3D63" w:rsidRPr="00EB22C2">
            <w:pPr>
              <w:autoSpaceDE/>
              <w:autoSpaceDN/>
              <w:bidi w:val="0"/>
              <w:rPr>
                <w:rFonts w:ascii="Times New Roman" w:hAnsi="Times New Roman"/>
                <w:sz w:val="20"/>
                <w:szCs w:val="20"/>
              </w:rPr>
            </w:pPr>
            <w:r w:rsidRPr="00EB22C2" w:rsidR="00E63A6A">
              <w:rPr>
                <w:rFonts w:ascii="Times New Roman" w:hAnsi="Times New Roman"/>
                <w:sz w:val="20"/>
                <w:szCs w:val="20"/>
              </w:rPr>
              <w:t>n.a.</w:t>
            </w:r>
            <w:r w:rsidRPr="00EB22C2">
              <w:rPr>
                <w:rFonts w:ascii="Times New Roman" w:hAnsi="Times New Roman"/>
                <w:sz w:val="20"/>
                <w:szCs w:val="20"/>
              </w:rPr>
              <w:t xml:space="preserve"> – neaplikovateľné</w:t>
            </w:r>
          </w:p>
        </w:tc>
      </w:tr>
    </w:tbl>
    <w:p w:rsidR="003D3D63" w:rsidRPr="00EB22C2">
      <w:pPr>
        <w:autoSpaceDE/>
        <w:autoSpaceDN/>
        <w:bidi w:val="0"/>
        <w:rPr>
          <w:rFonts w:ascii="Times New Roman" w:hAnsi="Times New Roman"/>
          <w:sz w:val="20"/>
          <w:szCs w:val="20"/>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3D3D63" w:rsidRPr="00EB22C2">
            <w:pPr>
              <w:pStyle w:val="Heading2"/>
              <w:bidi w:val="0"/>
              <w:rPr>
                <w:rFonts w:ascii="Times New Roman" w:hAnsi="Times New Roman"/>
              </w:rPr>
            </w:pPr>
            <w:r w:rsidRPr="00EB22C2">
              <w:rPr>
                <w:rFonts w:ascii="Times New Roman" w:hAnsi="Times New Roman"/>
              </w:rPr>
              <w:t>Zoznam všeobecne záväzných právnych predpisov preberajúcich smernicu: (uveďte číslo smernice)</w:t>
            </w:r>
          </w:p>
          <w:p w:rsidR="003D3D63" w:rsidRPr="00EB22C2">
            <w:pPr>
              <w:bidi w:val="0"/>
              <w:jc w:val="center"/>
              <w:rPr>
                <w:rFonts w:ascii="Times New Roman" w:hAnsi="Times New Roman"/>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D3D63" w:rsidRPr="00EB22C2">
            <w:pPr>
              <w:bidi w:val="0"/>
              <w:spacing w:before="120"/>
              <w:jc w:val="center"/>
              <w:rPr>
                <w:rFonts w:ascii="Times New Roman" w:hAnsi="Times New Roman"/>
                <w:sz w:val="20"/>
                <w:szCs w:val="20"/>
              </w:rPr>
            </w:pPr>
            <w:r w:rsidRPr="00EB22C2">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D3D63" w:rsidRPr="00EB22C2">
            <w:pPr>
              <w:pStyle w:val="Normlny"/>
              <w:bidi w:val="0"/>
              <w:rPr>
                <w:rFonts w:ascii="Times New Roman" w:hAnsi="Times New Roman"/>
                <w:lang w:eastAsia="sk-SK"/>
              </w:rPr>
            </w:pPr>
            <w:r w:rsidRPr="00EB22C2">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3D3D63" w:rsidRPr="00EB22C2">
            <w:pPr>
              <w:numPr>
                <w:numId w:val="10"/>
              </w:numPr>
              <w:bidi w:val="0"/>
              <w:jc w:val="center"/>
              <w:rPr>
                <w:rFonts w:ascii="Times New Roman" w:hAnsi="Times New Roman"/>
                <w:sz w:val="20"/>
                <w:szCs w:val="20"/>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3D3D63" w:rsidRPr="00EB22C2">
            <w:pPr>
              <w:pStyle w:val="abc"/>
              <w:widowControl/>
              <w:tabs>
                <w:tab w:val="clear" w:pos="360"/>
                <w:tab w:val="clear" w:pos="680"/>
              </w:tabs>
              <w:bidi w:val="0"/>
              <w:rPr>
                <w:rFonts w:ascii="Times New Roman" w:hAnsi="Times New Roman"/>
                <w:lang w:eastAsia="sk-SK"/>
              </w:rPr>
            </w:pPr>
          </w:p>
        </w:tc>
      </w:tr>
    </w:tbl>
    <w:p w:rsidR="003D3D63" w:rsidRPr="00EB22C2">
      <w:pPr>
        <w:autoSpaceDE/>
        <w:autoSpaceDN/>
        <w:bidi w:val="0"/>
        <w:rPr>
          <w:rFonts w:ascii="Times New Roman" w:hAnsi="Times New Roman"/>
          <w:sz w:val="20"/>
          <w:szCs w:val="20"/>
        </w:rPr>
      </w:pPr>
    </w:p>
    <w:sectPr w:rsidSect="00F54899">
      <w:footerReference w:type="default" r:id="rId4"/>
      <w:pgSz w:w="16838" w:h="11906" w:orient="landscape" w:code="9"/>
      <w:pgMar w:top="851" w:right="851" w:bottom="851" w:left="851" w:header="284" w:footer="284"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09F" w:csb1="00000000"/>
  </w:font>
  <w:font w:name="Calibri">
    <w:panose1 w:val="00000000000000000000"/>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D7A" w:rsidP="009D2926">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16D84">
      <w:rPr>
        <w:rStyle w:val="PageNumber"/>
        <w:rFonts w:ascii="Times New Roman" w:hAnsi="Times New Roman"/>
        <w:noProof/>
      </w:rPr>
      <w:t>1</w:t>
    </w:r>
    <w:r>
      <w:rPr>
        <w:rStyle w:val="PageNumber"/>
        <w:rFonts w:ascii="Times New Roman" w:hAnsi="Times New Roman"/>
      </w:rPr>
      <w:fldChar w:fldCharType="end"/>
    </w:r>
  </w:p>
  <w:p w:rsidR="00423D7A">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1" o:title=""/>
      </v:shape>
    </w:pict>
  </w:numPicBullet>
  <w:numPicBullet w:numPicBulletId="2">
    <w:pict>
      <v:shape id="_x0000_i1027" type="#_x0000_t75" style="width:3in;height:3in" o:bullet="t" stroked="f">
        <v:imagedata r:id="rId1" o:title=""/>
      </v:shape>
    </w:pict>
  </w:numPicBullet>
  <w:numPicBullet w:numPicBulletId="3">
    <w:pict>
      <v:shape id="_x0000_i1028" type="#_x0000_t75" style="width:3in;height:3in" o:bullet="t" stroked="f">
        <v:imagedata r:id="rId2" o:title=""/>
      </v:shape>
    </w:pict>
  </w:numPicBullet>
  <w:numPicBullet w:numPicBulletId="4">
    <w:pict>
      <v:shape id="_x0000_i1029" type="#_x0000_t75" style="width:3in;height:3in" o:bullet="t" stroked="f">
        <v:imagedata r:id="rId2" o:title=""/>
      </v:shape>
    </w:pict>
  </w:numPicBullet>
  <w:numPicBullet w:numPicBulletId="5">
    <w:pict>
      <v:shape id="_x0000_i1030" type="#_x0000_t75" style="width:3in;height:3in" o:bullet="t" stroked="f">
        <v:imagedata r:id="rId2" o:title=""/>
      </v:shape>
    </w:pict>
  </w:numPicBullet>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6E5AD6"/>
    <w:multiLevelType w:val="multilevel"/>
    <w:tmpl w:val="CF94F59C"/>
    <w:lvl w:ilvl="0">
      <w:start w:val="1"/>
      <w:numFmt w:val="decimal"/>
      <w:lvlText w:val="%1)"/>
      <w:lvlJc w:val="left"/>
      <w:pPr>
        <w:tabs>
          <w:tab w:val="num" w:pos="360"/>
        </w:tabs>
        <w:ind w:left="360" w:hanging="360"/>
      </w:pPr>
      <w:rPr>
        <w:rFonts w:cs="Times New Roman" w:hint="default"/>
        <w:i w:val="0"/>
        <w:iCs w:val="0"/>
        <w:rtl w:val="0"/>
        <w:cs w:val="0"/>
      </w:rPr>
    </w:lvl>
    <w:lvl w:ilvl="1">
      <w:start w:val="1"/>
      <w:numFmt w:val="lowerLetter"/>
      <w:lvlText w:val="%2)"/>
      <w:lvlJc w:val="left"/>
      <w:pPr>
        <w:tabs>
          <w:tab w:val="num" w:pos="720"/>
        </w:tabs>
        <w:ind w:left="720" w:hanging="360"/>
      </w:pPr>
      <w:rPr>
        <w:rFonts w:cs="Times New Roman" w:hint="default"/>
        <w:b w:val="0"/>
        <w:bCs w:val="0"/>
        <w:i w:val="0"/>
        <w:iCs w:val="0"/>
        <w:rtl w:val="0"/>
        <w:cs w:val="0"/>
      </w:rPr>
    </w:lvl>
    <w:lvl w:ilvl="2">
      <w:start w:val="1"/>
      <w:numFmt w:val="decimal"/>
      <w:lvlText w:val="(%3)"/>
      <w:lvlJc w:val="left"/>
      <w:pPr>
        <w:tabs>
          <w:tab w:val="num" w:pos="1080"/>
        </w:tabs>
        <w:ind w:left="1080" w:hanging="360"/>
      </w:pPr>
      <w:rPr>
        <w:rFonts w:cs="Times New Roman" w:hint="default"/>
        <w:b w:val="0"/>
        <w:bCs w:val="0"/>
        <w:i w:val="0"/>
        <w:iCs w:val="0"/>
        <w:rtl w:val="0"/>
        <w:cs w:val="0"/>
      </w:rPr>
    </w:lvl>
    <w:lvl w:ilvl="3">
      <w:start w:val="1"/>
      <w:numFmt w:val="decimal"/>
      <w:lvlText w:val="(%4)"/>
      <w:lvlJc w:val="left"/>
      <w:pPr>
        <w:tabs>
          <w:tab w:val="num" w:pos="1440"/>
        </w:tabs>
        <w:ind w:left="1440" w:hanging="360"/>
      </w:pPr>
      <w:rPr>
        <w:rFonts w:cs="Times New Roman" w:hint="default"/>
        <w:i w:val="0"/>
        <w:iCs w:val="0"/>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5">
    <w:nsid w:val="13D1616F"/>
    <w:multiLevelType w:val="hybridMultilevel"/>
    <w:tmpl w:val="E534B2D8"/>
    <w:lvl w:ilvl="0">
      <w:start w:val="5"/>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8984025"/>
    <w:multiLevelType w:val="hybridMultilevel"/>
    <w:tmpl w:val="F816F1B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9EA54D6"/>
    <w:multiLevelType w:val="multilevel"/>
    <w:tmpl w:val="5D3AFEE6"/>
    <w:lvl w:ilvl="0">
      <w:start w:val="1"/>
      <w:numFmt w:val="decimal"/>
      <w:lvlText w:val="(%1)"/>
      <w:lvlJc w:val="left"/>
      <w:pPr>
        <w:tabs>
          <w:tab w:val="num" w:pos="1125"/>
        </w:tabs>
        <w:ind w:left="1125" w:hanging="420"/>
      </w:pPr>
      <w:rPr>
        <w:rFonts w:cs="Times New Roman" w:hint="default"/>
        <w:i w:val="0"/>
        <w:iCs w:val="0"/>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8">
    <w:nsid w:val="1B815B0E"/>
    <w:multiLevelType w:val="multilevel"/>
    <w:tmpl w:val="750A6686"/>
    <w:lvl w:ilvl="0">
      <w:start w:val="1"/>
      <w:numFmt w:val="decimal"/>
      <w:lvlText w:val="(%1)"/>
      <w:lvlJc w:val="left"/>
      <w:pPr>
        <w:tabs>
          <w:tab w:val="num" w:pos="360"/>
        </w:tabs>
        <w:ind w:left="360" w:hanging="360"/>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10">
    <w:nsid w:val="1D1B5919"/>
    <w:multiLevelType w:val="hybridMultilevel"/>
    <w:tmpl w:val="8E2476D0"/>
    <w:lvl w:ilvl="0">
      <w:start w:val="5"/>
      <w:numFmt w:val="lowerLetter"/>
      <w:lvlText w:val="%1)"/>
      <w:lvlJc w:val="left"/>
      <w:pPr>
        <w:tabs>
          <w:tab w:val="num" w:pos="720"/>
        </w:tabs>
        <w:ind w:left="72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51725FA"/>
    <w:multiLevelType w:val="multilevel"/>
    <w:tmpl w:val="3DC05B98"/>
    <w:lvl w:ilvl="0">
      <w:start w:val="1"/>
      <w:numFmt w:val="decimal"/>
      <w:lvlText w:val="(%1)"/>
      <w:lvlJc w:val="left"/>
      <w:pPr>
        <w:tabs>
          <w:tab w:val="num" w:pos="360"/>
        </w:tabs>
        <w:ind w:left="360" w:hanging="360"/>
      </w:pPr>
      <w:rPr>
        <w:rFonts w:cs="Times New Roman" w:hint="default"/>
        <w:i w:val="0"/>
        <w:iCs w:val="0"/>
        <w:strike w:val="0"/>
        <w:sz w:val="24"/>
        <w:szCs w:val="24"/>
        <w:vertAlign w:val="baseline"/>
        <w:rtl w:val="0"/>
        <w:cs w:val="0"/>
      </w:rPr>
    </w:lvl>
    <w:lvl w:ilvl="1">
      <w:start w:val="1"/>
      <w:numFmt w:val="lowerLetter"/>
      <w:lvlText w:val="%2)"/>
      <w:lvlJc w:val="left"/>
      <w:pPr>
        <w:tabs>
          <w:tab w:val="num" w:pos="1440"/>
        </w:tabs>
        <w:ind w:left="1440" w:hanging="360"/>
      </w:pPr>
      <w:rPr>
        <w:rFonts w:cs="Times New Roman"/>
        <w:i w:val="0"/>
        <w:iCs w:val="0"/>
        <w:rtl w:val="0"/>
        <w:cs w:val="0"/>
      </w:rPr>
    </w:lvl>
    <w:lvl w:ilvl="2">
      <w:start w:val="1"/>
      <w:numFmt w:val="lowerLetter"/>
      <w:lvlText w:val="%3)"/>
      <w:lvlJc w:val="left"/>
      <w:pPr>
        <w:tabs>
          <w:tab w:val="num" w:pos="2340"/>
        </w:tabs>
        <w:ind w:left="2340" w:hanging="360"/>
      </w:pPr>
      <w:rPr>
        <w:rFonts w:cs="Times New Roman" w:hint="default"/>
        <w:i w:val="0"/>
        <w:iCs w:val="0"/>
        <w:strike w:val="0"/>
        <w:sz w:val="24"/>
        <w:szCs w:val="24"/>
        <w:vertAlign w:val="baseline"/>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5794BE1"/>
    <w:multiLevelType w:val="multilevel"/>
    <w:tmpl w:val="DB3400AA"/>
    <w:lvl w:ilvl="0">
      <w:start w:val="1"/>
      <w:numFmt w:val="decimal"/>
      <w:lvlText w:val="(%1)"/>
      <w:lvlJc w:val="left"/>
      <w:pPr>
        <w:tabs>
          <w:tab w:val="num" w:pos="1200"/>
        </w:tabs>
        <w:ind w:left="1200" w:hanging="495"/>
      </w:pPr>
      <w:rPr>
        <w:rFonts w:cs="Times New Roman" w:hint="default"/>
        <w:i w:val="0"/>
        <w:iCs w:val="0"/>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3">
    <w:nsid w:val="28D36FAA"/>
    <w:multiLevelType w:val="multilevel"/>
    <w:tmpl w:val="43625A70"/>
    <w:lvl w:ilvl="0">
      <w:start w:val="1"/>
      <w:numFmt w:val="decimal"/>
      <w:lvlText w:val="(%1)"/>
      <w:lvlJc w:val="left"/>
      <w:pPr>
        <w:tabs>
          <w:tab w:val="num" w:pos="360"/>
        </w:tabs>
        <w:ind w:left="360" w:hanging="360"/>
      </w:pPr>
      <w:rPr>
        <w:rFonts w:cs="Times New Roman" w:hint="default"/>
        <w:i w:val="0"/>
        <w:iCs w:val="0"/>
        <w:rtl w:val="0"/>
        <w:cs w:val="0"/>
      </w:rPr>
    </w:lvl>
    <w:lvl w:ilvl="1">
      <w:start w:val="1"/>
      <w:numFmt w:val="lowerLetter"/>
      <w:lvlText w:val="%2)"/>
      <w:lvlJc w:val="left"/>
      <w:pPr>
        <w:tabs>
          <w:tab w:val="num" w:pos="360"/>
        </w:tabs>
        <w:ind w:left="360" w:hanging="360"/>
      </w:pPr>
      <w:rPr>
        <w:rFonts w:cs="Times New Roman"/>
        <w:i w:val="0"/>
        <w:iCs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D833054"/>
    <w:multiLevelType w:val="multilevel"/>
    <w:tmpl w:val="CF94F59C"/>
    <w:lvl w:ilvl="0">
      <w:start w:val="1"/>
      <w:numFmt w:val="decimal"/>
      <w:lvlText w:val="%1)"/>
      <w:lvlJc w:val="left"/>
      <w:pPr>
        <w:tabs>
          <w:tab w:val="num" w:pos="360"/>
        </w:tabs>
        <w:ind w:left="360" w:hanging="360"/>
      </w:pPr>
      <w:rPr>
        <w:rFonts w:cs="Times New Roman" w:hint="default"/>
        <w:i w:val="0"/>
        <w:iCs w:val="0"/>
        <w:rtl w:val="0"/>
        <w:cs w:val="0"/>
      </w:rPr>
    </w:lvl>
    <w:lvl w:ilvl="1">
      <w:start w:val="1"/>
      <w:numFmt w:val="lowerLetter"/>
      <w:lvlText w:val="%2)"/>
      <w:lvlJc w:val="left"/>
      <w:pPr>
        <w:tabs>
          <w:tab w:val="num" w:pos="720"/>
        </w:tabs>
        <w:ind w:left="720" w:hanging="360"/>
      </w:pPr>
      <w:rPr>
        <w:rFonts w:cs="Times New Roman" w:hint="default"/>
        <w:b w:val="0"/>
        <w:bCs w:val="0"/>
        <w:i w:val="0"/>
        <w:iCs w:val="0"/>
        <w:rtl w:val="0"/>
        <w:cs w:val="0"/>
      </w:rPr>
    </w:lvl>
    <w:lvl w:ilvl="2">
      <w:start w:val="1"/>
      <w:numFmt w:val="decimal"/>
      <w:lvlText w:val="(%3)"/>
      <w:lvlJc w:val="left"/>
      <w:pPr>
        <w:tabs>
          <w:tab w:val="num" w:pos="1080"/>
        </w:tabs>
        <w:ind w:left="1080" w:hanging="360"/>
      </w:pPr>
      <w:rPr>
        <w:rFonts w:cs="Times New Roman" w:hint="default"/>
        <w:b w:val="0"/>
        <w:bCs w:val="0"/>
        <w:i w:val="0"/>
        <w:iCs w:val="0"/>
        <w:rtl w:val="0"/>
        <w:cs w:val="0"/>
      </w:rPr>
    </w:lvl>
    <w:lvl w:ilvl="3">
      <w:start w:val="1"/>
      <w:numFmt w:val="decimal"/>
      <w:lvlText w:val="(%4)"/>
      <w:lvlJc w:val="left"/>
      <w:pPr>
        <w:tabs>
          <w:tab w:val="num" w:pos="1440"/>
        </w:tabs>
        <w:ind w:left="1440" w:hanging="360"/>
      </w:pPr>
      <w:rPr>
        <w:rFonts w:cs="Times New Roman" w:hint="default"/>
        <w:i w:val="0"/>
        <w:iCs w:val="0"/>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5">
    <w:nsid w:val="2F3303DF"/>
    <w:multiLevelType w:val="hybridMultilevel"/>
    <w:tmpl w:val="4D6473DA"/>
    <w:lvl w:ilvl="0">
      <w:start w:val="1"/>
      <w:numFmt w:val="decimal"/>
      <w:lvlText w:val="(%1)"/>
      <w:lvlJc w:val="left"/>
      <w:pPr>
        <w:tabs>
          <w:tab w:val="num" w:pos="1080"/>
        </w:tabs>
        <w:ind w:left="1080" w:hanging="360"/>
      </w:pPr>
      <w:rPr>
        <w:rFonts w:cs="Times New Roman" w:hint="default"/>
        <w:b w:val="0"/>
        <w:bCs w:val="0"/>
        <w:i w:val="0"/>
        <w:iCs w:val="0"/>
        <w:rtl w:val="0"/>
        <w:cs w:val="0"/>
      </w:rPr>
    </w:lvl>
    <w:lvl w:ilvl="1">
      <w:start w:val="1"/>
      <w:numFmt w:val="lowerLetter"/>
      <w:lvlText w:val="%2)"/>
      <w:lvlJc w:val="left"/>
      <w:pPr>
        <w:tabs>
          <w:tab w:val="num" w:pos="1440"/>
        </w:tabs>
        <w:ind w:left="1440" w:hanging="360"/>
      </w:pPr>
      <w:rPr>
        <w:rFonts w:cs="Times New Roman" w:hint="default"/>
        <w:b w:val="0"/>
        <w:bCs w:val="0"/>
        <w:i w:val="0"/>
        <w:iCs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6656FD0"/>
    <w:multiLevelType w:val="hybridMultilevel"/>
    <w:tmpl w:val="1DA6DA44"/>
    <w:lvl w:ilvl="0">
      <w:start w:val="1"/>
      <w:numFmt w:val="decimal"/>
      <w:lvlText w:val="(%1)"/>
      <w:lvlJc w:val="left"/>
      <w:pPr>
        <w:tabs>
          <w:tab w:val="num" w:pos="1080"/>
        </w:tabs>
        <w:ind w:left="1080" w:hanging="360"/>
      </w:pPr>
      <w:rPr>
        <w:rFonts w:cs="Times New Roman" w:hint="default"/>
        <w:b w:val="0"/>
        <w:bCs w:val="0"/>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hint="default"/>
        <w:b w:val="0"/>
        <w:bCs w:val="0"/>
        <w:i w:val="0"/>
        <w:iCs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E7F4571"/>
    <w:multiLevelType w:val="multilevel"/>
    <w:tmpl w:val="A15E1BF2"/>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start w:val="1"/>
      <w:numFmt w:val="bullet"/>
      <w:lvlText w:val=""/>
      <w:lvlPicBulletId w:val="5"/>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28F1794"/>
    <w:multiLevelType w:val="hybridMultilevel"/>
    <w:tmpl w:val="67627F22"/>
    <w:lvl w:ilvl="0">
      <w:start w:val="1"/>
      <w:numFmt w:val="lowerLetter"/>
      <w:lvlText w:val="%1)"/>
      <w:lvlJc w:val="left"/>
      <w:pPr>
        <w:tabs>
          <w:tab w:val="num" w:pos="1440"/>
        </w:tabs>
        <w:ind w:left="1440" w:hanging="360"/>
      </w:pPr>
      <w:rPr>
        <w:rFonts w:cs="Times New Roman"/>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20">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21">
    <w:nsid w:val="458B165B"/>
    <w:multiLevelType w:val="hybridMultilevel"/>
    <w:tmpl w:val="9F6A496E"/>
    <w:lvl w:ilvl="0">
      <w:start w:val="1"/>
      <w:numFmt w:val="lowerLetter"/>
      <w:lvlText w:val="%1)"/>
      <w:lvlJc w:val="left"/>
      <w:pPr>
        <w:tabs>
          <w:tab w:val="num" w:pos="1440"/>
        </w:tabs>
        <w:ind w:left="1440" w:hanging="360"/>
      </w:pPr>
      <w:rPr>
        <w:rFonts w:cs="Times New Roman"/>
        <w:rtl w:val="0"/>
        <w:cs w:val="0"/>
      </w:rPr>
    </w:lvl>
    <w:lvl w:ilvl="1">
      <w:start w:val="1"/>
      <w:numFmt w:val="decimal"/>
      <w:lvlText w:val="(%2)"/>
      <w:lvlJc w:val="left"/>
      <w:pPr>
        <w:tabs>
          <w:tab w:val="num" w:pos="2160"/>
        </w:tabs>
        <w:ind w:left="2160" w:hanging="360"/>
      </w:pPr>
      <w:rPr>
        <w:rFonts w:cs="Times New Roman" w:hint="default"/>
        <w:b w:val="0"/>
        <w:bCs w:val="0"/>
        <w:i w:val="0"/>
        <w:iCs w:val="0"/>
        <w:rtl w:val="0"/>
        <w:cs w:val="0"/>
      </w:rPr>
    </w:lvl>
    <w:lvl w:ilvl="2">
      <w:start w:val="1"/>
      <w:numFmt w:val="lowerLetter"/>
      <w:lvlText w:val="%3)"/>
      <w:lvlJc w:val="left"/>
      <w:pPr>
        <w:tabs>
          <w:tab w:val="num" w:pos="3060"/>
        </w:tabs>
        <w:ind w:left="3060" w:hanging="36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22">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9C37365"/>
    <w:multiLevelType w:val="hybridMultilevel"/>
    <w:tmpl w:val="9DBA7A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A5B1ADE"/>
    <w:multiLevelType w:val="hybridMultilevel"/>
    <w:tmpl w:val="FAC4CC46"/>
    <w:lvl w:ilvl="0">
      <w:start w:val="5"/>
      <w:numFmt w:val="lowerLetter"/>
      <w:lvlText w:val="%1)"/>
      <w:lvlJc w:val="left"/>
      <w:pPr>
        <w:tabs>
          <w:tab w:val="num" w:pos="720"/>
        </w:tabs>
        <w:ind w:left="72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D734715"/>
    <w:multiLevelType w:val="multilevel"/>
    <w:tmpl w:val="64C8B05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F447E3E"/>
    <w:multiLevelType w:val="hybridMultilevel"/>
    <w:tmpl w:val="ED80F95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5FEE7D8C"/>
    <w:multiLevelType w:val="hybridMultilevel"/>
    <w:tmpl w:val="0300987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78D43503"/>
    <w:multiLevelType w:val="multilevel"/>
    <w:tmpl w:val="76B6A198"/>
    <w:lvl w:ilvl="0">
      <w:start w:val="1"/>
      <w:numFmt w:val="decimal"/>
      <w:lvlText w:val="(%1)"/>
      <w:lvlJc w:val="left"/>
      <w:pPr>
        <w:tabs>
          <w:tab w:val="num" w:pos="360"/>
        </w:tabs>
        <w:ind w:left="360" w:hanging="360"/>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i w:val="0"/>
        <w:iCs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hint="default"/>
        <w:b w:val="0"/>
        <w:bCs w:val="0"/>
        <w:i w:val="0"/>
        <w:iCs w:val="0"/>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79B67EAB"/>
    <w:multiLevelType w:val="multilevel"/>
    <w:tmpl w:val="3DC05B98"/>
    <w:lvl w:ilvl="0">
      <w:start w:val="1"/>
      <w:numFmt w:val="decimal"/>
      <w:lvlText w:val="(%1)"/>
      <w:lvlJc w:val="left"/>
      <w:pPr>
        <w:tabs>
          <w:tab w:val="num" w:pos="360"/>
        </w:tabs>
        <w:ind w:left="360" w:hanging="360"/>
      </w:pPr>
      <w:rPr>
        <w:rFonts w:cs="Times New Roman" w:hint="default"/>
        <w:i w:val="0"/>
        <w:iCs w:val="0"/>
        <w:strike w:val="0"/>
        <w:sz w:val="24"/>
        <w:szCs w:val="24"/>
        <w:vertAlign w:val="baseline"/>
        <w:rtl w:val="0"/>
        <w:cs w:val="0"/>
      </w:rPr>
    </w:lvl>
    <w:lvl w:ilvl="1">
      <w:start w:val="1"/>
      <w:numFmt w:val="lowerLetter"/>
      <w:lvlText w:val="%2)"/>
      <w:lvlJc w:val="left"/>
      <w:pPr>
        <w:tabs>
          <w:tab w:val="num" w:pos="1440"/>
        </w:tabs>
        <w:ind w:left="1440" w:hanging="360"/>
      </w:pPr>
      <w:rPr>
        <w:rFonts w:cs="Times New Roman"/>
        <w:i w:val="0"/>
        <w:iCs w:val="0"/>
        <w:rtl w:val="0"/>
        <w:cs w:val="0"/>
      </w:rPr>
    </w:lvl>
    <w:lvl w:ilvl="2">
      <w:start w:val="1"/>
      <w:numFmt w:val="lowerLetter"/>
      <w:lvlText w:val="%3)"/>
      <w:lvlJc w:val="left"/>
      <w:pPr>
        <w:tabs>
          <w:tab w:val="num" w:pos="2340"/>
        </w:tabs>
        <w:ind w:left="2340" w:hanging="360"/>
      </w:pPr>
      <w:rPr>
        <w:rFonts w:cs="Times New Roman" w:hint="default"/>
        <w:i w:val="0"/>
        <w:iCs w:val="0"/>
        <w:strike w:val="0"/>
        <w:sz w:val="24"/>
        <w:szCs w:val="24"/>
        <w:vertAlign w:val="baseline"/>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4"/>
  </w:num>
  <w:num w:numId="2">
    <w:abstractNumId w:val="4"/>
    <w:lvlOverride w:ilvl="0">
      <w:startOverride w:val="3"/>
    </w:lvlOverride>
  </w:num>
  <w:num w:numId="3">
    <w:abstractNumId w:val="20"/>
  </w:num>
  <w:num w:numId="4">
    <w:abstractNumId w:val="20"/>
    <w:lvlOverride w:ilvl="0">
      <w:startOverride w:val="2"/>
    </w:lvlOverride>
  </w:num>
  <w:num w:numId="5">
    <w:abstractNumId w:val="9"/>
  </w:num>
  <w:num w:numId="6">
    <w:abstractNumId w:val="9"/>
    <w:lvlOverride w:ilvl="0">
      <w:startOverride w:val="1"/>
    </w:lvlOverride>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0"/>
  </w:num>
  <w:num w:numId="11">
    <w:abstractNumId w:val="25"/>
  </w:num>
  <w:num w:numId="12">
    <w:abstractNumId w:val="2"/>
  </w:num>
  <w:num w:numId="13">
    <w:abstractNumId w:val="24"/>
  </w:num>
  <w:num w:numId="14">
    <w:abstractNumId w:val="1"/>
  </w:num>
  <w:num w:numId="15">
    <w:abstractNumId w:val="13"/>
  </w:num>
  <w:num w:numId="16">
    <w:abstractNumId w:val="30"/>
  </w:num>
  <w:num w:numId="17">
    <w:abstractNumId w:val="8"/>
  </w:num>
  <w:num w:numId="18">
    <w:abstractNumId w:val="14"/>
  </w:num>
  <w:num w:numId="19">
    <w:abstractNumId w:val="12"/>
  </w:num>
  <w:num w:numId="20">
    <w:abstractNumId w:val="7"/>
  </w:num>
  <w:num w:numId="21">
    <w:abstractNumId w:val="31"/>
  </w:num>
  <w:num w:numId="22">
    <w:abstractNumId w:val="5"/>
  </w:num>
  <w:num w:numId="23">
    <w:abstractNumId w:val="26"/>
  </w:num>
  <w:num w:numId="24">
    <w:abstractNumId w:val="10"/>
  </w:num>
  <w:num w:numId="25">
    <w:abstractNumId w:val="6"/>
  </w:num>
  <w:num w:numId="26">
    <w:abstractNumId w:val="28"/>
  </w:num>
  <w:num w:numId="27">
    <w:abstractNumId w:val="16"/>
  </w:num>
  <w:num w:numId="28">
    <w:abstractNumId w:val="11"/>
  </w:num>
  <w:num w:numId="29">
    <w:abstractNumId w:val="3"/>
  </w:num>
  <w:num w:numId="30">
    <w:abstractNumId w:val="19"/>
  </w:num>
  <w:num w:numId="31">
    <w:abstractNumId w:val="15"/>
  </w:num>
  <w:num w:numId="32">
    <w:abstractNumId w:val="21"/>
  </w:num>
  <w:num w:numId="33">
    <w:abstractNumId w:val="27"/>
  </w:num>
  <w:num w:numId="34">
    <w:abstractNumId w:val="18"/>
  </w:num>
  <w:num w:numId="35">
    <w:abstractNumId w:val="29"/>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D3D63"/>
    <w:rsid w:val="000023B0"/>
    <w:rsid w:val="00002A63"/>
    <w:rsid w:val="00002BDA"/>
    <w:rsid w:val="00025FA6"/>
    <w:rsid w:val="00026115"/>
    <w:rsid w:val="00030212"/>
    <w:rsid w:val="00035E00"/>
    <w:rsid w:val="0003794B"/>
    <w:rsid w:val="00047735"/>
    <w:rsid w:val="000564D4"/>
    <w:rsid w:val="00071A08"/>
    <w:rsid w:val="000777DB"/>
    <w:rsid w:val="0009428D"/>
    <w:rsid w:val="000A3E35"/>
    <w:rsid w:val="000A3FAE"/>
    <w:rsid w:val="000B26F6"/>
    <w:rsid w:val="000B35EC"/>
    <w:rsid w:val="000B4F47"/>
    <w:rsid w:val="000B5D8A"/>
    <w:rsid w:val="000B6EF1"/>
    <w:rsid w:val="000C2ED5"/>
    <w:rsid w:val="000C5AFB"/>
    <w:rsid w:val="000E50C4"/>
    <w:rsid w:val="0012383C"/>
    <w:rsid w:val="00135BA5"/>
    <w:rsid w:val="00167998"/>
    <w:rsid w:val="00187281"/>
    <w:rsid w:val="001A63C2"/>
    <w:rsid w:val="001A6FD2"/>
    <w:rsid w:val="001B2E06"/>
    <w:rsid w:val="001B7C9F"/>
    <w:rsid w:val="001C0931"/>
    <w:rsid w:val="001C3FC0"/>
    <w:rsid w:val="001E51EC"/>
    <w:rsid w:val="00201416"/>
    <w:rsid w:val="00225532"/>
    <w:rsid w:val="00226E45"/>
    <w:rsid w:val="00231B6E"/>
    <w:rsid w:val="00232BF7"/>
    <w:rsid w:val="0024155C"/>
    <w:rsid w:val="00260955"/>
    <w:rsid w:val="00260A5A"/>
    <w:rsid w:val="0026420F"/>
    <w:rsid w:val="00283B7B"/>
    <w:rsid w:val="00296D1B"/>
    <w:rsid w:val="002A193A"/>
    <w:rsid w:val="002A1CFA"/>
    <w:rsid w:val="002A38DD"/>
    <w:rsid w:val="002B5790"/>
    <w:rsid w:val="002C0E8E"/>
    <w:rsid w:val="002C1909"/>
    <w:rsid w:val="002C51DC"/>
    <w:rsid w:val="002E05E0"/>
    <w:rsid w:val="002E13F3"/>
    <w:rsid w:val="002E27A5"/>
    <w:rsid w:val="002E647D"/>
    <w:rsid w:val="002E7141"/>
    <w:rsid w:val="00300751"/>
    <w:rsid w:val="0031233F"/>
    <w:rsid w:val="00312EBB"/>
    <w:rsid w:val="003175DF"/>
    <w:rsid w:val="003227C5"/>
    <w:rsid w:val="00323F67"/>
    <w:rsid w:val="00332BB5"/>
    <w:rsid w:val="003345AD"/>
    <w:rsid w:val="00334603"/>
    <w:rsid w:val="00341855"/>
    <w:rsid w:val="003432C1"/>
    <w:rsid w:val="003517EA"/>
    <w:rsid w:val="00351D96"/>
    <w:rsid w:val="003606E7"/>
    <w:rsid w:val="003669DF"/>
    <w:rsid w:val="003678F7"/>
    <w:rsid w:val="00374EC2"/>
    <w:rsid w:val="00376FA5"/>
    <w:rsid w:val="003838BF"/>
    <w:rsid w:val="00387ADE"/>
    <w:rsid w:val="0039151F"/>
    <w:rsid w:val="00391B16"/>
    <w:rsid w:val="003964B8"/>
    <w:rsid w:val="003A0889"/>
    <w:rsid w:val="003B4FAF"/>
    <w:rsid w:val="003D205F"/>
    <w:rsid w:val="003D3D63"/>
    <w:rsid w:val="003D3E57"/>
    <w:rsid w:val="003D481D"/>
    <w:rsid w:val="003E3A74"/>
    <w:rsid w:val="003E4B65"/>
    <w:rsid w:val="003F0BCA"/>
    <w:rsid w:val="003F6985"/>
    <w:rsid w:val="00423378"/>
    <w:rsid w:val="00423AD7"/>
    <w:rsid w:val="00423D7A"/>
    <w:rsid w:val="004247FB"/>
    <w:rsid w:val="00427BC5"/>
    <w:rsid w:val="004423E1"/>
    <w:rsid w:val="00453C90"/>
    <w:rsid w:val="0045460C"/>
    <w:rsid w:val="00457C44"/>
    <w:rsid w:val="0046231E"/>
    <w:rsid w:val="0046394F"/>
    <w:rsid w:val="00475583"/>
    <w:rsid w:val="00477F45"/>
    <w:rsid w:val="004A7D63"/>
    <w:rsid w:val="004B63D7"/>
    <w:rsid w:val="004B7E63"/>
    <w:rsid w:val="004C1C6A"/>
    <w:rsid w:val="004C74B4"/>
    <w:rsid w:val="004D192D"/>
    <w:rsid w:val="004D4F94"/>
    <w:rsid w:val="004F09B7"/>
    <w:rsid w:val="004F4343"/>
    <w:rsid w:val="004F5E7E"/>
    <w:rsid w:val="004F6211"/>
    <w:rsid w:val="004F6CC8"/>
    <w:rsid w:val="0050432C"/>
    <w:rsid w:val="00510026"/>
    <w:rsid w:val="0051064B"/>
    <w:rsid w:val="00511EAA"/>
    <w:rsid w:val="0051282E"/>
    <w:rsid w:val="00516565"/>
    <w:rsid w:val="005335DC"/>
    <w:rsid w:val="00541D35"/>
    <w:rsid w:val="00542EEF"/>
    <w:rsid w:val="00545103"/>
    <w:rsid w:val="00546F17"/>
    <w:rsid w:val="00554852"/>
    <w:rsid w:val="00566223"/>
    <w:rsid w:val="005733CE"/>
    <w:rsid w:val="005A5846"/>
    <w:rsid w:val="005B551F"/>
    <w:rsid w:val="005B7794"/>
    <w:rsid w:val="005C3C8B"/>
    <w:rsid w:val="005C3EE0"/>
    <w:rsid w:val="005D792A"/>
    <w:rsid w:val="005E5D68"/>
    <w:rsid w:val="00602B20"/>
    <w:rsid w:val="00607163"/>
    <w:rsid w:val="0060726E"/>
    <w:rsid w:val="00611B46"/>
    <w:rsid w:val="00614996"/>
    <w:rsid w:val="00625DB7"/>
    <w:rsid w:val="0062696F"/>
    <w:rsid w:val="00640D0C"/>
    <w:rsid w:val="00654944"/>
    <w:rsid w:val="00662F60"/>
    <w:rsid w:val="006704FF"/>
    <w:rsid w:val="00682CCB"/>
    <w:rsid w:val="00684B6D"/>
    <w:rsid w:val="006B7323"/>
    <w:rsid w:val="006E3D66"/>
    <w:rsid w:val="006E4796"/>
    <w:rsid w:val="006F11EC"/>
    <w:rsid w:val="006F2660"/>
    <w:rsid w:val="006F68CD"/>
    <w:rsid w:val="006F7987"/>
    <w:rsid w:val="006F7F76"/>
    <w:rsid w:val="007058D7"/>
    <w:rsid w:val="007063A2"/>
    <w:rsid w:val="007064BA"/>
    <w:rsid w:val="00717CB7"/>
    <w:rsid w:val="00743486"/>
    <w:rsid w:val="007645A1"/>
    <w:rsid w:val="00775B29"/>
    <w:rsid w:val="007916EC"/>
    <w:rsid w:val="00793E5F"/>
    <w:rsid w:val="00793FCC"/>
    <w:rsid w:val="007A46AB"/>
    <w:rsid w:val="007A4F2B"/>
    <w:rsid w:val="007B06A5"/>
    <w:rsid w:val="007C3818"/>
    <w:rsid w:val="007E057C"/>
    <w:rsid w:val="007E2009"/>
    <w:rsid w:val="007E5B78"/>
    <w:rsid w:val="007F122C"/>
    <w:rsid w:val="00841AC5"/>
    <w:rsid w:val="00847607"/>
    <w:rsid w:val="00862C00"/>
    <w:rsid w:val="00865F6D"/>
    <w:rsid w:val="00873254"/>
    <w:rsid w:val="00876EAF"/>
    <w:rsid w:val="0088616E"/>
    <w:rsid w:val="008A4C5B"/>
    <w:rsid w:val="008A581E"/>
    <w:rsid w:val="008B1960"/>
    <w:rsid w:val="008B76E1"/>
    <w:rsid w:val="008D20CE"/>
    <w:rsid w:val="008D46DD"/>
    <w:rsid w:val="008D7203"/>
    <w:rsid w:val="008E24A6"/>
    <w:rsid w:val="008F4668"/>
    <w:rsid w:val="009050A1"/>
    <w:rsid w:val="00916D84"/>
    <w:rsid w:val="0091707B"/>
    <w:rsid w:val="00921C09"/>
    <w:rsid w:val="00927A91"/>
    <w:rsid w:val="00954B3D"/>
    <w:rsid w:val="0097193F"/>
    <w:rsid w:val="00974370"/>
    <w:rsid w:val="0097725F"/>
    <w:rsid w:val="009819E7"/>
    <w:rsid w:val="009948FF"/>
    <w:rsid w:val="00996851"/>
    <w:rsid w:val="009970FC"/>
    <w:rsid w:val="009A5754"/>
    <w:rsid w:val="009B4921"/>
    <w:rsid w:val="009B7155"/>
    <w:rsid w:val="009C18A1"/>
    <w:rsid w:val="009C584E"/>
    <w:rsid w:val="009D1002"/>
    <w:rsid w:val="009D2926"/>
    <w:rsid w:val="009D6DE8"/>
    <w:rsid w:val="009E21EE"/>
    <w:rsid w:val="009F20B4"/>
    <w:rsid w:val="00A0315D"/>
    <w:rsid w:val="00A069B5"/>
    <w:rsid w:val="00A109F4"/>
    <w:rsid w:val="00A14CD5"/>
    <w:rsid w:val="00A239CD"/>
    <w:rsid w:val="00A24387"/>
    <w:rsid w:val="00A25B88"/>
    <w:rsid w:val="00A30375"/>
    <w:rsid w:val="00A4045D"/>
    <w:rsid w:val="00A6039C"/>
    <w:rsid w:val="00A71674"/>
    <w:rsid w:val="00A76C56"/>
    <w:rsid w:val="00A9393E"/>
    <w:rsid w:val="00AA1F14"/>
    <w:rsid w:val="00AA3501"/>
    <w:rsid w:val="00AA3F77"/>
    <w:rsid w:val="00AA7628"/>
    <w:rsid w:val="00AC26A1"/>
    <w:rsid w:val="00AC5306"/>
    <w:rsid w:val="00AD1931"/>
    <w:rsid w:val="00B05036"/>
    <w:rsid w:val="00B07D3A"/>
    <w:rsid w:val="00B13508"/>
    <w:rsid w:val="00B15338"/>
    <w:rsid w:val="00B217A2"/>
    <w:rsid w:val="00B36A44"/>
    <w:rsid w:val="00B56543"/>
    <w:rsid w:val="00B56600"/>
    <w:rsid w:val="00B628FF"/>
    <w:rsid w:val="00B6393E"/>
    <w:rsid w:val="00B72456"/>
    <w:rsid w:val="00B7403B"/>
    <w:rsid w:val="00B7478E"/>
    <w:rsid w:val="00B80985"/>
    <w:rsid w:val="00B93A8F"/>
    <w:rsid w:val="00B97AC0"/>
    <w:rsid w:val="00BA2374"/>
    <w:rsid w:val="00BA5CB4"/>
    <w:rsid w:val="00BB6291"/>
    <w:rsid w:val="00BC3B47"/>
    <w:rsid w:val="00BD60EE"/>
    <w:rsid w:val="00BD6E2B"/>
    <w:rsid w:val="00BF6CF8"/>
    <w:rsid w:val="00C105F9"/>
    <w:rsid w:val="00C35536"/>
    <w:rsid w:val="00C35B95"/>
    <w:rsid w:val="00C3683B"/>
    <w:rsid w:val="00C4192F"/>
    <w:rsid w:val="00C421E4"/>
    <w:rsid w:val="00C44FA7"/>
    <w:rsid w:val="00C46BEF"/>
    <w:rsid w:val="00C55DB7"/>
    <w:rsid w:val="00C64193"/>
    <w:rsid w:val="00CB12EF"/>
    <w:rsid w:val="00CB4595"/>
    <w:rsid w:val="00CC7004"/>
    <w:rsid w:val="00CD7F5E"/>
    <w:rsid w:val="00CF2BF2"/>
    <w:rsid w:val="00D077E2"/>
    <w:rsid w:val="00D2314E"/>
    <w:rsid w:val="00D236D9"/>
    <w:rsid w:val="00D32C9F"/>
    <w:rsid w:val="00D41A08"/>
    <w:rsid w:val="00D549F9"/>
    <w:rsid w:val="00D709E7"/>
    <w:rsid w:val="00D755B7"/>
    <w:rsid w:val="00D8481E"/>
    <w:rsid w:val="00D90F92"/>
    <w:rsid w:val="00D9449B"/>
    <w:rsid w:val="00DB5318"/>
    <w:rsid w:val="00DC0D66"/>
    <w:rsid w:val="00DC328B"/>
    <w:rsid w:val="00DC4C3D"/>
    <w:rsid w:val="00DD67AD"/>
    <w:rsid w:val="00DE4559"/>
    <w:rsid w:val="00DF299E"/>
    <w:rsid w:val="00E103C6"/>
    <w:rsid w:val="00E10C48"/>
    <w:rsid w:val="00E120EC"/>
    <w:rsid w:val="00E1289B"/>
    <w:rsid w:val="00E3020E"/>
    <w:rsid w:val="00E31221"/>
    <w:rsid w:val="00E3380F"/>
    <w:rsid w:val="00E4322A"/>
    <w:rsid w:val="00E473DC"/>
    <w:rsid w:val="00E52D41"/>
    <w:rsid w:val="00E60184"/>
    <w:rsid w:val="00E63A6A"/>
    <w:rsid w:val="00E703F6"/>
    <w:rsid w:val="00E71162"/>
    <w:rsid w:val="00E73874"/>
    <w:rsid w:val="00E841AD"/>
    <w:rsid w:val="00E86173"/>
    <w:rsid w:val="00E86A1F"/>
    <w:rsid w:val="00E93E30"/>
    <w:rsid w:val="00EB0021"/>
    <w:rsid w:val="00EB22C2"/>
    <w:rsid w:val="00ED450F"/>
    <w:rsid w:val="00ED45B0"/>
    <w:rsid w:val="00ED6186"/>
    <w:rsid w:val="00EE4CCE"/>
    <w:rsid w:val="00EF4B05"/>
    <w:rsid w:val="00EF7EEB"/>
    <w:rsid w:val="00EF7FC6"/>
    <w:rsid w:val="00F2597E"/>
    <w:rsid w:val="00F313C4"/>
    <w:rsid w:val="00F44193"/>
    <w:rsid w:val="00F54899"/>
    <w:rsid w:val="00F66EF8"/>
    <w:rsid w:val="00F732BE"/>
    <w:rsid w:val="00F748F4"/>
    <w:rsid w:val="00F81BBC"/>
    <w:rsid w:val="00FA00F7"/>
    <w:rsid w:val="00FA1F07"/>
    <w:rsid w:val="00FC24DE"/>
    <w:rsid w:val="00FD3A37"/>
    <w:rsid w:val="00FE4C37"/>
    <w:rsid w:val="00FE50E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pPr>
      <w:keepNext/>
      <w:jc w:val="center"/>
      <w:outlineLvl w:val="0"/>
    </w:pPr>
    <w:rPr>
      <w:b/>
      <w:bCs/>
    </w:rPr>
  </w:style>
  <w:style w:type="paragraph" w:styleId="Heading2">
    <w:name w:val="heading 2"/>
    <w:basedOn w:val="Normal"/>
    <w:next w:val="Normal"/>
    <w:link w:val="Nadpis2Char"/>
    <w:uiPriority w:val="99"/>
    <w:pPr>
      <w:keepNext/>
      <w:spacing w:before="120"/>
      <w:jc w:val="center"/>
      <w:outlineLvl w:val="1"/>
    </w:pPr>
    <w:rPr>
      <w:b/>
      <w:bCs/>
      <w:sz w:val="20"/>
      <w:szCs w:val="20"/>
    </w:rPr>
  </w:style>
  <w:style w:type="paragraph" w:styleId="Heading4">
    <w:name w:val="heading 4"/>
    <w:basedOn w:val="Normal"/>
    <w:next w:val="Normal"/>
    <w:link w:val="Nadpis4Char"/>
    <w:uiPriority w:val="99"/>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eastAsia="Times New Roman"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eastAsia="Times New Roman" w:hAnsi="Cambria"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Calibri" w:eastAsia="Times New Roman" w:hAnsi="Calibr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rsid w:val="000E50C4"/>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F54899"/>
    <w:rPr>
      <w:rFonts w:cs="Times New Roman"/>
      <w:sz w:val="18"/>
      <w:szCs w:val="18"/>
      <w:rtl w:val="0"/>
      <w:cs w:val="0"/>
    </w:rPr>
  </w:style>
  <w:style w:type="character" w:styleId="CommentReference">
    <w:name w:val="annotation reference"/>
    <w:basedOn w:val="DefaultParagraphFont"/>
    <w:uiPriority w:val="99"/>
    <w:semiHidden/>
    <w:rsid w:val="00DE4559"/>
    <w:rPr>
      <w:rFonts w:cs="Times New Roman"/>
      <w:sz w:val="16"/>
      <w:szCs w:val="16"/>
      <w:rtl w:val="0"/>
      <w:cs w:val="0"/>
    </w:rPr>
  </w:style>
  <w:style w:type="paragraph" w:styleId="BodyTextIndent2">
    <w:name w:val="Body Text Indent 2"/>
    <w:basedOn w:val="Normal"/>
    <w:link w:val="Zarkazkladnhotextu2Char"/>
    <w:uiPriority w:val="99"/>
    <w:rsid w:val="003678F7"/>
    <w:pPr>
      <w:autoSpaceDE/>
      <w:autoSpaceDN/>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Indent3">
    <w:name w:val="Body Text Indent 3"/>
    <w:basedOn w:val="Normal"/>
    <w:link w:val="Zarkazkladnhotextu3Char"/>
    <w:uiPriority w:val="99"/>
    <w:rsid w:val="00E60184"/>
    <w:pPr>
      <w:autoSpaceDE/>
      <w:autoSpaceDN/>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customStyle="1" w:styleId="Normlnywebov6">
    <w:name w:val="Normálny (webový)6"/>
    <w:basedOn w:val="Normal"/>
    <w:uiPriority w:val="99"/>
    <w:rsid w:val="00ED450F"/>
    <w:pPr>
      <w:autoSpaceDE/>
      <w:autoSpaceDN/>
      <w:spacing w:before="167" w:after="167"/>
      <w:ind w:left="753" w:right="586"/>
      <w:jc w:val="left"/>
    </w:pPr>
    <w:rPr>
      <w:sz w:val="22"/>
      <w:szCs w:val="22"/>
    </w:rPr>
  </w:style>
  <w:style w:type="paragraph" w:customStyle="1" w:styleId="Normlnywebov8">
    <w:name w:val="Normálny (webový)8"/>
    <w:basedOn w:val="Normal"/>
    <w:uiPriority w:val="99"/>
    <w:rsid w:val="00C55DB7"/>
    <w:pPr>
      <w:autoSpaceDE/>
      <w:autoSpaceDN/>
      <w:spacing w:before="84" w:after="84"/>
      <w:ind w:left="251" w:right="251"/>
      <w:jc w:val="left"/>
    </w:pPr>
    <w:rPr>
      <w:sz w:val="22"/>
      <w:szCs w:val="22"/>
    </w:rPr>
  </w:style>
  <w:style w:type="paragraph" w:customStyle="1" w:styleId="Zkladntext">
    <w:name w:val="Základní text"/>
    <w:uiPriority w:val="99"/>
    <w:rsid w:val="003F0BCA"/>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NormalWeb">
    <w:name w:val="Normal (Web)"/>
    <w:basedOn w:val="Normal"/>
    <w:uiPriority w:val="99"/>
    <w:rsid w:val="00CB4595"/>
    <w:pPr>
      <w:autoSpaceDE/>
      <w:autoSpaceDN/>
      <w:spacing w:before="167" w:after="167"/>
      <w:ind w:left="753" w:right="586"/>
      <w:jc w:val="left"/>
    </w:pPr>
    <w:rPr>
      <w:sz w:val="19"/>
      <w:szCs w:val="19"/>
    </w:rPr>
  </w:style>
  <w:style w:type="paragraph" w:customStyle="1" w:styleId="tlNormlnywebovArialNarrow10ptPodaokrajaVavo">
    <w:name w:val="Štýl Normálny (webový) + Arial Narrow 10 pt Podľa okraja Vľavo:..."/>
    <w:basedOn w:val="NormalWeb"/>
    <w:uiPriority w:val="99"/>
    <w:rsid w:val="00CB4595"/>
    <w:pPr>
      <w:spacing w:before="0" w:after="0"/>
      <w:ind w:left="0" w:right="0"/>
      <w:jc w:val="both"/>
    </w:pPr>
    <w:rPr>
      <w:rFonts w:ascii="Arial Narrow" w:hAnsi="Arial Narrow" w:cs="Arial Narrow"/>
      <w:sz w:val="20"/>
      <w:szCs w:val="20"/>
    </w:rPr>
  </w:style>
  <w:style w:type="paragraph" w:customStyle="1" w:styleId="tlNormlnywebovTahomaTunVavo0cm">
    <w:name w:val="Štýl Normálny (webový) + Tahoma Tučné Vľavo:  0 cm"/>
    <w:basedOn w:val="NormalWeb"/>
    <w:uiPriority w:val="99"/>
    <w:rsid w:val="00C44FA7"/>
    <w:pPr>
      <w:ind w:left="0"/>
      <w:jc w:val="left"/>
    </w:pPr>
    <w:rPr>
      <w:rFonts w:ascii="Tahoma" w:hAnsi="Tahoma" w:cs="Tahoma"/>
      <w:b/>
      <w:bCs/>
    </w:rPr>
  </w:style>
  <w:style w:type="paragraph" w:customStyle="1" w:styleId="tlNormlnywebovArialNarrow10ptPodaokrajaVavo1">
    <w:name w:val="Štýl Normálny (webový) + Arial Narrow 10 pt Podľa okraja Vľavo:...1"/>
    <w:basedOn w:val="NormalWeb"/>
    <w:uiPriority w:val="99"/>
    <w:rsid w:val="00C105F9"/>
    <w:pPr>
      <w:spacing w:before="0" w:after="0"/>
      <w:ind w:left="0" w:right="0"/>
      <w:jc w:val="both"/>
    </w:pPr>
    <w:rPr>
      <w:rFonts w:ascii="Arial Narrow" w:hAnsi="Arial Narrow" w:cs="Arial Narrow"/>
      <w:sz w:val="20"/>
      <w:szCs w:val="20"/>
    </w:rPr>
  </w:style>
  <w:style w:type="paragraph" w:customStyle="1" w:styleId="tlNormlnywebovArialNarrow10ptPodaokrajaVavo2">
    <w:name w:val="Štýl Normálny (webový) + Arial Narrow 10 pt Podľa okraja Vľavo:...2"/>
    <w:basedOn w:val="NormalWeb"/>
    <w:uiPriority w:val="99"/>
    <w:rsid w:val="00C105F9"/>
    <w:pPr>
      <w:spacing w:before="0" w:after="0"/>
      <w:ind w:left="0" w:right="0"/>
      <w:jc w:val="both"/>
    </w:pPr>
    <w:rPr>
      <w:rFonts w:ascii="Arial Narrow" w:hAnsi="Arial Narrow" w:cs="Arial Narrow"/>
      <w:sz w:val="20"/>
      <w:szCs w:val="20"/>
    </w:rPr>
  </w:style>
  <w:style w:type="paragraph" w:customStyle="1" w:styleId="tlNormlnywebovArialNarrow10ptPodaokrajaVavo3">
    <w:name w:val="Štýl Normálny (webový) + Arial Narrow 10 pt Podľa okraja Vľavo:...3"/>
    <w:basedOn w:val="NormalWeb"/>
    <w:uiPriority w:val="99"/>
    <w:rsid w:val="00C105F9"/>
    <w:pPr>
      <w:spacing w:before="0" w:after="0"/>
      <w:ind w:left="0" w:right="0"/>
      <w:jc w:val="both"/>
    </w:pPr>
    <w:rPr>
      <w:rFonts w:ascii="Arial Narrow" w:hAnsi="Arial Narrow" w:cs="Arial Narrow"/>
      <w:sz w:val="20"/>
      <w:szCs w:val="20"/>
    </w:rPr>
  </w:style>
  <w:style w:type="paragraph" w:customStyle="1" w:styleId="tlArialNarrow10ptPodaokraja">
    <w:name w:val="Štýl Arial Narrow 10 pt Podľa okraja"/>
    <w:basedOn w:val="Normal"/>
    <w:uiPriority w:val="99"/>
    <w:rsid w:val="00C105F9"/>
    <w:pPr>
      <w:jc w:val="both"/>
    </w:pPr>
    <w:rPr>
      <w:rFonts w:ascii="Arial Narrow" w:hAnsi="Arial Narrow" w:cs="Arial Narrow"/>
      <w:sz w:val="20"/>
      <w:szCs w:val="20"/>
    </w:rPr>
  </w:style>
  <w:style w:type="paragraph" w:styleId="BodyTextIndent">
    <w:name w:val="Body Text Indent"/>
    <w:basedOn w:val="Normal"/>
    <w:link w:val="ZarkazkladnhotextuChar"/>
    <w:uiPriority w:val="99"/>
    <w:rsid w:val="00C46BEF"/>
    <w:pPr>
      <w:autoSpaceDE/>
      <w:autoSpaceDN/>
      <w:ind w:firstLine="709"/>
      <w:jc w:val="both"/>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997</Words>
  <Characters>5689</Characters>
  <Application>Microsoft Office Word</Application>
  <DocSecurity>0</DocSecurity>
  <Lines>0</Lines>
  <Paragraphs>0</Paragraphs>
  <ScaleCrop>false</ScaleCrop>
  <Company>ÚV SR</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lrybansky</cp:lastModifiedBy>
  <cp:revision>2</cp:revision>
  <cp:lastPrinted>2009-01-12T11:07:00Z</cp:lastPrinted>
  <dcterms:created xsi:type="dcterms:W3CDTF">2010-05-31T13:07:00Z</dcterms:created>
  <dcterms:modified xsi:type="dcterms:W3CDTF">2010-05-31T13:07:00Z</dcterms:modified>
</cp:coreProperties>
</file>