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pPr>
        <w:jc w:val="center"/>
        <w:rPr>
          <w:rFonts w:ascii="Times New Roman" w:hAnsi="Times New Roman" w:cs="Times New Roman"/>
          <w:b/>
          <w:caps/>
          <w:color w:val="000000"/>
          <w:spacing w:val="30"/>
          <w:szCs w:val="24"/>
        </w:rPr>
      </w:pPr>
      <w:r>
        <w:rPr>
          <w:rFonts w:ascii="Times New Roman" w:hAnsi="Times New Roman" w:cs="Times New Roman"/>
          <w:b/>
          <w:caps/>
          <w:color w:val="000000"/>
          <w:spacing w:val="30"/>
          <w:szCs w:val="24"/>
        </w:rPr>
        <w:t>Dôvodová správa</w:t>
      </w:r>
    </w:p>
    <w:p>
      <w:pPr>
        <w:jc w:val="both"/>
        <w:rPr>
          <w:rFonts w:ascii="Times New Roman" w:hAnsi="Times New Roman" w:cs="Times New Roman"/>
          <w:color w:val="000000"/>
          <w:szCs w:val="24"/>
        </w:rPr>
      </w:pPr>
    </w:p>
    <w:p>
      <w:pPr>
        <w:jc w:val="both"/>
        <w:rPr>
          <w:rFonts w:ascii="Times New Roman" w:hAnsi="Times New Roman" w:cs="Times New Roman"/>
          <w:color w:val="000000"/>
          <w:szCs w:val="24"/>
        </w:rPr>
      </w:pPr>
    </w:p>
    <w:p>
      <w:pPr>
        <w:jc w:val="both"/>
        <w:rPr>
          <w:rFonts w:ascii="Times New Roman" w:hAnsi="Times New Roman" w:cs="Times New Roman"/>
          <w:b/>
          <w:color w:val="000000"/>
          <w:szCs w:val="24"/>
        </w:rPr>
      </w:pPr>
      <w:r>
        <w:rPr>
          <w:rFonts w:ascii="Times New Roman" w:hAnsi="Times New Roman" w:cs="Times New Roman"/>
          <w:b/>
          <w:color w:val="000000"/>
          <w:szCs w:val="24"/>
        </w:rPr>
        <w:t>A. Všeobecná časť</w:t>
      </w:r>
    </w:p>
    <w:p>
      <w:pPr>
        <w:jc w:val="both"/>
        <w:rPr>
          <w:rFonts w:ascii="Times New Roman" w:hAnsi="Times New Roman" w:cs="Times New Roman"/>
          <w:color w:val="000000"/>
          <w:szCs w:val="24"/>
        </w:rPr>
      </w:pPr>
    </w:p>
    <w:p>
      <w:pPr>
        <w:jc w:val="both"/>
        <w:rPr>
          <w:rFonts w:ascii="Times New Roman" w:hAnsi="Times New Roman" w:cs="Times New Roman"/>
          <w:color w:val="000000"/>
          <w:szCs w:val="24"/>
        </w:rPr>
      </w:pPr>
      <w:r>
        <w:rPr>
          <w:rStyle w:val="PlaceholderText"/>
          <w:color w:val="000000"/>
          <w:szCs w:val="24"/>
        </w:rPr>
        <w:t>      </w:t>
      </w:r>
    </w:p>
    <w:p>
      <w:pPr>
        <w:jc w:val="both"/>
        <w:rPr>
          <w:rStyle w:val="PlaceholderText"/>
          <w:color w:val="000000"/>
          <w:szCs w:val="24"/>
        </w:rPr>
      </w:pPr>
      <w:r>
        <w:rPr>
          <w:rStyle w:val="PlaceholderText"/>
          <w:color w:val="000000"/>
          <w:szCs w:val="24"/>
        </w:rPr>
        <w:t xml:space="preserve">         </w:t>
      </w:r>
    </w:p>
    <w:p>
      <w:pPr>
        <w:jc w:val="both"/>
        <w:rPr>
          <w:rStyle w:val="PlaceholderText"/>
          <w:color w:val="000000"/>
          <w:szCs w:val="24"/>
        </w:rPr>
      </w:pPr>
      <w:r>
        <w:rPr>
          <w:rStyle w:val="PlaceholderText"/>
          <w:color w:val="000000"/>
          <w:szCs w:val="24"/>
        </w:rPr>
        <w:t>       Návrh zákona o poskytovaní dotácií v pôsobnosti Ministerstva zahraničných vecí Slovenskej republiky a o zmene a doplnení zákona č. 617/2007 Z. z. o oficiálnej rozvojovej pomoci a o doplnení zákona č. 575/2001 Z. z. o organizácii činnosti vlády a organizácii ústrednej štátnej správy v znení neskorších predpisov ( ďalej len „návrh zákona“) sa predkladá na základe ustanovení § 8a ods. 1 v spojení s § 37d ods. 3 zákona č. 523/2004 Z. z. o rozpočtových pravidlách verejnej správy a o zmene a doplnení niektorých zákonov v znení zákona č. 383/2008 Z. z. so zámerom upraviť rozsah, spôsob a podmienky poskytovania dotácií v pôsobnosti Ministerstva zahraničných vecí Slovenskej republiky ( ďalej len „ministerstvo“).</w:t>
      </w:r>
    </w:p>
    <w:p>
      <w:pPr>
        <w:jc w:val="both"/>
        <w:rPr>
          <w:rStyle w:val="PlaceholderText"/>
          <w:color w:val="000000"/>
          <w:szCs w:val="24"/>
        </w:rPr>
      </w:pPr>
      <w:r>
        <w:rPr>
          <w:rStyle w:val="PlaceholderText"/>
          <w:color w:val="000000"/>
          <w:szCs w:val="24"/>
        </w:rPr>
        <w:t> </w:t>
      </w:r>
    </w:p>
    <w:p>
      <w:pPr>
        <w:jc w:val="both"/>
        <w:rPr>
          <w:rStyle w:val="PlaceholderText"/>
          <w:color w:val="000000"/>
          <w:szCs w:val="24"/>
        </w:rPr>
      </w:pPr>
      <w:r>
        <w:rPr>
          <w:rStyle w:val="PlaceholderText"/>
          <w:color w:val="000000"/>
          <w:szCs w:val="24"/>
        </w:rPr>
        <w:t>      Ministerstvo navrhuje poskytovať dotácie na podporu štúdií, analýz a organizáciu odborných podujatí v oblasti medzinárodných vzťahov a zahraničnej politiky Slovenskej republiky, na spoločné projekty Slovenskej republiky a Organizácie pre ekonomickú spoluprácu a rozvoj (OECD) a na oficiálnu rozvojovú pomoc.</w:t>
      </w:r>
    </w:p>
    <w:p>
      <w:pPr>
        <w:jc w:val="both"/>
        <w:rPr>
          <w:rStyle w:val="PlaceholderText"/>
          <w:color w:val="000000"/>
          <w:szCs w:val="24"/>
        </w:rPr>
      </w:pPr>
      <w:r>
        <w:rPr>
          <w:rStyle w:val="PlaceholderText"/>
          <w:color w:val="000000"/>
          <w:szCs w:val="24"/>
        </w:rPr>
        <w:t> </w:t>
      </w:r>
    </w:p>
    <w:p>
      <w:pPr>
        <w:jc w:val="both"/>
        <w:rPr>
          <w:rStyle w:val="PlaceholderText"/>
          <w:color w:val="000000"/>
          <w:szCs w:val="24"/>
        </w:rPr>
      </w:pPr>
      <w:r>
        <w:rPr>
          <w:rStyle w:val="PlaceholderText"/>
          <w:color w:val="000000"/>
          <w:szCs w:val="24"/>
        </w:rPr>
        <w:t>         Zámerom návrhu zákona je poskytovať dotácie</w:t>
      </w:r>
      <w:r>
        <w:rPr>
          <w:rStyle w:val="PlaceholderText"/>
          <w:szCs w:val="24"/>
        </w:rPr>
        <w:t xml:space="preserve"> </w:t>
      </w:r>
      <w:r>
        <w:rPr>
          <w:rStyle w:val="PlaceholderText"/>
          <w:color w:val="000000"/>
          <w:szCs w:val="24"/>
        </w:rPr>
        <w:t>na podporu štúdií, analýz a organizáciu odborných podujatí v oblasti medzinárodných vzťahov a zahraničnej politiky Slovenskej republiky</w:t>
      </w:r>
      <w:r>
        <w:rPr>
          <w:rStyle w:val="PlaceholderText"/>
          <w:szCs w:val="24"/>
        </w:rPr>
        <w:t xml:space="preserve"> </w:t>
      </w:r>
      <w:r>
        <w:rPr>
          <w:rStyle w:val="PlaceholderText"/>
          <w:color w:val="000000"/>
          <w:szCs w:val="24"/>
        </w:rPr>
        <w:t>občianskym združeniam, nadáciám, neziskovým organizáciám, právnickým osobám zriadeným osobitným zákonom a fyzickým osobám. Ministerstvo týmto napĺňa politiku štátu  na podporu mimovládnych organizácií najmä tých, ktoré sa prednostne zaoberajú zahraničnou politikou a medzinárodnými vzťahmi. Prostredníctvom dotačného systému vytvára možnosti podpory komunikácie MVO s občianskou spoločnosťou, odbornou verejnosťou a regionálnymi mienkotvorcami vo vzťahu k zahraničnej politike a medzinárodným vzťahom a nadväzne ich praktickú aplikáciu v živote občianskej spoločnosti. Cieľom podpory je lepšia informovanosť verejnosti alebo vybranej skupiny obyvateľov a zapojenie širšej verejnosti do politiky štátu v oblasti zahraničnopolitických priorít.</w:t>
      </w:r>
    </w:p>
    <w:p>
      <w:pPr>
        <w:jc w:val="both"/>
        <w:rPr>
          <w:rStyle w:val="PlaceholderText"/>
          <w:color w:val="000000"/>
          <w:szCs w:val="24"/>
        </w:rPr>
      </w:pPr>
      <w:r>
        <w:rPr>
          <w:rStyle w:val="PlaceholderText"/>
          <w:color w:val="000000"/>
          <w:szCs w:val="24"/>
        </w:rPr>
        <w:t> </w:t>
      </w:r>
    </w:p>
    <w:p>
      <w:pPr>
        <w:jc w:val="both"/>
        <w:rPr>
          <w:rStyle w:val="PlaceholderText"/>
          <w:color w:val="000000"/>
          <w:szCs w:val="24"/>
        </w:rPr>
      </w:pPr>
      <w:r>
        <w:rPr>
          <w:rStyle w:val="PlaceholderText"/>
          <w:color w:val="000000"/>
          <w:szCs w:val="24"/>
        </w:rPr>
        <w:t xml:space="preserve">         Od získania plnoprávneho členstva v OECD v roku 2000 sa Slovenská republika podieľa na financovaní činnosti organizácie formou povinného členského príspevku. V roku 2001 sa zaviazala Slovenská republika uhrádzať dobrovoľný príspevok do OECD. V roku 2007 bol tento príspevok, z ktorého sa financujú  projektové aktivity ministerstiev a ostatných ústredných orgánov štátnej správy zohľadňujúc ich špecifické aktivity súvisiace s členstvom v OECD,  schválený na obdobie rokov 2008 - 2011. Umožnilo sa  časť z určených prostriedkov  poukazovať na účet OECD v Paríži a časť  poskytovať rezortom, časť iným právnickým osobám na základe osobitného predpisu formou dotácie na realizáciu spoločných projektov Slovenskej republiky a OECD. Cieľom ministerstva je aj v budúcom období riadiť a koordinovať spoločné projekty Slovenskej republiky a OECD, zabezpečiť finančné zdroje na ich dotovanie a zároveň rozšíriť okruh poberateĺov finančnej podpory štátu o iné právnické osoby. </w:t>
      </w:r>
    </w:p>
    <w:p>
      <w:pPr>
        <w:jc w:val="both"/>
        <w:rPr>
          <w:rStyle w:val="PlaceholderText"/>
          <w:color w:val="000000"/>
          <w:szCs w:val="24"/>
        </w:rPr>
      </w:pPr>
      <w:r>
        <w:rPr>
          <w:rStyle w:val="PlaceholderText"/>
          <w:color w:val="000000"/>
          <w:szCs w:val="24"/>
        </w:rPr>
        <w:t> </w:t>
      </w:r>
    </w:p>
    <w:p>
      <w:pPr>
        <w:jc w:val="both"/>
        <w:rPr>
          <w:rStyle w:val="PlaceholderText"/>
          <w:color w:val="000000"/>
          <w:szCs w:val="24"/>
        </w:rPr>
      </w:pPr>
      <w:r>
        <w:rPr>
          <w:rStyle w:val="PlaceholderText"/>
          <w:color w:val="000000"/>
          <w:szCs w:val="24"/>
        </w:rPr>
        <w:t xml:space="preserve">       V článku II sa navrhuje novelizovať zákon č. 617/2007 Z. z. o oficiálnej rozvojovej pomoci a o doplnení zákona č. 575/2001 Z. z. o organizácii činnosti vlády a organizácii ústrednej štátnej </w:t>
      </w:r>
    </w:p>
    <w:p>
      <w:pPr>
        <w:jc w:val="both"/>
        <w:rPr>
          <w:rStyle w:val="PlaceholderText"/>
          <w:color w:val="000000"/>
          <w:szCs w:val="24"/>
        </w:rPr>
      </w:pPr>
      <w:r>
        <w:rPr>
          <w:rStyle w:val="PlaceholderText"/>
          <w:color w:val="000000"/>
          <w:szCs w:val="24"/>
        </w:rPr>
        <w:t>správy v znení neskorších predpisov. V navrhnutých ustanoveniach sa umožňuje poskytovanie dotácií na oficiálnu rozvojovú pomoc. Dotácie poskytuje agentúra, zriadená podľa citovaného zákona. Novelizačné ustanovenia upravujú predmet poskytnutia dotácie, ďalšie podmienky poskytovania dotácie, upravuje sa výška spolufinancovania projektov oficiálnej rozvojovej pomoci. Návrh obsahuje splnomocňovacie ustanovenie na vydanie vykonávacieho predpisu, ktorým budú upravené podrobnosti žiadosti o dotáciu, zmluvy o poskytnutí dotácie a výzvy na predkladanie programov a projektov oficiálnej rozvojovej pomoci.</w:t>
      </w:r>
    </w:p>
    <w:p>
      <w:pPr>
        <w:jc w:val="both"/>
        <w:rPr>
          <w:rStyle w:val="PlaceholderText"/>
          <w:color w:val="000000"/>
          <w:szCs w:val="24"/>
        </w:rPr>
      </w:pPr>
      <w:r>
        <w:rPr>
          <w:rStyle w:val="PlaceholderText"/>
          <w:color w:val="000000"/>
          <w:szCs w:val="24"/>
        </w:rPr>
        <w:t> </w:t>
      </w:r>
    </w:p>
    <w:p>
      <w:pPr>
        <w:jc w:val="both"/>
        <w:rPr>
          <w:rStyle w:val="PlaceholderText"/>
          <w:color w:val="000000"/>
          <w:szCs w:val="24"/>
        </w:rPr>
      </w:pPr>
      <w:r>
        <w:rPr>
          <w:rStyle w:val="PlaceholderText"/>
          <w:color w:val="000000"/>
          <w:szCs w:val="24"/>
        </w:rPr>
        <w:t>       Návrh zákona je v súlade s Ústavou Slovenskej republiky, zákonmi a ostatnými všeobecne záväznými právnymi predpismi Slovenskej republiky, s medzinárodnými zmluvami a inými dokumentmi, ktorými je Slovenská republika viazaná, ako aj s právom Európskej únie.</w:t>
      </w:r>
    </w:p>
    <w:p>
      <w:pPr>
        <w:jc w:val="both"/>
        <w:rPr>
          <w:rStyle w:val="PlaceholderText"/>
          <w:color w:val="000000"/>
          <w:szCs w:val="24"/>
        </w:rPr>
      </w:pPr>
      <w:r>
        <w:rPr>
          <w:rStyle w:val="PlaceholderText"/>
          <w:color w:val="000000"/>
          <w:szCs w:val="24"/>
        </w:rPr>
        <w:t> </w:t>
      </w:r>
    </w:p>
    <w:p>
      <w:pPr>
        <w:jc w:val="both"/>
        <w:rPr>
          <w:rStyle w:val="PlaceholderText"/>
          <w:color w:val="000000"/>
          <w:szCs w:val="24"/>
        </w:rPr>
      </w:pPr>
      <w:r>
        <w:rPr>
          <w:rStyle w:val="PlaceholderText"/>
          <w:color w:val="000000"/>
          <w:szCs w:val="24"/>
        </w:rPr>
        <w:t xml:space="preserve">        Návrh zákona nebude mať vplyv na štátny rozpočet, nebude mať vplyv na rozpočty vyšších územných celkov a rozpočty obcí. Návrh zákona nebude mať negatívny vplyv na obyvateľov, hospodárenie podnikateľskej </w:t>
      </w:r>
      <w:r>
        <w:rPr>
          <w:rStyle w:val="PlaceholderText"/>
          <w:b/>
          <w:color w:val="000000"/>
          <w:szCs w:val="24"/>
        </w:rPr>
        <w:t> </w:t>
      </w:r>
      <w:r>
        <w:rPr>
          <w:rStyle w:val="PlaceholderText"/>
          <w:color w:val="000000"/>
          <w:szCs w:val="24"/>
        </w:rPr>
        <w:t>sféry a iných právnických osôb. Návrh zákona nemá vplyv na životné prostredie, na zamestnanosť a na podnikateľské prostredie. </w:t>
      </w:r>
    </w:p>
    <w:p>
      <w:pPr>
        <w:jc w:val="both"/>
        <w:rPr>
          <w:rStyle w:val="PlaceholderText"/>
          <w:color w:val="000000"/>
          <w:szCs w:val="24"/>
        </w:rPr>
      </w:pPr>
      <w:r>
        <w:rPr>
          <w:rStyle w:val="PlaceholderText"/>
          <w:b/>
          <w:color w:val="3366FF"/>
          <w:szCs w:val="24"/>
        </w:rPr>
        <w:t xml:space="preserve">  </w:t>
      </w:r>
    </w:p>
    <w:p>
      <w:pPr>
        <w:jc w:val="both"/>
        <w:rPr>
          <w:rStyle w:val="PlaceholderText"/>
          <w:color w:val="000000"/>
          <w:szCs w:val="24"/>
        </w:rPr>
      </w:pPr>
      <w:r>
        <w:rPr>
          <w:rStyle w:val="PlaceholderText"/>
          <w:color w:val="000000"/>
          <w:szCs w:val="24"/>
        </w:rPr>
        <w:t> </w:t>
      </w:r>
    </w:p>
    <w:p>
      <w:pPr>
        <w:spacing w:after="280" w:afterAutospacing="1"/>
        <w:rPr>
          <w:rStyle w:val="PlaceholderText"/>
          <w:color w:val="000000"/>
          <w:szCs w:val="24"/>
        </w:rPr>
      </w:pPr>
      <w:r>
        <w:rPr>
          <w:rStyle w:val="PlaceholderText"/>
          <w:color w:val="000000"/>
          <w:szCs w:val="24"/>
        </w:rPr>
        <w:t> </w:t>
      </w:r>
    </w:p>
    <w:p>
      <w:pPr>
        <w:spacing w:after="280" w:afterAutospacing="1"/>
        <w:rPr>
          <w:rStyle w:val="PlaceholderText"/>
          <w:color w:val="000000"/>
          <w:szCs w:val="24"/>
        </w:rPr>
      </w:pPr>
    </w:p>
    <w:p>
      <w:pPr>
        <w:spacing w:after="280" w:afterAutospacing="1"/>
        <w:rPr>
          <w:rStyle w:val="PlaceholderText"/>
          <w:color w:val="000000"/>
          <w:szCs w:val="24"/>
        </w:rPr>
      </w:pPr>
    </w:p>
    <w:p>
      <w:pPr>
        <w:spacing w:after="280" w:afterAutospacing="1"/>
        <w:rPr>
          <w:rStyle w:val="PlaceholderText"/>
          <w:color w:val="000000"/>
          <w:szCs w:val="24"/>
        </w:rPr>
      </w:pPr>
    </w:p>
    <w:p>
      <w:pPr>
        <w:spacing w:after="280" w:afterAutospacing="1"/>
        <w:rPr>
          <w:rStyle w:val="PlaceholderText"/>
          <w:color w:val="000000"/>
          <w:szCs w:val="24"/>
        </w:rPr>
      </w:pPr>
    </w:p>
    <w:p>
      <w:pPr>
        <w:spacing w:after="280" w:afterAutospacing="1"/>
        <w:rPr>
          <w:rStyle w:val="PlaceholderText"/>
          <w:color w:val="000000"/>
          <w:szCs w:val="24"/>
        </w:rPr>
      </w:pPr>
    </w:p>
    <w:p>
      <w:pPr>
        <w:spacing w:after="280" w:afterAutospacing="1"/>
        <w:rPr>
          <w:rStyle w:val="PlaceholderText"/>
          <w:color w:val="000000"/>
          <w:szCs w:val="24"/>
        </w:rPr>
      </w:pPr>
    </w:p>
    <w:p>
      <w:pPr>
        <w:spacing w:after="280" w:afterAutospacing="1"/>
        <w:rPr>
          <w:rStyle w:val="PlaceholderText"/>
          <w:color w:val="000000"/>
          <w:szCs w:val="24"/>
        </w:rPr>
      </w:pPr>
    </w:p>
    <w:p>
      <w:pPr>
        <w:spacing w:after="280" w:afterAutospacing="1"/>
        <w:rPr>
          <w:rStyle w:val="PlaceholderText"/>
          <w:color w:val="000000"/>
          <w:szCs w:val="24"/>
        </w:rPr>
      </w:pPr>
    </w:p>
    <w:p>
      <w:pPr>
        <w:spacing w:after="280" w:afterAutospacing="1"/>
        <w:rPr>
          <w:rStyle w:val="PlaceholderText"/>
          <w:color w:val="000000"/>
          <w:szCs w:val="24"/>
        </w:rPr>
      </w:pPr>
    </w:p>
    <w:p>
      <w:pPr>
        <w:spacing w:after="280" w:afterAutospacing="1"/>
        <w:rPr>
          <w:rStyle w:val="PlaceholderText"/>
          <w:color w:val="000000"/>
          <w:szCs w:val="24"/>
        </w:rPr>
      </w:pPr>
    </w:p>
    <w:p>
      <w:pPr>
        <w:spacing w:after="280" w:afterAutospacing="1"/>
        <w:rPr>
          <w:rStyle w:val="PlaceholderText"/>
          <w:color w:val="000000"/>
          <w:szCs w:val="24"/>
        </w:rPr>
      </w:pPr>
    </w:p>
    <w:p>
      <w:pPr>
        <w:spacing w:after="280" w:afterAutospacing="1"/>
        <w:rPr>
          <w:rStyle w:val="PlaceholderText"/>
          <w:color w:val="000000"/>
          <w:szCs w:val="24"/>
        </w:rPr>
      </w:pPr>
    </w:p>
    <w:p>
      <w:pPr>
        <w:spacing w:after="280" w:afterAutospacing="1"/>
        <w:rPr>
          <w:rStyle w:val="PlaceholderText"/>
          <w:color w:val="000000"/>
          <w:szCs w:val="24"/>
        </w:rPr>
      </w:pPr>
    </w:p>
    <w:p>
      <w:pPr>
        <w:jc w:val="center"/>
        <w:rPr>
          <w:rFonts w:ascii="Times New Roman" w:hAnsi="Times New Roman" w:cs="Times New Roman"/>
          <w:b/>
          <w:caps/>
          <w:color w:val="000000"/>
          <w:spacing w:val="30"/>
          <w:szCs w:val="24"/>
        </w:rPr>
      </w:pPr>
      <w:r>
        <w:rPr>
          <w:rFonts w:ascii="Times New Roman" w:hAnsi="Times New Roman" w:cs="Times New Roman"/>
          <w:b/>
          <w:caps/>
          <w:color w:val="000000"/>
          <w:spacing w:val="30"/>
          <w:szCs w:val="24"/>
        </w:rPr>
        <w:t>Doložka</w:t>
      </w:r>
    </w:p>
    <w:p>
      <w:pPr>
        <w:jc w:val="center"/>
        <w:rPr>
          <w:rFonts w:ascii="Times New Roman" w:hAnsi="Times New Roman" w:cs="Times New Roman"/>
          <w:b/>
          <w:color w:val="000000"/>
          <w:szCs w:val="24"/>
        </w:rPr>
      </w:pPr>
      <w:r>
        <w:rPr>
          <w:rFonts w:ascii="Times New Roman" w:hAnsi="Times New Roman" w:cs="Times New Roman"/>
          <w:b/>
          <w:color w:val="000000"/>
          <w:szCs w:val="24"/>
        </w:rPr>
        <w:t>vybraných vplyvov</w:t>
      </w:r>
    </w:p>
    <w:p>
      <w:pPr>
        <w:rPr>
          <w:rFonts w:ascii="Times New Roman" w:hAnsi="Times New Roman" w:cs="Times New Roman"/>
          <w:color w:val="000000"/>
          <w:szCs w:val="24"/>
        </w:rPr>
      </w:pPr>
    </w:p>
    <w:p>
      <w:pPr>
        <w:rPr>
          <w:rFonts w:ascii="Times New Roman" w:hAnsi="Times New Roman" w:cs="Times New Roman"/>
          <w:color w:val="000000"/>
          <w:szCs w:val="24"/>
        </w:rPr>
      </w:pPr>
    </w:p>
    <w:p>
      <w:pPr>
        <w:jc w:val="both"/>
        <w:rPr>
          <w:rFonts w:ascii="Times New Roman" w:hAnsi="Times New Roman" w:cs="Times New Roman"/>
          <w:color w:val="000000"/>
          <w:szCs w:val="24"/>
        </w:rPr>
      </w:pPr>
      <w:r>
        <w:rPr>
          <w:rFonts w:ascii="Times New Roman" w:hAnsi="Times New Roman" w:cs="Times New Roman"/>
          <w:b/>
          <w:color w:val="000000"/>
          <w:szCs w:val="24"/>
        </w:rPr>
        <w:t xml:space="preserve">A.1. Názov materiálu: </w:t>
      </w:r>
      <w:r>
        <w:rPr>
          <w:rFonts w:ascii="Times New Roman" w:hAnsi="Times New Roman" w:cs="Times New Roman"/>
          <w:color w:val="000000"/>
          <w:szCs w:val="24"/>
        </w:rPr>
        <w:t>Návrh zákona o poskytovaní dotácií v pôsobnosti Ministerstva zahraničných vecí Slovenskej republiky a o zmene a doplnení zákona č. 617/2007 Z. z. o oficiálnej rozvojovej pomoci a o doplnení zákona č. 575/2001 Z. z. o organizácii činnosti vlády a organizácii ústrednej štátnej správy v znení neskorších predpisov </w:t>
      </w:r>
    </w:p>
    <w:p>
      <w:pPr>
        <w:jc w:val="both"/>
        <w:rPr>
          <w:rFonts w:ascii="Times New Roman" w:hAnsi="Times New Roman" w:cs="Times New Roman"/>
          <w:b/>
          <w:color w:val="000000"/>
          <w:szCs w:val="24"/>
        </w:rPr>
      </w:pPr>
      <w:r>
        <w:rPr>
          <w:rFonts w:ascii="Times New Roman" w:hAnsi="Times New Roman" w:cs="Times New Roman"/>
          <w:b/>
          <w:color w:val="000000"/>
          <w:szCs w:val="24"/>
        </w:rPr>
        <w:t xml:space="preserve">        Termín začatia a ukončenia PPK:</w:t>
      </w:r>
      <w:r>
        <w:rPr>
          <w:rFonts w:ascii="Times New Roman" w:hAnsi="Times New Roman" w:cs="Times New Roman"/>
          <w:color w:val="000000"/>
          <w:szCs w:val="24"/>
        </w:rPr>
        <w:t xml:space="preserve"> 4.5.2010-24.5.2010  </w:t>
      </w:r>
    </w:p>
    <w:p>
      <w:pPr>
        <w:jc w:val="both"/>
        <w:rPr>
          <w:rFonts w:ascii="Times New Roman" w:hAnsi="Times New Roman" w:cs="Times New Roman"/>
          <w:b/>
          <w:color w:val="000000"/>
          <w:szCs w:val="24"/>
        </w:rPr>
      </w:pPr>
    </w:p>
    <w:p>
      <w:pPr>
        <w:jc w:val="both"/>
        <w:rPr>
          <w:rFonts w:ascii="Times New Roman" w:hAnsi="Times New Roman" w:cs="Times New Roman"/>
          <w:b/>
          <w:color w:val="000000"/>
          <w:szCs w:val="24"/>
        </w:rPr>
      </w:pPr>
      <w:r>
        <w:rPr>
          <w:rFonts w:ascii="Times New Roman" w:hAnsi="Times New Roman" w:cs="Times New Roman"/>
          <w:b/>
          <w:color w:val="000000"/>
          <w:szCs w:val="24"/>
        </w:rPr>
        <w:t>A.2. Vplyvy:</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Pr>
      <w:tblGrid>
        <w:gridCol w:w="5758"/>
        <w:gridCol w:w="1206"/>
        <w:gridCol w:w="1206"/>
        <w:gridCol w:w="1206"/>
      </w:tblGrid>
      <w:tr>
        <w:tblPrEx>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pPr>
              <w:rPr>
                <w:rFonts w:ascii="Times New Roman" w:hAnsi="Times New Roman" w:cs="Times New Roman"/>
                <w:color w:val="000000"/>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pPr>
              <w:jc w:val="center"/>
              <w:rPr>
                <w:rFonts w:ascii="Times New Roman" w:hAnsi="Times New Roman" w:cs="Times New Roman"/>
                <w:color w:val="000000"/>
                <w:szCs w:val="24"/>
              </w:rPr>
            </w:pPr>
            <w:r>
              <w:rPr>
                <w:rFonts w:ascii="Times New Roman" w:hAnsi="Times New Roman" w:cs="Times New Roman"/>
                <w:color w:val="000000"/>
                <w:szCs w:val="24"/>
              </w:rPr>
              <w:t> Pozitívne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pPr>
              <w:jc w:val="center"/>
              <w:rPr>
                <w:rFonts w:ascii="Times New Roman" w:hAnsi="Times New Roman" w:cs="Times New Roman"/>
                <w:color w:val="000000"/>
                <w:szCs w:val="24"/>
              </w:rPr>
            </w:pPr>
            <w:r>
              <w:rPr>
                <w:rFonts w:ascii="Times New Roman" w:hAnsi="Times New Roman" w:cs="Times New Roman"/>
                <w:color w:val="000000"/>
                <w:szCs w:val="24"/>
              </w:rPr>
              <w:t> Žiadne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pPr>
              <w:jc w:val="center"/>
              <w:rPr>
                <w:rFonts w:ascii="Times New Roman" w:hAnsi="Times New Roman" w:cs="Times New Roman"/>
                <w:color w:val="000000"/>
                <w:szCs w:val="24"/>
              </w:rPr>
            </w:pPr>
            <w:r>
              <w:rPr>
                <w:rFonts w:ascii="Times New Roman" w:hAnsi="Times New Roman" w:cs="Times New Roman"/>
                <w:color w:val="000000"/>
                <w:szCs w:val="24"/>
              </w:rPr>
              <w:t> Negatívne </w:t>
            </w:r>
          </w:p>
        </w:tc>
      </w:tr>
      <w:tr>
        <w:tblPrEx>
          <w:tblW w:w="5000" w:type="pct"/>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pPr>
              <w:rPr>
                <w:rFonts w:ascii="Times New Roman" w:hAnsi="Times New Roman" w:cs="Times New Roman"/>
                <w:color w:val="000000"/>
                <w:szCs w:val="24"/>
              </w:rPr>
            </w:pPr>
            <w:r>
              <w:rPr>
                <w:rFonts w:ascii="Times New Roman" w:hAnsi="Times New Roman" w:cs="Times New Roman"/>
                <w:color w:val="000000"/>
                <w:szCs w:val="24"/>
              </w:rPr>
              <w:t>1. Vplyvy na rozpočet verejnej správy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pPr>
              <w:jc w:val="center"/>
              <w:rPr>
                <w:rFonts w:ascii="Times New Roman" w:hAnsi="Times New Roman" w:cs="Times New Roman"/>
                <w:color w:val="000000"/>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pPr>
              <w:jc w:val="center"/>
              <w:rPr>
                <w:rFonts w:ascii="Times New Roman" w:hAnsi="Times New Roman" w:cs="Times New Roman"/>
                <w:color w:val="000000"/>
                <w:szCs w:val="24"/>
              </w:rPr>
            </w:pPr>
            <w:r>
              <w:rPr>
                <w:rFonts w:ascii="Times New Roman" w:hAnsi="Times New Roman" w:cs="Times New Roman"/>
                <w:color w:val="000000"/>
                <w:szCs w:val="24"/>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pPr>
              <w:jc w:val="center"/>
              <w:rPr>
                <w:rFonts w:ascii="Times New Roman" w:hAnsi="Times New Roman" w:cs="Times New Roman"/>
                <w:color w:val="000000"/>
                <w:szCs w:val="24"/>
              </w:rPr>
            </w:pPr>
          </w:p>
        </w:tc>
      </w:tr>
      <w:tr>
        <w:tblPrEx>
          <w:tblW w:w="5000" w:type="pct"/>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pPr>
              <w:rPr>
                <w:rFonts w:ascii="Times New Roman" w:hAnsi="Times New Roman" w:cs="Times New Roman"/>
                <w:color w:val="000000"/>
                <w:szCs w:val="24"/>
              </w:rPr>
            </w:pPr>
            <w:r>
              <w:rPr>
                <w:rFonts w:ascii="Times New Roman" w:hAnsi="Times New Roman" w:cs="Times New Roman"/>
                <w:color w:val="000000"/>
                <w:szCs w:val="24"/>
              </w:rPr>
              <w:t>2. Vplyvy na podnikateľské prostredie – dochádza k zvýšeniu regulačného zaťaženia?</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pPr>
              <w:jc w:val="center"/>
              <w:rPr>
                <w:rFonts w:ascii="Times New Roman" w:hAnsi="Times New Roman" w:cs="Times New Roman"/>
                <w:color w:val="000000"/>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pPr>
              <w:jc w:val="center"/>
              <w:rPr>
                <w:rFonts w:ascii="Times New Roman" w:hAnsi="Times New Roman" w:cs="Times New Roman"/>
                <w:color w:val="000000"/>
                <w:szCs w:val="24"/>
              </w:rPr>
            </w:pPr>
            <w:r>
              <w:rPr>
                <w:rFonts w:ascii="Times New Roman" w:hAnsi="Times New Roman" w:cs="Times New Roman"/>
                <w:color w:val="000000"/>
                <w:szCs w:val="24"/>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pPr>
              <w:jc w:val="center"/>
              <w:rPr>
                <w:rFonts w:ascii="Times New Roman" w:hAnsi="Times New Roman" w:cs="Times New Roman"/>
                <w:color w:val="000000"/>
                <w:szCs w:val="24"/>
              </w:rPr>
            </w:pPr>
          </w:p>
        </w:tc>
      </w:tr>
      <w:tr>
        <w:tblPrEx>
          <w:tblW w:w="5000" w:type="pct"/>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pPr>
              <w:rPr>
                <w:rFonts w:ascii="Times New Roman" w:hAnsi="Times New Roman" w:cs="Times New Roman"/>
                <w:color w:val="000000"/>
                <w:szCs w:val="24"/>
              </w:rPr>
            </w:pPr>
            <w:r>
              <w:rPr>
                <w:rFonts w:ascii="Times New Roman" w:hAnsi="Times New Roman" w:cs="Times New Roman"/>
                <w:color w:val="000000"/>
                <w:szCs w:val="24"/>
              </w:rPr>
              <w:t>3. Sociálne vplyvy</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pPr>
              <w:rPr>
                <w:rFonts w:ascii="Times New Roman" w:hAnsi="Times New Roman" w:cs="Times New Roman"/>
                <w:color w:val="000000"/>
                <w:szCs w:val="24"/>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pPr>
              <w:rPr>
                <w:rFonts w:ascii="Times New Roman" w:hAnsi="Times New Roman" w:cs="Times New Roman"/>
                <w:color w:val="000000"/>
                <w:szCs w:val="24"/>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pPr>
              <w:rPr>
                <w:rFonts w:ascii="Times New Roman" w:hAnsi="Times New Roman" w:cs="Times New Roman"/>
                <w:color w:val="000000"/>
                <w:szCs w:val="24"/>
              </w:rPr>
            </w:pPr>
          </w:p>
        </w:tc>
      </w:tr>
      <w:tr>
        <w:tblPrEx>
          <w:tblW w:w="5000" w:type="pct"/>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pPr>
              <w:rPr>
                <w:rFonts w:ascii="Times New Roman" w:hAnsi="Times New Roman" w:cs="Times New Roman"/>
                <w:color w:val="000000"/>
                <w:szCs w:val="24"/>
              </w:rPr>
            </w:pPr>
            <w:r>
              <w:rPr>
                <w:rFonts w:ascii="Times New Roman" w:hAnsi="Times New Roman" w:cs="Times New Roman"/>
                <w:color w:val="000000"/>
                <w:szCs w:val="24"/>
              </w:rPr>
              <w:t>– vplyvy na hospodárenie obyvateľstva,</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pPr>
              <w:jc w:val="center"/>
              <w:rPr>
                <w:rFonts w:ascii="Times New Roman" w:hAnsi="Times New Roman" w:cs="Times New Roman"/>
                <w:color w:val="000000"/>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pPr>
              <w:jc w:val="center"/>
              <w:rPr>
                <w:rFonts w:ascii="Times New Roman" w:hAnsi="Times New Roman" w:cs="Times New Roman"/>
                <w:color w:val="000000"/>
                <w:szCs w:val="24"/>
              </w:rPr>
            </w:pPr>
            <w:r>
              <w:rPr>
                <w:rFonts w:ascii="Times New Roman" w:hAnsi="Times New Roman" w:cs="Times New Roman"/>
                <w:color w:val="000000"/>
                <w:szCs w:val="24"/>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pPr>
              <w:jc w:val="center"/>
              <w:rPr>
                <w:rFonts w:ascii="Times New Roman" w:hAnsi="Times New Roman" w:cs="Times New Roman"/>
                <w:color w:val="000000"/>
                <w:szCs w:val="24"/>
              </w:rPr>
            </w:pPr>
          </w:p>
        </w:tc>
      </w:tr>
      <w:tr>
        <w:tblPrEx>
          <w:tblW w:w="5000" w:type="pct"/>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pPr>
              <w:rPr>
                <w:rFonts w:ascii="Times New Roman" w:hAnsi="Times New Roman" w:cs="Times New Roman"/>
                <w:color w:val="000000"/>
                <w:szCs w:val="24"/>
              </w:rPr>
            </w:pPr>
            <w:r>
              <w:rPr>
                <w:rFonts w:ascii="Times New Roman" w:hAnsi="Times New Roman" w:cs="Times New Roman"/>
                <w:color w:val="000000"/>
                <w:szCs w:val="24"/>
              </w:rPr>
              <w:t>– sociálnu exklúziu,</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pPr>
              <w:jc w:val="center"/>
              <w:rPr>
                <w:rFonts w:ascii="Times New Roman" w:hAnsi="Times New Roman" w:cs="Times New Roman"/>
                <w:color w:val="000000"/>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pPr>
              <w:jc w:val="center"/>
              <w:rPr>
                <w:rFonts w:ascii="Times New Roman" w:hAnsi="Times New Roman" w:cs="Times New Roman"/>
                <w:color w:val="000000"/>
                <w:szCs w:val="24"/>
              </w:rPr>
            </w:pPr>
            <w:r>
              <w:rPr>
                <w:rFonts w:ascii="Times New Roman" w:hAnsi="Times New Roman" w:cs="Times New Roman"/>
                <w:color w:val="000000"/>
                <w:szCs w:val="24"/>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pPr>
              <w:jc w:val="center"/>
              <w:rPr>
                <w:rFonts w:ascii="Times New Roman" w:hAnsi="Times New Roman" w:cs="Times New Roman"/>
                <w:color w:val="000000"/>
                <w:szCs w:val="24"/>
              </w:rPr>
            </w:pPr>
          </w:p>
        </w:tc>
      </w:tr>
      <w:tr>
        <w:tblPrEx>
          <w:tblW w:w="5000" w:type="pct"/>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pPr>
              <w:rPr>
                <w:rFonts w:ascii="Times New Roman" w:hAnsi="Times New Roman" w:cs="Times New Roman"/>
                <w:color w:val="000000"/>
                <w:szCs w:val="24"/>
              </w:rPr>
            </w:pPr>
            <w:r>
              <w:rPr>
                <w:rFonts w:ascii="Times New Roman" w:hAnsi="Times New Roman" w:cs="Times New Roman"/>
                <w:color w:val="000000"/>
                <w:szCs w:val="24"/>
              </w:rPr>
              <w:t>– rovnosť príležitostí a rodovú rovnosť a vplyvy na zamestnanosť</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pPr>
              <w:jc w:val="center"/>
              <w:rPr>
                <w:rFonts w:ascii="Times New Roman" w:hAnsi="Times New Roman" w:cs="Times New Roman"/>
                <w:color w:val="000000"/>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pPr>
              <w:jc w:val="center"/>
              <w:rPr>
                <w:rFonts w:ascii="Times New Roman" w:hAnsi="Times New Roman" w:cs="Times New Roman"/>
                <w:color w:val="000000"/>
                <w:szCs w:val="24"/>
              </w:rPr>
            </w:pPr>
            <w:r>
              <w:rPr>
                <w:rFonts w:ascii="Times New Roman" w:hAnsi="Times New Roman" w:cs="Times New Roman"/>
                <w:color w:val="000000"/>
                <w:szCs w:val="24"/>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pPr>
              <w:jc w:val="center"/>
              <w:rPr>
                <w:rFonts w:ascii="Times New Roman" w:hAnsi="Times New Roman" w:cs="Times New Roman"/>
                <w:color w:val="000000"/>
                <w:szCs w:val="24"/>
              </w:rPr>
            </w:pPr>
          </w:p>
        </w:tc>
      </w:tr>
      <w:tr>
        <w:tblPrEx>
          <w:tblW w:w="5000" w:type="pct"/>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pPr>
              <w:rPr>
                <w:rFonts w:ascii="Times New Roman" w:hAnsi="Times New Roman" w:cs="Times New Roman"/>
                <w:color w:val="000000"/>
                <w:szCs w:val="24"/>
              </w:rPr>
            </w:pPr>
            <w:r>
              <w:rPr>
                <w:rFonts w:ascii="Times New Roman" w:hAnsi="Times New Roman" w:cs="Times New Roman"/>
                <w:color w:val="000000"/>
                <w:szCs w:val="24"/>
              </w:rPr>
              <w:t>4. Vplyvy na životné prostredie</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pPr>
              <w:jc w:val="center"/>
              <w:rPr>
                <w:rFonts w:ascii="Times New Roman" w:hAnsi="Times New Roman" w:cs="Times New Roman"/>
                <w:color w:val="000000"/>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pPr>
              <w:jc w:val="center"/>
              <w:rPr>
                <w:rFonts w:ascii="Times New Roman" w:hAnsi="Times New Roman" w:cs="Times New Roman"/>
                <w:color w:val="000000"/>
                <w:szCs w:val="24"/>
              </w:rPr>
            </w:pPr>
            <w:r>
              <w:rPr>
                <w:rFonts w:ascii="Times New Roman" w:hAnsi="Times New Roman" w:cs="Times New Roman"/>
                <w:color w:val="000000"/>
                <w:szCs w:val="24"/>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pPr>
              <w:jc w:val="center"/>
              <w:rPr>
                <w:rFonts w:ascii="Times New Roman" w:hAnsi="Times New Roman" w:cs="Times New Roman"/>
                <w:color w:val="000000"/>
                <w:szCs w:val="24"/>
              </w:rPr>
            </w:pPr>
          </w:p>
        </w:tc>
      </w:tr>
      <w:tr>
        <w:tblPrEx>
          <w:tblW w:w="5000" w:type="pct"/>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pPr>
              <w:rPr>
                <w:rFonts w:ascii="Times New Roman" w:hAnsi="Times New Roman" w:cs="Times New Roman"/>
                <w:color w:val="000000"/>
                <w:szCs w:val="24"/>
              </w:rPr>
            </w:pPr>
            <w:r>
              <w:rPr>
                <w:rFonts w:ascii="Times New Roman" w:hAnsi="Times New Roman" w:cs="Times New Roman"/>
                <w:color w:val="000000"/>
                <w:szCs w:val="24"/>
              </w:rPr>
              <w:t>5. Vplyvy na informatizáciu spoločnosti</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pPr>
              <w:jc w:val="center"/>
              <w:rPr>
                <w:rFonts w:ascii="Times New Roman" w:hAnsi="Times New Roman" w:cs="Times New Roman"/>
                <w:color w:val="000000"/>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pPr>
              <w:jc w:val="center"/>
              <w:rPr>
                <w:rFonts w:ascii="Times New Roman" w:hAnsi="Times New Roman" w:cs="Times New Roman"/>
                <w:color w:val="000000"/>
                <w:szCs w:val="24"/>
              </w:rPr>
            </w:pPr>
            <w:r>
              <w:rPr>
                <w:rFonts w:ascii="Times New Roman" w:hAnsi="Times New Roman" w:cs="Times New Roman"/>
                <w:color w:val="000000"/>
                <w:szCs w:val="24"/>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pPr>
              <w:jc w:val="center"/>
              <w:rPr>
                <w:rFonts w:ascii="Times New Roman" w:hAnsi="Times New Roman" w:cs="Times New Roman"/>
                <w:color w:val="000000"/>
                <w:szCs w:val="24"/>
              </w:rPr>
            </w:pPr>
          </w:p>
        </w:tc>
      </w:tr>
    </w:tbl>
    <w:p>
      <w:pPr>
        <w:rPr>
          <w:rFonts w:ascii="Times New Roman" w:hAnsi="Times New Roman" w:cs="Times New Roman"/>
          <w:color w:val="000000"/>
          <w:szCs w:val="24"/>
        </w:rPr>
      </w:pPr>
      <w:r>
        <w:rPr>
          <w:rFonts w:ascii="Times New Roman" w:hAnsi="Times New Roman" w:cs="Times New Roman"/>
          <w:color w:val="000000"/>
          <w:szCs w:val="24"/>
        </w:rPr>
        <w:t> </w:t>
      </w:r>
    </w:p>
    <w:p>
      <w:pPr>
        <w:jc w:val="both"/>
        <w:rPr>
          <w:rFonts w:ascii="Times New Roman" w:hAnsi="Times New Roman" w:cs="Times New Roman"/>
          <w:b/>
          <w:color w:val="000000"/>
          <w:szCs w:val="24"/>
        </w:rPr>
      </w:pPr>
    </w:p>
    <w:p>
      <w:pPr>
        <w:jc w:val="both"/>
        <w:rPr>
          <w:rFonts w:ascii="Times New Roman" w:hAnsi="Times New Roman" w:cs="Times New Roman"/>
          <w:b/>
          <w:color w:val="000000"/>
          <w:szCs w:val="24"/>
        </w:rPr>
      </w:pPr>
      <w:r>
        <w:rPr>
          <w:rFonts w:ascii="Times New Roman" w:hAnsi="Times New Roman" w:cs="Times New Roman"/>
          <w:b/>
          <w:color w:val="000000"/>
          <w:szCs w:val="24"/>
        </w:rPr>
        <w:t>A.3. Poznámky</w:t>
      </w:r>
    </w:p>
    <w:p>
      <w:pPr>
        <w:spacing w:after="280" w:afterAutospacing="1"/>
        <w:rPr>
          <w:rFonts w:ascii="Times New Roman" w:hAnsi="Times New Roman" w:cs="Times New Roman"/>
          <w:color w:val="000000"/>
          <w:szCs w:val="24"/>
        </w:rPr>
      </w:pPr>
      <w:r>
        <w:rPr>
          <w:rFonts w:ascii="Times New Roman" w:hAnsi="Times New Roman" w:cs="Times New Roman"/>
          <w:color w:val="000000"/>
          <w:szCs w:val="24"/>
        </w:rPr>
        <w:t> </w:t>
      </w:r>
    </w:p>
    <w:p>
      <w:pPr>
        <w:spacing w:after="280" w:afterAutospacing="1"/>
        <w:rPr>
          <w:rFonts w:ascii="Times New Roman" w:hAnsi="Times New Roman" w:cs="Times New Roman"/>
          <w:color w:val="000000"/>
          <w:szCs w:val="24"/>
        </w:rPr>
      </w:pPr>
      <w:r>
        <w:rPr>
          <w:rFonts w:ascii="Times New Roman" w:hAnsi="Times New Roman" w:cs="Times New Roman"/>
          <w:color w:val="000000"/>
          <w:szCs w:val="24"/>
        </w:rPr>
        <w:t> </w:t>
      </w:r>
    </w:p>
    <w:p>
      <w:pPr>
        <w:jc w:val="both"/>
        <w:rPr>
          <w:rFonts w:ascii="Times New Roman" w:hAnsi="Times New Roman" w:cs="Times New Roman"/>
          <w:i/>
          <w:color w:val="000000"/>
          <w:szCs w:val="24"/>
        </w:rPr>
      </w:pPr>
      <w:r>
        <w:rPr>
          <w:rFonts w:ascii="Times New Roman" w:hAnsi="Times New Roman" w:cs="Times New Roman"/>
          <w:i/>
          <w:color w:val="000000"/>
          <w:szCs w:val="24"/>
        </w:rPr>
        <w:t xml:space="preserve">      </w:t>
      </w:r>
    </w:p>
    <w:p>
      <w:pPr>
        <w:jc w:val="both"/>
        <w:rPr>
          <w:rFonts w:ascii="Times New Roman" w:hAnsi="Times New Roman" w:cs="Times New Roman"/>
          <w:b/>
          <w:color w:val="000000"/>
          <w:szCs w:val="24"/>
        </w:rPr>
      </w:pPr>
      <w:r>
        <w:rPr>
          <w:rFonts w:ascii="Times New Roman" w:hAnsi="Times New Roman" w:cs="Times New Roman"/>
          <w:b/>
          <w:color w:val="000000"/>
          <w:szCs w:val="24"/>
        </w:rPr>
        <w:t>A.4. Alternatívne riešenia</w:t>
      </w:r>
    </w:p>
    <w:p>
      <w:pPr>
        <w:spacing w:after="280" w:afterAutospacing="1"/>
        <w:rPr>
          <w:rFonts w:ascii="Times New Roman" w:hAnsi="Times New Roman" w:cs="Times New Roman"/>
          <w:b/>
          <w:color w:val="000000"/>
          <w:szCs w:val="24"/>
        </w:rPr>
      </w:pPr>
      <w:r>
        <w:rPr>
          <w:rFonts w:ascii="Times New Roman" w:hAnsi="Times New Roman" w:cs="Times New Roman"/>
          <w:color w:val="000000"/>
          <w:szCs w:val="24"/>
        </w:rPr>
        <w:t> </w:t>
      </w:r>
    </w:p>
    <w:p>
      <w:pPr>
        <w:spacing w:after="280" w:afterAutospacing="1"/>
        <w:rPr>
          <w:rFonts w:ascii="Times New Roman" w:hAnsi="Times New Roman" w:cs="Times New Roman"/>
          <w:color w:val="000000"/>
          <w:szCs w:val="24"/>
        </w:rPr>
      </w:pPr>
      <w:r>
        <w:rPr>
          <w:rFonts w:ascii="Times New Roman" w:hAnsi="Times New Roman" w:cs="Times New Roman"/>
          <w:color w:val="000000"/>
          <w:szCs w:val="24"/>
        </w:rPr>
        <w:t> </w:t>
      </w:r>
    </w:p>
    <w:p>
      <w:pPr>
        <w:jc w:val="both"/>
        <w:rPr>
          <w:rFonts w:ascii="Times New Roman" w:hAnsi="Times New Roman" w:cs="Times New Roman"/>
          <w:b/>
          <w:color w:val="000000"/>
          <w:szCs w:val="24"/>
        </w:rPr>
      </w:pPr>
    </w:p>
    <w:p>
      <w:pPr>
        <w:jc w:val="both"/>
        <w:rPr>
          <w:rFonts w:ascii="Times New Roman" w:hAnsi="Times New Roman" w:cs="Times New Roman"/>
          <w:b/>
          <w:color w:val="000000"/>
          <w:szCs w:val="24"/>
        </w:rPr>
      </w:pPr>
      <w:r>
        <w:rPr>
          <w:rFonts w:ascii="Times New Roman" w:hAnsi="Times New Roman" w:cs="Times New Roman"/>
          <w:b/>
          <w:color w:val="000000"/>
          <w:szCs w:val="24"/>
        </w:rPr>
        <w:t>A.5. Stanovisko gestorov</w:t>
      </w:r>
    </w:p>
    <w:p>
      <w:pPr>
        <w:spacing w:after="280" w:afterAutospacing="1"/>
        <w:rPr>
          <w:rFonts w:ascii="Times New Roman" w:hAnsi="Times New Roman" w:cs="Times New Roman"/>
          <w:b/>
          <w:color w:val="000000"/>
          <w:szCs w:val="24"/>
        </w:rPr>
      </w:pPr>
      <w:r>
        <w:rPr>
          <w:rFonts w:ascii="Times New Roman" w:hAnsi="Times New Roman" w:cs="Times New Roman"/>
          <w:color w:val="000000"/>
          <w:szCs w:val="24"/>
        </w:rPr>
        <w:t> </w:t>
      </w:r>
    </w:p>
    <w:p>
      <w:pPr>
        <w:spacing w:after="280" w:afterAutospacing="1"/>
        <w:rPr>
          <w:rFonts w:ascii="Times New Roman" w:hAnsi="Times New Roman" w:cs="Times New Roman"/>
          <w:color w:val="000000"/>
          <w:szCs w:val="24"/>
        </w:rPr>
      </w:pPr>
      <w:r>
        <w:rPr>
          <w:rFonts w:ascii="Times New Roman" w:hAnsi="Times New Roman" w:cs="Times New Roman"/>
          <w:color w:val="000000"/>
          <w:szCs w:val="24"/>
        </w:rPr>
        <w:t> </w:t>
      </w:r>
    </w:p>
    <w:p>
      <w:pPr>
        <w:jc w:val="center"/>
        <w:rPr>
          <w:rFonts w:ascii="Times New Roman" w:hAnsi="Times New Roman" w:cs="Times New Roman"/>
          <w:b/>
          <w:caps/>
          <w:spacing w:val="30"/>
          <w:szCs w:val="24"/>
        </w:rPr>
      </w:pPr>
    </w:p>
    <w:p>
      <w:pPr>
        <w:jc w:val="center"/>
        <w:rPr>
          <w:rFonts w:ascii="Times New Roman" w:hAnsi="Times New Roman" w:cs="Times New Roman"/>
          <w:b/>
          <w:caps/>
          <w:spacing w:val="30"/>
          <w:szCs w:val="24"/>
        </w:rPr>
      </w:pPr>
    </w:p>
    <w:p>
      <w:pPr>
        <w:jc w:val="center"/>
        <w:rPr>
          <w:rFonts w:ascii="Times New Roman" w:hAnsi="Times New Roman" w:cs="Times New Roman"/>
          <w:b/>
          <w:caps/>
          <w:spacing w:val="30"/>
          <w:szCs w:val="24"/>
        </w:rPr>
      </w:pPr>
    </w:p>
    <w:p>
      <w:pPr>
        <w:jc w:val="center"/>
        <w:rPr>
          <w:rFonts w:ascii="Times New Roman" w:hAnsi="Times New Roman" w:cs="Times New Roman"/>
          <w:b/>
          <w:caps/>
          <w:spacing w:val="30"/>
          <w:szCs w:val="24"/>
        </w:rPr>
      </w:pPr>
    </w:p>
    <w:p>
      <w:pPr>
        <w:jc w:val="center"/>
        <w:rPr>
          <w:rFonts w:ascii="Times New Roman" w:hAnsi="Times New Roman" w:cs="Times New Roman"/>
          <w:b/>
          <w:caps/>
          <w:spacing w:val="30"/>
          <w:szCs w:val="24"/>
        </w:rPr>
      </w:pPr>
    </w:p>
    <w:p>
      <w:pPr>
        <w:jc w:val="center"/>
        <w:rPr>
          <w:rFonts w:ascii="Times New Roman" w:hAnsi="Times New Roman" w:cs="Times New Roman"/>
          <w:b/>
          <w:caps/>
          <w:spacing w:val="30"/>
          <w:szCs w:val="24"/>
        </w:rPr>
      </w:pPr>
      <w:r>
        <w:rPr>
          <w:rFonts w:ascii="Times New Roman" w:hAnsi="Times New Roman" w:cs="Times New Roman"/>
          <w:b/>
          <w:caps/>
          <w:spacing w:val="30"/>
          <w:szCs w:val="24"/>
        </w:rPr>
        <w:t>Doložka zlučiteľnosti</w:t>
      </w:r>
    </w:p>
    <w:p>
      <w:pPr>
        <w:jc w:val="center"/>
        <w:rPr>
          <w:rFonts w:ascii="Times New Roman" w:hAnsi="Times New Roman" w:cs="Times New Roman"/>
          <w:b/>
          <w:szCs w:val="24"/>
        </w:rPr>
      </w:pPr>
      <w:r>
        <w:rPr>
          <w:rFonts w:ascii="Times New Roman" w:hAnsi="Times New Roman" w:cs="Times New Roman"/>
          <w:b/>
          <w:szCs w:val="24"/>
        </w:rPr>
        <w:t>právneho predpisu s právom Európskej únie </w:t>
      </w:r>
    </w:p>
    <w:p>
      <w:pPr>
        <w:rPr>
          <w:rFonts w:ascii="Times New Roman" w:hAnsi="Times New Roman" w:cs="Times New Roman"/>
          <w:szCs w:val="24"/>
        </w:rPr>
      </w:pPr>
    </w:p>
    <w:p>
      <w:pPr>
        <w:rPr>
          <w:rFonts w:ascii="Times New Roman" w:hAnsi="Times New Roman" w:cs="Times New Roman"/>
          <w:szCs w:val="24"/>
        </w:rPr>
      </w:pPr>
    </w:p>
    <w:p>
      <w:pPr>
        <w:ind w:left="360" w:hanging="360"/>
        <w:rPr>
          <w:rFonts w:ascii="Times New Roman" w:hAnsi="Times New Roman" w:cs="Times New Roman"/>
          <w:b/>
          <w:szCs w:val="24"/>
        </w:rPr>
      </w:pPr>
      <w:r>
        <w:rPr>
          <w:rFonts w:ascii="Times New Roman" w:hAnsi="Times New Roman" w:cs="Times New Roman"/>
          <w:b/>
          <w:szCs w:val="24"/>
        </w:rPr>
        <w:t>1.</w:t>
        <w:tab/>
        <w:t>Predkladateľ právneho predpisu:</w:t>
      </w:r>
      <w:r>
        <w:rPr>
          <w:rFonts w:ascii="Times New Roman" w:hAnsi="Times New Roman" w:cs="Times New Roman"/>
          <w:szCs w:val="24"/>
        </w:rPr>
        <w:t xml:space="preserve"> vláda Slovenskej republiky </w:t>
      </w:r>
    </w:p>
    <w:p>
      <w:pPr>
        <w:tabs>
          <w:tab w:val="left" w:pos="360"/>
        </w:tabs>
        <w:ind w:left="360"/>
        <w:rPr>
          <w:rFonts w:ascii="Times New Roman" w:hAnsi="Times New Roman" w:cs="Times New Roman"/>
          <w:szCs w:val="24"/>
        </w:rPr>
      </w:pPr>
      <w:r>
        <w:rPr>
          <w:rFonts w:ascii="Times New Roman" w:hAnsi="Times New Roman" w:cs="Times New Roman"/>
          <w:szCs w:val="24"/>
        </w:rPr>
        <w:t xml:space="preserve"> </w:t>
      </w:r>
    </w:p>
    <w:p>
      <w:pPr>
        <w:ind w:left="360" w:hanging="360"/>
        <w:jc w:val="both"/>
        <w:rPr>
          <w:rFonts w:ascii="Times New Roman" w:hAnsi="Times New Roman" w:cs="Times New Roman"/>
          <w:b/>
          <w:szCs w:val="24"/>
        </w:rPr>
      </w:pPr>
      <w:r>
        <w:rPr>
          <w:rFonts w:ascii="Times New Roman" w:hAnsi="Times New Roman" w:cs="Times New Roman"/>
          <w:b/>
          <w:szCs w:val="24"/>
        </w:rPr>
        <w:t>2.</w:t>
        <w:tab/>
        <w:t>Názov návrhu právneho predpisu:</w:t>
      </w:r>
      <w:r>
        <w:rPr>
          <w:rFonts w:ascii="Times New Roman" w:hAnsi="Times New Roman" w:cs="Times New Roman"/>
          <w:szCs w:val="24"/>
        </w:rPr>
        <w:t xml:space="preserve"> Návrh zákona o poskytovaní dotácií v pôsobnosti Ministerstva zahraničných vecí Slovenskej republiky a o zmene a doplnení zákona č. 617/2007 Z. z. o oficiálnej rozvojovej pomoci a o doplnení zákona č. 575/2001 Z. z. o organizácii činnosti vlády a organizácii ústrednej štátnej správy v znení neskorších predpisov </w:t>
      </w:r>
    </w:p>
    <w:p>
      <w:pPr>
        <w:jc w:val="both"/>
        <w:rPr>
          <w:rFonts w:ascii="Times New Roman" w:hAnsi="Times New Roman" w:cs="Times New Roman"/>
          <w:szCs w:val="24"/>
        </w:rPr>
      </w:pPr>
    </w:p>
    <w:p>
      <w:pPr>
        <w:ind w:left="360" w:hanging="360"/>
        <w:jc w:val="both"/>
        <w:rPr>
          <w:rFonts w:ascii="Times New Roman" w:hAnsi="Times New Roman" w:cs="Times New Roman"/>
          <w:b/>
          <w:szCs w:val="24"/>
        </w:rPr>
      </w:pPr>
      <w:r>
        <w:rPr>
          <w:rFonts w:ascii="Times New Roman" w:hAnsi="Times New Roman" w:cs="Times New Roman"/>
          <w:b/>
          <w:szCs w:val="24"/>
        </w:rPr>
        <w:t>3.</w:t>
        <w:tab/>
        <w:t>Problematika návrhu právneho predpisu:</w:t>
      </w:r>
    </w:p>
    <w:p>
      <w:pPr>
        <w:ind w:firstLine="360"/>
        <w:jc w:val="both"/>
        <w:rPr>
          <w:rFonts w:ascii="Times New Roman" w:hAnsi="Times New Roman" w:cs="Times New Roman"/>
          <w:szCs w:val="24"/>
        </w:rPr>
      </w:pPr>
    </w:p>
    <w:p>
      <w:pPr>
        <w:ind w:left="709" w:hanging="349"/>
        <w:jc w:val="both"/>
        <w:rPr>
          <w:rFonts w:ascii="Times New Roman" w:hAnsi="Times New Roman" w:cs="Times New Roman"/>
          <w:szCs w:val="24"/>
        </w:rPr>
      </w:pPr>
      <w:r>
        <w:rPr>
          <w:rFonts w:ascii="Times New Roman" w:hAnsi="Times New Roman" w:cs="Times New Roman"/>
          <w:szCs w:val="24"/>
        </w:rPr>
        <w:t>a)</w:t>
        <w:tab/>
        <w:t>je upravená v práve Európskej únie</w:t>
      </w:r>
    </w:p>
    <w:p>
      <w:pPr>
        <w:ind w:firstLine="360"/>
        <w:jc w:val="both"/>
        <w:rPr>
          <w:rFonts w:ascii="Times New Roman" w:hAnsi="Times New Roman" w:cs="Times New Roman"/>
          <w:i/>
          <w:szCs w:val="24"/>
        </w:rPr>
      </w:pPr>
      <w:r>
        <w:rPr>
          <w:rFonts w:ascii="Times New Roman" w:hAnsi="Times New Roman" w:cs="Times New Roman"/>
          <w:szCs w:val="24"/>
        </w:rPr>
        <w:t xml:space="preserve">    </w:t>
      </w:r>
      <w:r>
        <w:rPr>
          <w:rFonts w:ascii="Times New Roman" w:hAnsi="Times New Roman" w:cs="Times New Roman"/>
          <w:i/>
          <w:szCs w:val="24"/>
        </w:rPr>
        <w:t>- primárnom</w:t>
      </w:r>
    </w:p>
    <w:p>
      <w:pPr>
        <w:ind w:left="709" w:hanging="349"/>
        <w:jc w:val="both"/>
        <w:rPr>
          <w:rFonts w:ascii="Times New Roman" w:hAnsi="Times New Roman" w:cs="Times New Roman"/>
          <w:szCs w:val="24"/>
        </w:rPr>
      </w:pPr>
      <w:r>
        <w:rPr>
          <w:rFonts w:ascii="Times New Roman" w:hAnsi="Times New Roman" w:cs="Times New Roman"/>
          <w:szCs w:val="24"/>
        </w:rPr>
        <w:t xml:space="preserve">     čl. 107 a 108  Zmluvy o fungovaní Európskej únie</w:t>
      </w:r>
    </w:p>
    <w:p>
      <w:pPr>
        <w:ind w:left="600"/>
        <w:jc w:val="both"/>
        <w:rPr>
          <w:rFonts w:ascii="Times New Roman" w:hAnsi="Times New Roman" w:cs="Times New Roman"/>
          <w:i/>
          <w:szCs w:val="24"/>
        </w:rPr>
      </w:pPr>
      <w:r>
        <w:rPr>
          <w:rFonts w:ascii="Times New Roman" w:hAnsi="Times New Roman" w:cs="Times New Roman"/>
          <w:szCs w:val="24"/>
        </w:rPr>
        <w:t>-</w:t>
      </w:r>
      <w:r>
        <w:rPr>
          <w:rFonts w:ascii="Times New Roman" w:hAnsi="Times New Roman" w:cs="Times New Roman"/>
          <w:i/>
          <w:szCs w:val="24"/>
        </w:rPr>
        <w:t xml:space="preserve"> sekundárnom (prijatom po nadobudnutí platnosti Lisabonskej zmluvy, ktorou sa mení a dopĺňa Zmluva o Európskom spoločenstve a Zmluva o Európskej únii – po 30. novembri 2009)</w:t>
      </w:r>
    </w:p>
    <w:p>
      <w:pPr>
        <w:ind w:left="600"/>
        <w:jc w:val="both"/>
        <w:rPr>
          <w:rFonts w:ascii="Times New Roman" w:hAnsi="Times New Roman" w:cs="Times New Roman"/>
          <w:szCs w:val="24"/>
        </w:rPr>
      </w:pPr>
    </w:p>
    <w:p>
      <w:pPr>
        <w:ind w:left="600"/>
        <w:jc w:val="both"/>
        <w:rPr>
          <w:rFonts w:ascii="Times New Roman" w:hAnsi="Times New Roman" w:cs="Times New Roman"/>
          <w:szCs w:val="24"/>
        </w:rPr>
      </w:pPr>
      <w:r>
        <w:rPr>
          <w:rFonts w:ascii="Times New Roman" w:hAnsi="Times New Roman" w:cs="Times New Roman"/>
          <w:szCs w:val="24"/>
        </w:rPr>
        <w:t>1. legislatívne akty</w:t>
      </w:r>
    </w:p>
    <w:p>
      <w:pPr>
        <w:pStyle w:val="BodyText2"/>
        <w:jc w:val="both"/>
        <w:rPr>
          <w:szCs w:val="24"/>
        </w:rPr>
      </w:pPr>
    </w:p>
    <w:p>
      <w:pPr>
        <w:pStyle w:val="BodyText2"/>
        <w:rPr>
          <w:rFonts w:ascii="Times New Roman" w:hAnsi="Times New Roman" w:cs="Times New Roman"/>
          <w:szCs w:val="24"/>
        </w:rPr>
      </w:pPr>
      <w:r>
        <w:rPr>
          <w:rFonts w:ascii="Times New Roman" w:hAnsi="Times New Roman" w:cs="Times New Roman"/>
          <w:szCs w:val="24"/>
        </w:rPr>
        <w:t>2. nelegislatívne akty</w:t>
      </w:r>
    </w:p>
    <w:p>
      <w:pPr>
        <w:pStyle w:val="BodyText2"/>
        <w:jc w:val="both"/>
        <w:rPr>
          <w:szCs w:val="24"/>
        </w:rPr>
      </w:pPr>
    </w:p>
    <w:p>
      <w:pPr>
        <w:ind w:left="600"/>
        <w:jc w:val="both"/>
        <w:rPr>
          <w:rFonts w:ascii="Times New Roman" w:hAnsi="Times New Roman" w:cs="Times New Roman"/>
          <w:i/>
          <w:szCs w:val="24"/>
        </w:rPr>
      </w:pPr>
      <w:r>
        <w:rPr>
          <w:rFonts w:ascii="Times New Roman" w:hAnsi="Times New Roman" w:cs="Times New Roman"/>
          <w:szCs w:val="24"/>
        </w:rPr>
        <w:t xml:space="preserve">- </w:t>
      </w:r>
      <w:r>
        <w:rPr>
          <w:rFonts w:ascii="Times New Roman" w:hAnsi="Times New Roman" w:cs="Times New Roman"/>
          <w:i/>
          <w:szCs w:val="24"/>
        </w:rPr>
        <w:t>sekundárnom (prijatom pred nadobudnutím  platnosti Lisabonskej zmluvy, ktorou sa mení a dopĺňa Zmluva o Európskom spoločenstve a Zmluva o Európskej únii – do 30. novembri 2009)</w:t>
      </w:r>
    </w:p>
    <w:p>
      <w:pPr>
        <w:pStyle w:val="BodyText2"/>
        <w:numPr>
          <w:numId w:val="1"/>
        </w:numPr>
        <w:ind w:left="960"/>
        <w:jc w:val="both"/>
        <w:rPr>
          <w:rFonts w:ascii="Times New Roman" w:hAnsi="Times New Roman" w:cs="Times New Roman"/>
          <w:szCs w:val="24"/>
        </w:rPr>
      </w:pPr>
      <w:r>
        <w:rPr>
          <w:rFonts w:ascii="Times New Roman" w:hAnsi="Times New Roman" w:cs="Times New Roman"/>
          <w:szCs w:val="24"/>
        </w:rPr>
        <w:t>nariadenie Komisie  (ES) č. 1998/2006 z 15. decembra 2006 o uplatňovaní článkov 87</w:t>
      </w:r>
    </w:p>
    <w:p>
      <w:pPr>
        <w:pStyle w:val="BodyText2"/>
        <w:jc w:val="both"/>
        <w:rPr>
          <w:rFonts w:ascii="Times New Roman" w:hAnsi="Times New Roman" w:cs="Times New Roman"/>
          <w:szCs w:val="24"/>
        </w:rPr>
      </w:pPr>
      <w:r>
        <w:rPr>
          <w:rFonts w:ascii="Times New Roman" w:hAnsi="Times New Roman" w:cs="Times New Roman"/>
          <w:szCs w:val="24"/>
        </w:rPr>
        <w:t>a 88 zmluvy na pomoc de minimis</w:t>
      </w:r>
    </w:p>
    <w:p>
      <w:pPr>
        <w:pStyle w:val="BodyText2"/>
        <w:jc w:val="both"/>
        <w:rPr>
          <w:i/>
          <w:szCs w:val="24"/>
        </w:rPr>
      </w:pPr>
    </w:p>
    <w:p>
      <w:pPr>
        <w:ind w:left="709" w:hanging="349"/>
        <w:jc w:val="both"/>
        <w:rPr>
          <w:rFonts w:ascii="Times New Roman" w:hAnsi="Times New Roman" w:cs="Times New Roman"/>
          <w:szCs w:val="24"/>
        </w:rPr>
      </w:pPr>
      <w:r>
        <w:rPr>
          <w:rFonts w:ascii="Times New Roman" w:hAnsi="Times New Roman" w:cs="Times New Roman"/>
          <w:szCs w:val="24"/>
        </w:rPr>
        <w:t>b)</w:t>
        <w:tab/>
        <w:t>nie je obsiahnutá v judikatúre Súdneho dvora Európskej únie.</w:t>
      </w:r>
    </w:p>
    <w:p>
      <w:pPr>
        <w:jc w:val="both"/>
        <w:rPr>
          <w:rFonts w:ascii="Times New Roman" w:hAnsi="Times New Roman" w:cs="Times New Roman"/>
          <w:b/>
          <w:szCs w:val="24"/>
        </w:rPr>
      </w:pPr>
    </w:p>
    <w:p>
      <w:pPr>
        <w:jc w:val="both"/>
        <w:rPr>
          <w:rFonts w:ascii="Times New Roman" w:hAnsi="Times New Roman" w:cs="Times New Roman"/>
          <w:b/>
          <w:szCs w:val="24"/>
        </w:rPr>
      </w:pPr>
      <w:r>
        <w:rPr>
          <w:rFonts w:ascii="Times New Roman" w:hAnsi="Times New Roman" w:cs="Times New Roman"/>
          <w:b/>
          <w:szCs w:val="24"/>
        </w:rPr>
        <w:t>4.   Záväzky Slovenskej republiky vo vzťahu k Európskej únii:</w:t>
      </w:r>
    </w:p>
    <w:p>
      <w:pPr>
        <w:jc w:val="both"/>
        <w:rPr>
          <w:rFonts w:ascii="Times New Roman" w:hAnsi="Times New Roman" w:cs="Times New Roman"/>
          <w:szCs w:val="24"/>
        </w:rPr>
      </w:pPr>
      <w:r>
        <w:rPr>
          <w:rFonts w:ascii="Times New Roman" w:hAnsi="Times New Roman" w:cs="Times New Roman"/>
          <w:szCs w:val="24"/>
        </w:rPr>
        <w:t xml:space="preserve">       </w:t>
      </w:r>
    </w:p>
    <w:p>
      <w:pPr>
        <w:numPr>
          <w:numId w:val="2"/>
        </w:numPr>
        <w:ind w:left="615"/>
        <w:jc w:val="both"/>
        <w:rPr>
          <w:rFonts w:ascii="Times New Roman" w:hAnsi="Times New Roman" w:cs="Times New Roman"/>
          <w:szCs w:val="24"/>
        </w:rPr>
      </w:pPr>
      <w:r>
        <w:rPr>
          <w:rFonts w:ascii="Times New Roman" w:hAnsi="Times New Roman" w:cs="Times New Roman"/>
          <w:szCs w:val="24"/>
        </w:rPr>
        <w:t>lehota na preberanie smernice alebo lehota na implementáciu nariadenia alebo rozhodnutia</w:t>
      </w:r>
    </w:p>
    <w:p>
      <w:pPr>
        <w:jc w:val="both"/>
        <w:rPr>
          <w:rFonts w:ascii="Times New Roman" w:hAnsi="Times New Roman" w:cs="Times New Roman"/>
          <w:szCs w:val="24"/>
        </w:rPr>
      </w:pPr>
    </w:p>
    <w:p>
      <w:pPr>
        <w:ind w:left="615"/>
        <w:jc w:val="both"/>
        <w:rPr>
          <w:rFonts w:ascii="Times New Roman" w:hAnsi="Times New Roman" w:cs="Times New Roman"/>
          <w:szCs w:val="24"/>
        </w:rPr>
      </w:pPr>
      <w:r>
        <w:rPr>
          <w:rFonts w:ascii="Times New Roman" w:hAnsi="Times New Roman" w:cs="Times New Roman"/>
          <w:szCs w:val="24"/>
        </w:rPr>
        <w:t>bezpredmetné</w:t>
      </w:r>
    </w:p>
    <w:p>
      <w:pPr>
        <w:ind w:left="240"/>
        <w:jc w:val="both"/>
        <w:rPr>
          <w:rFonts w:ascii="Times New Roman" w:hAnsi="Times New Roman" w:cs="Times New Roman"/>
          <w:szCs w:val="24"/>
        </w:rPr>
      </w:pPr>
    </w:p>
    <w:p>
      <w:pPr>
        <w:numPr>
          <w:numId w:val="2"/>
        </w:numPr>
        <w:autoSpaceDE w:val="0"/>
        <w:autoSpaceDN w:val="0"/>
        <w:ind w:left="615"/>
        <w:rPr>
          <w:rFonts w:ascii="Times New Roman" w:hAnsi="Times New Roman" w:cs="Times New Roman"/>
          <w:szCs w:val="24"/>
        </w:rPr>
      </w:pPr>
      <w:r>
        <w:rPr>
          <w:rFonts w:ascii="Times New Roman" w:hAnsi="Times New Roman" w:cs="Times New Roman"/>
          <w:szCs w:val="24"/>
        </w:rPr>
        <w:t xml:space="preserve">lehota určená na predloženie návrhu právneho predpisu na rokovanie vlády podľa určenia </w:t>
      </w:r>
    </w:p>
    <w:p>
      <w:pPr>
        <w:autoSpaceDE w:val="0"/>
        <w:autoSpaceDN w:val="0"/>
        <w:ind w:left="240"/>
        <w:rPr>
          <w:rFonts w:ascii="Times New Roman" w:hAnsi="Times New Roman" w:cs="Times New Roman"/>
          <w:szCs w:val="24"/>
        </w:rPr>
      </w:pPr>
      <w:r>
        <w:rPr>
          <w:rFonts w:ascii="Times New Roman" w:hAnsi="Times New Roman" w:cs="Times New Roman"/>
          <w:szCs w:val="24"/>
        </w:rPr>
        <w:t xml:space="preserve">      gestorských ústredných orgánov štátnej správy zodpovedných za transpozíciu smerníc a   </w:t>
      </w:r>
    </w:p>
    <w:p>
      <w:pPr>
        <w:autoSpaceDE w:val="0"/>
        <w:autoSpaceDN w:val="0"/>
        <w:ind w:left="240"/>
        <w:rPr>
          <w:rFonts w:ascii="Times New Roman" w:hAnsi="Times New Roman" w:cs="Times New Roman"/>
          <w:szCs w:val="24"/>
        </w:rPr>
      </w:pPr>
      <w:r>
        <w:rPr>
          <w:rFonts w:ascii="Times New Roman" w:hAnsi="Times New Roman" w:cs="Times New Roman"/>
          <w:szCs w:val="24"/>
        </w:rPr>
        <w:t xml:space="preserve">      vypracovanie tabuliek zhody k návrhom všeobecne záväzných právnych predpisov</w:t>
      </w:r>
    </w:p>
    <w:p>
      <w:pPr>
        <w:autoSpaceDE w:val="0"/>
        <w:autoSpaceDN w:val="0"/>
        <w:rPr>
          <w:rFonts w:ascii="Times New Roman" w:hAnsi="Times New Roman" w:cs="Times New Roman"/>
          <w:szCs w:val="24"/>
        </w:rPr>
      </w:pPr>
    </w:p>
    <w:p>
      <w:pPr>
        <w:ind w:left="240"/>
        <w:rPr>
          <w:rFonts w:ascii="Times New Roman" w:hAnsi="Times New Roman" w:cs="Times New Roman"/>
          <w:szCs w:val="24"/>
        </w:rPr>
      </w:pPr>
      <w:r>
        <w:rPr>
          <w:rFonts w:ascii="Times New Roman" w:hAnsi="Times New Roman" w:cs="Times New Roman"/>
          <w:szCs w:val="24"/>
        </w:rPr>
        <w:t xml:space="preserve">      bezpredmetné</w:t>
      </w:r>
    </w:p>
    <w:p>
      <w:pPr>
        <w:ind w:left="240"/>
        <w:rPr>
          <w:rFonts w:ascii="Times New Roman" w:hAnsi="Times New Roman" w:cs="Times New Roman"/>
          <w:szCs w:val="24"/>
        </w:rPr>
      </w:pPr>
    </w:p>
    <w:p>
      <w:pPr>
        <w:numPr>
          <w:numId w:val="2"/>
        </w:numPr>
        <w:ind w:left="615"/>
        <w:jc w:val="both"/>
        <w:rPr>
          <w:rFonts w:ascii="Times New Roman" w:hAnsi="Times New Roman" w:cs="Times New Roman"/>
          <w:szCs w:val="24"/>
        </w:rPr>
      </w:pPr>
      <w:r>
        <w:rPr>
          <w:rFonts w:ascii="Times New Roman" w:hAnsi="Times New Roman" w:cs="Times New Roman"/>
          <w:szCs w:val="24"/>
        </w:rPr>
        <w:t>informácia o konaní začatom proti Slovenskej republike o porušení Zmluvy o fungovaní  Európskej únie podľa čl. 258 až 260 tejto  zmluvy</w:t>
      </w:r>
    </w:p>
    <w:p>
      <w:pPr>
        <w:ind w:left="240"/>
        <w:jc w:val="both"/>
        <w:rPr>
          <w:rFonts w:ascii="Times New Roman" w:hAnsi="Times New Roman" w:cs="Times New Roman"/>
          <w:szCs w:val="24"/>
        </w:rPr>
      </w:pPr>
    </w:p>
    <w:p>
      <w:pPr>
        <w:ind w:left="240"/>
        <w:jc w:val="both"/>
        <w:rPr>
          <w:rFonts w:ascii="Times New Roman" w:hAnsi="Times New Roman" w:cs="Times New Roman"/>
          <w:szCs w:val="24"/>
        </w:rPr>
      </w:pPr>
      <w:r>
        <w:rPr>
          <w:rFonts w:ascii="Times New Roman" w:hAnsi="Times New Roman" w:cs="Times New Roman"/>
          <w:szCs w:val="24"/>
        </w:rPr>
        <w:t xml:space="preserve">      Proti Slovenskej republike nebolo začaté konanie o porušení Zmluvy o fungovaní </w:t>
      </w:r>
    </w:p>
    <w:p>
      <w:pPr>
        <w:ind w:left="240"/>
        <w:jc w:val="both"/>
        <w:rPr>
          <w:rFonts w:ascii="Times New Roman" w:hAnsi="Times New Roman" w:cs="Times New Roman"/>
          <w:szCs w:val="24"/>
        </w:rPr>
      </w:pPr>
      <w:r>
        <w:rPr>
          <w:rFonts w:ascii="Times New Roman" w:hAnsi="Times New Roman" w:cs="Times New Roman"/>
          <w:szCs w:val="24"/>
        </w:rPr>
        <w:t xml:space="preserve">      Európskej únie v platnom znení podľa čl. 258 až 260 tejto  zmluvy</w:t>
      </w:r>
    </w:p>
    <w:p>
      <w:pPr>
        <w:ind w:left="240"/>
        <w:jc w:val="both"/>
        <w:rPr>
          <w:rFonts w:ascii="Times New Roman" w:hAnsi="Times New Roman" w:cs="Times New Roman"/>
          <w:szCs w:val="24"/>
        </w:rPr>
      </w:pPr>
    </w:p>
    <w:p>
      <w:pPr>
        <w:numPr>
          <w:numId w:val="2"/>
        </w:numPr>
        <w:ind w:left="615"/>
        <w:jc w:val="both"/>
        <w:rPr>
          <w:rFonts w:ascii="Times New Roman" w:hAnsi="Times New Roman" w:cs="Times New Roman"/>
          <w:szCs w:val="24"/>
        </w:rPr>
      </w:pPr>
      <w:r>
        <w:rPr>
          <w:rFonts w:ascii="Times New Roman" w:hAnsi="Times New Roman" w:cs="Times New Roman"/>
          <w:szCs w:val="24"/>
        </w:rPr>
        <w:t xml:space="preserve">informácia o právnych predpisoch, v ktorých sú preberané smernice už prebraté spolu </w:t>
      </w:r>
    </w:p>
    <w:p>
      <w:pPr>
        <w:ind w:left="240"/>
        <w:jc w:val="both"/>
        <w:rPr>
          <w:rFonts w:ascii="Times New Roman" w:hAnsi="Times New Roman" w:cs="Times New Roman"/>
          <w:szCs w:val="24"/>
        </w:rPr>
      </w:pPr>
      <w:r>
        <w:rPr>
          <w:rFonts w:ascii="Times New Roman" w:hAnsi="Times New Roman" w:cs="Times New Roman"/>
          <w:szCs w:val="24"/>
        </w:rPr>
        <w:t xml:space="preserve">      s uvedením rozsahu tohto prebratia</w:t>
      </w:r>
    </w:p>
    <w:p>
      <w:pPr>
        <w:ind w:left="240"/>
        <w:jc w:val="both"/>
        <w:rPr>
          <w:rFonts w:ascii="Times New Roman" w:hAnsi="Times New Roman" w:cs="Times New Roman"/>
          <w:szCs w:val="24"/>
        </w:rPr>
      </w:pPr>
    </w:p>
    <w:p>
      <w:pPr>
        <w:ind w:left="240"/>
        <w:jc w:val="both"/>
        <w:rPr>
          <w:rFonts w:ascii="Times New Roman" w:hAnsi="Times New Roman" w:cs="Times New Roman"/>
          <w:szCs w:val="24"/>
        </w:rPr>
      </w:pPr>
      <w:r>
        <w:rPr>
          <w:rFonts w:ascii="Times New Roman" w:hAnsi="Times New Roman" w:cs="Times New Roman"/>
          <w:szCs w:val="24"/>
        </w:rPr>
        <w:t xml:space="preserve">      bezpredmetné</w:t>
      </w:r>
    </w:p>
    <w:p>
      <w:pPr>
        <w:ind w:left="240"/>
        <w:jc w:val="both"/>
        <w:rPr>
          <w:rFonts w:ascii="Times New Roman" w:hAnsi="Times New Roman" w:cs="Times New Roman"/>
          <w:szCs w:val="24"/>
        </w:rPr>
      </w:pPr>
    </w:p>
    <w:p>
      <w:pPr>
        <w:autoSpaceDE w:val="0"/>
        <w:autoSpaceDN w:val="0"/>
        <w:rPr>
          <w:rFonts w:ascii="Times New Roman" w:hAnsi="Times New Roman" w:cs="Times New Roman"/>
          <w:b/>
          <w:szCs w:val="24"/>
        </w:rPr>
      </w:pPr>
      <w:r>
        <w:rPr>
          <w:rFonts w:ascii="Times New Roman" w:hAnsi="Times New Roman" w:cs="Times New Roman"/>
          <w:b/>
          <w:szCs w:val="24"/>
        </w:rPr>
        <w:t xml:space="preserve">5.  Stupeň zlučiteľnosti návrhu právneho predpisu alebo návrhu legislatívneho zámeru  </w:t>
      </w:r>
    </w:p>
    <w:p>
      <w:pPr>
        <w:autoSpaceDE w:val="0"/>
        <w:autoSpaceDN w:val="0"/>
        <w:rPr>
          <w:rFonts w:ascii="Times New Roman" w:hAnsi="Times New Roman" w:cs="Times New Roman"/>
          <w:b/>
          <w:szCs w:val="24"/>
        </w:rPr>
      </w:pPr>
      <w:r>
        <w:rPr>
          <w:rFonts w:ascii="Times New Roman" w:hAnsi="Times New Roman" w:cs="Times New Roman"/>
          <w:b/>
          <w:szCs w:val="24"/>
        </w:rPr>
        <w:t xml:space="preserve">     s právom Európskej únie:</w:t>
      </w:r>
    </w:p>
    <w:p>
      <w:pPr>
        <w:autoSpaceDE w:val="0"/>
        <w:autoSpaceDN w:val="0"/>
        <w:rPr>
          <w:rFonts w:ascii="Times New Roman" w:hAnsi="Times New Roman" w:cs="Times New Roman"/>
          <w:b/>
          <w:szCs w:val="24"/>
        </w:rPr>
      </w:pPr>
    </w:p>
    <w:p>
      <w:pPr>
        <w:autoSpaceDE w:val="0"/>
        <w:autoSpaceDN w:val="0"/>
        <w:rPr>
          <w:rFonts w:ascii="Times New Roman" w:hAnsi="Times New Roman" w:cs="Times New Roman"/>
          <w:szCs w:val="24"/>
        </w:rPr>
      </w:pPr>
      <w:r>
        <w:rPr>
          <w:rFonts w:ascii="Times New Roman" w:hAnsi="Times New Roman" w:cs="Times New Roman"/>
          <w:b/>
          <w:szCs w:val="24"/>
        </w:rPr>
        <w:t xml:space="preserve">          </w:t>
      </w:r>
      <w:r>
        <w:rPr>
          <w:rFonts w:ascii="Times New Roman" w:hAnsi="Times New Roman" w:cs="Times New Roman"/>
          <w:szCs w:val="24"/>
        </w:rPr>
        <w:t>úplný</w:t>
      </w:r>
    </w:p>
    <w:p>
      <w:pPr>
        <w:autoSpaceDE w:val="0"/>
        <w:autoSpaceDN w:val="0"/>
        <w:rPr>
          <w:rFonts w:ascii="Times New Roman" w:hAnsi="Times New Roman" w:cs="Times New Roman"/>
          <w:b/>
          <w:szCs w:val="24"/>
        </w:rPr>
      </w:pPr>
      <w:r>
        <w:rPr>
          <w:rFonts w:ascii="Times New Roman" w:hAnsi="Times New Roman" w:cs="Times New Roman"/>
          <w:b/>
          <w:szCs w:val="24"/>
        </w:rPr>
        <w:t xml:space="preserve">   </w:t>
      </w:r>
    </w:p>
    <w:p>
      <w:pPr>
        <w:ind w:left="360" w:hanging="360"/>
        <w:rPr>
          <w:rFonts w:ascii="Times New Roman" w:hAnsi="Times New Roman" w:cs="Times New Roman"/>
          <w:b/>
          <w:szCs w:val="24"/>
        </w:rPr>
      </w:pPr>
      <w:r>
        <w:rPr>
          <w:rFonts w:ascii="Times New Roman" w:hAnsi="Times New Roman" w:cs="Times New Roman"/>
          <w:b/>
          <w:szCs w:val="24"/>
        </w:rPr>
        <w:t>6.</w:t>
        <w:tab/>
        <w:t xml:space="preserve">Gestor a spolupracujúce rezorty: </w:t>
      </w:r>
    </w:p>
    <w:p>
      <w:pPr>
        <w:tabs>
          <w:tab w:val="left" w:pos="360"/>
        </w:tabs>
        <w:ind w:left="360"/>
        <w:rPr>
          <w:rFonts w:ascii="Times New Roman" w:hAnsi="Times New Roman" w:cs="Times New Roman"/>
          <w:szCs w:val="24"/>
        </w:rPr>
      </w:pPr>
    </w:p>
    <w:p>
      <w:pPr>
        <w:tabs>
          <w:tab w:val="left" w:pos="360"/>
        </w:tabs>
        <w:ind w:left="360"/>
        <w:rPr>
          <w:rFonts w:ascii="Times New Roman" w:hAnsi="Times New Roman" w:cs="Times New Roman"/>
          <w:szCs w:val="24"/>
        </w:rPr>
      </w:pPr>
      <w:r>
        <w:rPr>
          <w:rFonts w:ascii="Times New Roman" w:hAnsi="Times New Roman" w:cs="Times New Roman"/>
          <w:szCs w:val="24"/>
        </w:rPr>
        <w:t>Ministerstvo zahraničných vecí Slovenskej republiky</w:t>
        <w:br/>
        <w:t> </w:t>
      </w:r>
    </w:p>
    <w:p>
      <w:pPr>
        <w:jc w:val="both"/>
        <w:rPr>
          <w:rFonts w:ascii="Times New Roman" w:hAnsi="Times New Roman" w:cs="Times New Roman"/>
          <w:szCs w:val="24"/>
        </w:rPr>
      </w:pPr>
    </w:p>
    <w:p>
      <w:pPr>
        <w:jc w:val="both"/>
        <w:rPr>
          <w:rFonts w:ascii="Times New Roman" w:hAnsi="Times New Roman" w:cs="Times New Roman"/>
          <w:szCs w:val="24"/>
        </w:rPr>
      </w:pPr>
    </w:p>
    <w:p>
      <w:pPr>
        <w:jc w:val="both"/>
        <w:rPr>
          <w:rFonts w:ascii="Times New Roman" w:hAnsi="Times New Roman" w:cs="Times New Roman"/>
          <w:szCs w:val="24"/>
        </w:rPr>
      </w:pPr>
    </w:p>
    <w:p>
      <w:pPr>
        <w:jc w:val="both"/>
        <w:rPr>
          <w:rFonts w:ascii="Times New Roman" w:hAnsi="Times New Roman" w:cs="Times New Roman"/>
          <w:szCs w:val="24"/>
        </w:rPr>
      </w:pPr>
    </w:p>
    <w:p>
      <w:pPr>
        <w:jc w:val="both"/>
        <w:rPr>
          <w:rFonts w:ascii="Times New Roman" w:hAnsi="Times New Roman" w:cs="Times New Roman"/>
          <w:szCs w:val="24"/>
        </w:rPr>
      </w:pPr>
    </w:p>
    <w:p>
      <w:pPr>
        <w:jc w:val="both"/>
        <w:rPr>
          <w:rFonts w:ascii="Times New Roman" w:hAnsi="Times New Roman" w:cs="Times New Roman"/>
          <w:szCs w:val="24"/>
        </w:rPr>
      </w:pPr>
    </w:p>
    <w:p>
      <w:pPr>
        <w:jc w:val="both"/>
        <w:rPr>
          <w:rFonts w:ascii="Times New Roman" w:hAnsi="Times New Roman" w:cs="Times New Roman"/>
          <w:szCs w:val="24"/>
        </w:rPr>
      </w:pPr>
    </w:p>
    <w:p>
      <w:pPr>
        <w:jc w:val="both"/>
        <w:rPr>
          <w:rFonts w:ascii="Times New Roman" w:hAnsi="Times New Roman" w:cs="Times New Roman"/>
          <w:szCs w:val="24"/>
        </w:rPr>
      </w:pPr>
    </w:p>
    <w:p>
      <w:pPr>
        <w:jc w:val="both"/>
        <w:rPr>
          <w:rFonts w:ascii="Times New Roman" w:hAnsi="Times New Roman" w:cs="Times New Roman"/>
          <w:szCs w:val="24"/>
        </w:rPr>
      </w:pPr>
    </w:p>
    <w:p>
      <w:pPr>
        <w:jc w:val="both"/>
        <w:rPr>
          <w:rFonts w:ascii="Times New Roman" w:hAnsi="Times New Roman" w:cs="Times New Roman"/>
          <w:szCs w:val="24"/>
        </w:rPr>
      </w:pPr>
    </w:p>
    <w:p>
      <w:pPr>
        <w:jc w:val="both"/>
        <w:rPr>
          <w:rFonts w:ascii="Times New Roman" w:hAnsi="Times New Roman" w:cs="Times New Roman"/>
          <w:szCs w:val="24"/>
        </w:rPr>
      </w:pPr>
    </w:p>
    <w:p>
      <w:pPr>
        <w:jc w:val="both"/>
        <w:rPr>
          <w:rFonts w:ascii="Times New Roman" w:hAnsi="Times New Roman" w:cs="Times New Roman"/>
          <w:szCs w:val="24"/>
        </w:rPr>
      </w:pPr>
    </w:p>
    <w:p>
      <w:pPr>
        <w:jc w:val="both"/>
        <w:rPr>
          <w:rFonts w:ascii="Times New Roman" w:hAnsi="Times New Roman" w:cs="Times New Roman"/>
          <w:szCs w:val="24"/>
        </w:rPr>
      </w:pPr>
    </w:p>
    <w:p>
      <w:pPr>
        <w:jc w:val="both"/>
        <w:rPr>
          <w:rFonts w:ascii="Times New Roman" w:hAnsi="Times New Roman" w:cs="Times New Roman"/>
          <w:szCs w:val="24"/>
        </w:rPr>
      </w:pPr>
    </w:p>
    <w:p>
      <w:pPr>
        <w:jc w:val="both"/>
        <w:rPr>
          <w:rFonts w:ascii="Times New Roman" w:hAnsi="Times New Roman" w:cs="Times New Roman"/>
          <w:szCs w:val="24"/>
        </w:rPr>
      </w:pPr>
    </w:p>
    <w:p>
      <w:pPr>
        <w:jc w:val="both"/>
        <w:rPr>
          <w:rFonts w:ascii="Times New Roman" w:hAnsi="Times New Roman" w:cs="Times New Roman"/>
          <w:szCs w:val="24"/>
        </w:rPr>
      </w:pPr>
    </w:p>
    <w:p>
      <w:pPr>
        <w:jc w:val="both"/>
        <w:rPr>
          <w:rFonts w:ascii="Times New Roman" w:hAnsi="Times New Roman" w:cs="Times New Roman"/>
          <w:szCs w:val="24"/>
        </w:rPr>
      </w:pPr>
    </w:p>
    <w:p>
      <w:pPr>
        <w:jc w:val="both"/>
        <w:rPr>
          <w:rFonts w:ascii="Times New Roman" w:hAnsi="Times New Roman" w:cs="Times New Roman"/>
          <w:szCs w:val="24"/>
        </w:rPr>
      </w:pPr>
    </w:p>
    <w:p>
      <w:pPr>
        <w:jc w:val="both"/>
        <w:rPr>
          <w:rFonts w:ascii="Times New Roman" w:hAnsi="Times New Roman" w:cs="Times New Roman"/>
          <w:szCs w:val="24"/>
        </w:rPr>
      </w:pPr>
    </w:p>
    <w:p>
      <w:pPr>
        <w:jc w:val="both"/>
        <w:rPr>
          <w:rFonts w:ascii="Times New Roman" w:hAnsi="Times New Roman" w:cs="Times New Roman"/>
          <w:szCs w:val="24"/>
        </w:rPr>
      </w:pPr>
    </w:p>
    <w:p>
      <w:pPr>
        <w:jc w:val="both"/>
        <w:rPr>
          <w:rFonts w:ascii="Times New Roman" w:hAnsi="Times New Roman" w:cs="Times New Roman"/>
          <w:szCs w:val="24"/>
        </w:rPr>
      </w:pPr>
    </w:p>
    <w:p>
      <w:pPr>
        <w:jc w:val="both"/>
        <w:rPr>
          <w:rFonts w:ascii="Times New Roman" w:hAnsi="Times New Roman" w:cs="Times New Roman"/>
          <w:szCs w:val="24"/>
        </w:rPr>
      </w:pPr>
    </w:p>
    <w:p>
      <w:pPr>
        <w:jc w:val="both"/>
        <w:rPr>
          <w:rFonts w:ascii="Times New Roman" w:hAnsi="Times New Roman" w:cs="Times New Roman"/>
          <w:szCs w:val="24"/>
        </w:rPr>
      </w:pPr>
    </w:p>
    <w:p>
      <w:pPr>
        <w:jc w:val="both"/>
        <w:rPr>
          <w:rFonts w:ascii="Times New Roman" w:hAnsi="Times New Roman" w:cs="Times New Roman"/>
          <w:szCs w:val="24"/>
        </w:rPr>
      </w:pPr>
    </w:p>
    <w:p>
      <w:pPr>
        <w:jc w:val="both"/>
        <w:rPr>
          <w:rFonts w:ascii="Times New Roman" w:hAnsi="Times New Roman" w:cs="Times New Roman"/>
          <w:szCs w:val="24"/>
        </w:rPr>
      </w:pPr>
    </w:p>
    <w:p>
      <w:pPr>
        <w:jc w:val="both"/>
        <w:rPr>
          <w:rFonts w:ascii="Times New Roman" w:hAnsi="Times New Roman" w:cs="Times New Roman"/>
          <w:szCs w:val="24"/>
        </w:rPr>
      </w:pPr>
    </w:p>
    <w:p>
      <w:pPr>
        <w:jc w:val="both"/>
        <w:rPr>
          <w:rFonts w:ascii="Times New Roman" w:hAnsi="Times New Roman" w:cs="Times New Roman"/>
          <w:szCs w:val="24"/>
        </w:rPr>
      </w:pPr>
    </w:p>
    <w:p>
      <w:pPr>
        <w:jc w:val="both"/>
        <w:rPr>
          <w:rFonts w:ascii="Times New Roman" w:hAnsi="Times New Roman" w:cs="Times New Roman"/>
          <w:b/>
          <w:color w:val="000000"/>
          <w:szCs w:val="24"/>
        </w:rPr>
      </w:pPr>
      <w:r>
        <w:rPr>
          <w:rFonts w:ascii="Times New Roman" w:hAnsi="Times New Roman" w:cs="Times New Roman"/>
          <w:b/>
          <w:color w:val="000000"/>
          <w:szCs w:val="24"/>
        </w:rPr>
        <w:t>B. Osobitná časť</w:t>
      </w:r>
    </w:p>
    <w:p>
      <w:pPr>
        <w:rPr>
          <w:rFonts w:ascii="Times New Roman" w:hAnsi="Times New Roman" w:cs="Times New Roman"/>
          <w:color w:val="000000"/>
          <w:szCs w:val="24"/>
        </w:rPr>
      </w:pPr>
      <w:r>
        <w:rPr>
          <w:rStyle w:val="PlaceholderText"/>
          <w:color w:val="000000"/>
          <w:szCs w:val="24"/>
        </w:rPr>
        <w:t> </w:t>
      </w:r>
    </w:p>
    <w:p>
      <w:pPr>
        <w:pStyle w:val="Heading1"/>
        <w:widowControl/>
        <w:spacing w:before="0" w:after="0"/>
        <w:rPr>
          <w:rStyle w:val="PlaceholderText"/>
          <w:color w:val="000000"/>
          <w:sz w:val="24"/>
          <w:szCs w:val="24"/>
        </w:rPr>
      </w:pPr>
      <w:r>
        <w:rPr>
          <w:rStyle w:val="PlaceholderText"/>
          <w:color w:val="000000"/>
          <w:sz w:val="24"/>
          <w:szCs w:val="24"/>
        </w:rPr>
        <w:t>K článku I</w:t>
      </w:r>
    </w:p>
    <w:p>
      <w:pPr>
        <w:rPr>
          <w:rStyle w:val="PlaceholderText"/>
          <w:color w:val="000000"/>
          <w:szCs w:val="24"/>
        </w:rPr>
      </w:pPr>
      <w:r>
        <w:rPr>
          <w:rStyle w:val="PlaceholderText"/>
          <w:color w:val="000000"/>
          <w:szCs w:val="24"/>
        </w:rPr>
        <w:t> </w:t>
      </w:r>
    </w:p>
    <w:p>
      <w:pPr>
        <w:rPr>
          <w:rStyle w:val="PlaceholderText"/>
          <w:color w:val="000000"/>
          <w:szCs w:val="24"/>
        </w:rPr>
      </w:pPr>
      <w:r>
        <w:rPr>
          <w:rStyle w:val="PlaceholderText"/>
          <w:color w:val="000000"/>
          <w:szCs w:val="24"/>
        </w:rPr>
        <w:t>K § 1</w:t>
      </w:r>
    </w:p>
    <w:p>
      <w:pPr>
        <w:rPr>
          <w:rStyle w:val="PlaceholderText"/>
          <w:color w:val="000000"/>
          <w:szCs w:val="24"/>
        </w:rPr>
      </w:pPr>
      <w:r>
        <w:rPr>
          <w:rStyle w:val="PlaceholderText"/>
          <w:color w:val="000000"/>
          <w:szCs w:val="24"/>
        </w:rPr>
        <w:t> </w:t>
      </w:r>
    </w:p>
    <w:p>
      <w:pPr>
        <w:jc w:val="both"/>
        <w:rPr>
          <w:rStyle w:val="PlaceholderText"/>
          <w:color w:val="000000"/>
          <w:szCs w:val="24"/>
        </w:rPr>
      </w:pPr>
      <w:r>
        <w:rPr>
          <w:rStyle w:val="PlaceholderText"/>
          <w:color w:val="000000"/>
          <w:szCs w:val="24"/>
        </w:rPr>
        <w:t>Na základe zákona č. 523/2004 Z. z. o rozpočtových pravidlách verejnej správy v znení zákona č. 383/2008 Z. z.  sa  vymedzuje predmet poskytovania dotácii v pôsobnosti ministerstva.</w:t>
      </w:r>
    </w:p>
    <w:p>
      <w:pPr>
        <w:jc w:val="both"/>
        <w:rPr>
          <w:rStyle w:val="PlaceholderText"/>
          <w:color w:val="000000"/>
          <w:szCs w:val="24"/>
        </w:rPr>
      </w:pPr>
      <w:r>
        <w:rPr>
          <w:rStyle w:val="PlaceholderText"/>
          <w:color w:val="000000"/>
          <w:szCs w:val="24"/>
        </w:rPr>
        <w:t> </w:t>
      </w:r>
    </w:p>
    <w:p>
      <w:pPr>
        <w:jc w:val="both"/>
        <w:rPr>
          <w:rStyle w:val="PlaceholderText"/>
          <w:color w:val="000000"/>
          <w:szCs w:val="24"/>
        </w:rPr>
      </w:pPr>
      <w:r>
        <w:rPr>
          <w:rStyle w:val="PlaceholderText"/>
          <w:color w:val="000000"/>
          <w:szCs w:val="24"/>
        </w:rPr>
        <w:t>K § 2</w:t>
      </w:r>
    </w:p>
    <w:p>
      <w:pPr>
        <w:rPr>
          <w:rStyle w:val="PlaceholderText"/>
          <w:color w:val="000000"/>
          <w:szCs w:val="24"/>
        </w:rPr>
      </w:pPr>
      <w:r>
        <w:rPr>
          <w:rStyle w:val="PlaceholderText"/>
          <w:color w:val="000000"/>
          <w:szCs w:val="24"/>
        </w:rPr>
        <w:t> </w:t>
      </w:r>
    </w:p>
    <w:p>
      <w:pPr>
        <w:rPr>
          <w:rStyle w:val="PlaceholderText"/>
          <w:color w:val="000000"/>
          <w:szCs w:val="24"/>
        </w:rPr>
      </w:pPr>
      <w:r>
        <w:rPr>
          <w:rStyle w:val="PlaceholderText"/>
          <w:color w:val="000000"/>
          <w:szCs w:val="24"/>
        </w:rPr>
        <w:t>Vymedzuje sa rozsah dotácií, ktoré možno poskytnúť z rozpočtovej kapitoly  ministerstva.</w:t>
      </w:r>
    </w:p>
    <w:p>
      <w:pPr>
        <w:rPr>
          <w:rStyle w:val="PlaceholderText"/>
          <w:color w:val="000000"/>
          <w:szCs w:val="24"/>
        </w:rPr>
      </w:pPr>
      <w:r>
        <w:rPr>
          <w:rStyle w:val="PlaceholderText"/>
          <w:color w:val="000000"/>
          <w:szCs w:val="24"/>
        </w:rPr>
        <w:t> </w:t>
      </w:r>
    </w:p>
    <w:p>
      <w:pPr>
        <w:rPr>
          <w:rStyle w:val="PlaceholderText"/>
          <w:color w:val="000000"/>
          <w:szCs w:val="24"/>
        </w:rPr>
      </w:pPr>
      <w:r>
        <w:rPr>
          <w:rStyle w:val="PlaceholderText"/>
          <w:color w:val="000000"/>
          <w:szCs w:val="24"/>
        </w:rPr>
        <w:t xml:space="preserve">K § 3 </w:t>
      </w:r>
    </w:p>
    <w:p>
      <w:pPr>
        <w:rPr>
          <w:rStyle w:val="PlaceholderText"/>
          <w:color w:val="000000"/>
          <w:szCs w:val="24"/>
        </w:rPr>
      </w:pPr>
      <w:r>
        <w:rPr>
          <w:rStyle w:val="PlaceholderText"/>
          <w:color w:val="000000"/>
          <w:szCs w:val="24"/>
        </w:rPr>
        <w:t> </w:t>
      </w:r>
    </w:p>
    <w:p>
      <w:pPr>
        <w:jc w:val="both"/>
        <w:rPr>
          <w:rStyle w:val="PlaceholderText"/>
          <w:color w:val="000000"/>
          <w:szCs w:val="24"/>
        </w:rPr>
      </w:pPr>
      <w:r>
        <w:rPr>
          <w:rStyle w:val="PlaceholderText"/>
          <w:color w:val="000000"/>
          <w:szCs w:val="24"/>
        </w:rPr>
        <w:t>Upresňujú sa jednotlivé druhy dotácií na podporu štúdií, analýz a organizáciu odborných podujatí v oblasti medzinárodných vzťahov a zahraničnej politiky Slovenskej republiky.</w:t>
      </w:r>
    </w:p>
    <w:p>
      <w:pPr>
        <w:jc w:val="both"/>
        <w:rPr>
          <w:rStyle w:val="PlaceholderText"/>
          <w:color w:val="000000"/>
          <w:szCs w:val="24"/>
        </w:rPr>
      </w:pPr>
      <w:r>
        <w:rPr>
          <w:rStyle w:val="PlaceholderText"/>
          <w:color w:val="000000"/>
          <w:szCs w:val="24"/>
        </w:rPr>
        <w:t>Vymedzuje sa okruh subjektov, ktorým možno poskytnúť dotáciu, stanovuje sa podmienka najmenej 5 % spolufinancovania projektu z iných zdrojov a vymedzujú sa podmienky za ktorých nie je možné dotáciu poskytnúť.</w:t>
      </w:r>
    </w:p>
    <w:p>
      <w:pPr>
        <w:rPr>
          <w:rStyle w:val="PlaceholderText"/>
          <w:color w:val="000000"/>
          <w:szCs w:val="24"/>
        </w:rPr>
      </w:pPr>
      <w:r>
        <w:rPr>
          <w:rStyle w:val="PlaceholderText"/>
          <w:color w:val="000000"/>
          <w:szCs w:val="24"/>
        </w:rPr>
        <w:t> </w:t>
      </w:r>
    </w:p>
    <w:p>
      <w:pPr>
        <w:rPr>
          <w:rStyle w:val="PlaceholderText"/>
          <w:color w:val="000000"/>
          <w:szCs w:val="24"/>
        </w:rPr>
      </w:pPr>
      <w:r>
        <w:rPr>
          <w:rStyle w:val="PlaceholderText"/>
          <w:color w:val="000000"/>
          <w:szCs w:val="24"/>
        </w:rPr>
        <w:t>K §  4</w:t>
      </w:r>
    </w:p>
    <w:p>
      <w:pPr>
        <w:rPr>
          <w:rStyle w:val="PlaceholderText"/>
          <w:color w:val="000000"/>
          <w:szCs w:val="24"/>
        </w:rPr>
      </w:pPr>
      <w:r>
        <w:rPr>
          <w:rStyle w:val="PlaceholderText"/>
          <w:color w:val="000000"/>
          <w:szCs w:val="24"/>
        </w:rPr>
        <w:t> </w:t>
      </w:r>
    </w:p>
    <w:p>
      <w:pPr>
        <w:jc w:val="both"/>
        <w:rPr>
          <w:rStyle w:val="PlaceholderText"/>
          <w:color w:val="000000"/>
          <w:szCs w:val="24"/>
        </w:rPr>
      </w:pPr>
      <w:r>
        <w:rPr>
          <w:rStyle w:val="PlaceholderText"/>
          <w:color w:val="000000"/>
          <w:szCs w:val="24"/>
        </w:rPr>
        <w:t>Stanovuje sa, že dotáciu možno poskytnúť len na základe žiadosti. Vymedzujú sa podmienky  a ďalšie náležitosti predkladania písomných žiadostí.  Upravuje sa termín predkladania žiadostí na príslušný rozpočtový rok  do 1. marca rozpočtového roka.</w:t>
      </w:r>
    </w:p>
    <w:p>
      <w:pPr>
        <w:rPr>
          <w:rStyle w:val="PlaceholderText"/>
          <w:color w:val="000000"/>
          <w:szCs w:val="24"/>
        </w:rPr>
      </w:pPr>
      <w:r>
        <w:rPr>
          <w:rStyle w:val="PlaceholderText"/>
          <w:color w:val="000000"/>
          <w:szCs w:val="24"/>
        </w:rPr>
        <w:t> </w:t>
      </w:r>
    </w:p>
    <w:p>
      <w:pPr>
        <w:rPr>
          <w:rStyle w:val="PlaceholderText"/>
          <w:color w:val="000000"/>
          <w:szCs w:val="24"/>
        </w:rPr>
      </w:pPr>
      <w:r>
        <w:rPr>
          <w:rStyle w:val="PlaceholderText"/>
          <w:color w:val="000000"/>
          <w:szCs w:val="24"/>
        </w:rPr>
        <w:t>K §  5</w:t>
      </w:r>
    </w:p>
    <w:p>
      <w:pPr>
        <w:rPr>
          <w:rStyle w:val="PlaceholderText"/>
          <w:color w:val="000000"/>
          <w:szCs w:val="24"/>
        </w:rPr>
      </w:pPr>
      <w:r>
        <w:rPr>
          <w:rStyle w:val="PlaceholderText"/>
          <w:color w:val="000000"/>
          <w:szCs w:val="24"/>
        </w:rPr>
        <w:t> </w:t>
      </w:r>
    </w:p>
    <w:p>
      <w:pPr>
        <w:jc w:val="both"/>
        <w:rPr>
          <w:rStyle w:val="PlaceholderText"/>
          <w:color w:val="000000"/>
          <w:szCs w:val="24"/>
        </w:rPr>
      </w:pPr>
      <w:r>
        <w:rPr>
          <w:rStyle w:val="PlaceholderText"/>
          <w:color w:val="000000"/>
          <w:szCs w:val="24"/>
        </w:rPr>
        <w:t>Ustanovenie upravuje  poskytovanie dotácií  na základe zmluvy, vrátane náležitosti a obsahu zmluvy a povinnosti prijímateľa vo vzťahu k sankciám a vo vzťahu ku kontrolným orgánom. Zároveň sa ustanovuje  povinnosť zverejniť informáciu o vzore zmluvy na webovom sídle ministerstva.</w:t>
      </w:r>
    </w:p>
    <w:p>
      <w:pPr>
        <w:rPr>
          <w:rStyle w:val="PlaceholderText"/>
          <w:color w:val="000000"/>
          <w:szCs w:val="24"/>
        </w:rPr>
      </w:pPr>
      <w:r>
        <w:rPr>
          <w:rStyle w:val="PlaceholderText"/>
          <w:color w:val="000000"/>
          <w:szCs w:val="24"/>
        </w:rPr>
        <w:t> </w:t>
      </w:r>
    </w:p>
    <w:p>
      <w:pPr>
        <w:rPr>
          <w:rStyle w:val="PlaceholderText"/>
          <w:color w:val="000000"/>
          <w:szCs w:val="24"/>
        </w:rPr>
      </w:pPr>
      <w:r>
        <w:rPr>
          <w:rStyle w:val="PlaceholderText"/>
          <w:color w:val="000000"/>
          <w:szCs w:val="24"/>
        </w:rPr>
        <w:t>K § 6</w:t>
      </w:r>
    </w:p>
    <w:p>
      <w:pPr>
        <w:rPr>
          <w:rStyle w:val="PlaceholderText"/>
          <w:color w:val="000000"/>
          <w:szCs w:val="24"/>
        </w:rPr>
      </w:pPr>
      <w:r>
        <w:rPr>
          <w:rStyle w:val="PlaceholderText"/>
          <w:color w:val="000000"/>
          <w:szCs w:val="24"/>
        </w:rPr>
        <w:t> </w:t>
      </w:r>
    </w:p>
    <w:p>
      <w:pPr>
        <w:rPr>
          <w:rStyle w:val="PlaceholderText"/>
          <w:color w:val="000000"/>
          <w:szCs w:val="24"/>
        </w:rPr>
      </w:pPr>
      <w:r>
        <w:rPr>
          <w:rStyle w:val="PlaceholderText"/>
          <w:color w:val="000000"/>
          <w:szCs w:val="24"/>
        </w:rPr>
        <w:t>Odsek 1</w:t>
      </w:r>
    </w:p>
    <w:p>
      <w:pPr>
        <w:rPr>
          <w:rStyle w:val="PlaceholderText"/>
          <w:color w:val="000000"/>
          <w:szCs w:val="24"/>
        </w:rPr>
      </w:pPr>
      <w:r>
        <w:rPr>
          <w:rStyle w:val="PlaceholderText"/>
          <w:color w:val="000000"/>
          <w:szCs w:val="24"/>
        </w:rPr>
        <w:t>Vymedzuje sa predmet dotácie, ktorý je viazaný na spoločné projekty SR a OECD.</w:t>
      </w:r>
      <w:r>
        <w:rPr>
          <w:rStyle w:val="PlaceholderText"/>
          <w:rFonts w:ascii="Helv" w:hAnsi="Helv" w:cs="Helv"/>
          <w:color w:val="000000"/>
          <w:sz w:val="20"/>
          <w:szCs w:val="24"/>
        </w:rPr>
        <w:t xml:space="preserve"> </w:t>
      </w:r>
    </w:p>
    <w:p>
      <w:pPr>
        <w:rPr>
          <w:rStyle w:val="PlaceholderText"/>
          <w:color w:val="000000"/>
          <w:szCs w:val="24"/>
        </w:rPr>
      </w:pPr>
      <w:r>
        <w:rPr>
          <w:rStyle w:val="PlaceholderText"/>
          <w:color w:val="000000"/>
          <w:szCs w:val="24"/>
        </w:rPr>
        <w:t> </w:t>
      </w:r>
    </w:p>
    <w:p>
      <w:pPr>
        <w:rPr>
          <w:rStyle w:val="PlaceholderText"/>
          <w:color w:val="000000"/>
          <w:szCs w:val="24"/>
        </w:rPr>
      </w:pPr>
      <w:r>
        <w:rPr>
          <w:rStyle w:val="PlaceholderText"/>
          <w:color w:val="000000"/>
          <w:szCs w:val="24"/>
        </w:rPr>
        <w:t>Odsek 2</w:t>
      </w:r>
    </w:p>
    <w:p>
      <w:pPr>
        <w:rPr>
          <w:rStyle w:val="PlaceholderText"/>
          <w:color w:val="000000"/>
          <w:szCs w:val="24"/>
        </w:rPr>
      </w:pPr>
      <w:r>
        <w:rPr>
          <w:rStyle w:val="PlaceholderText"/>
          <w:color w:val="000000"/>
          <w:szCs w:val="24"/>
        </w:rPr>
        <w:t xml:space="preserve">Ustanovuje sa definícia spoločného projektu. </w:t>
      </w:r>
    </w:p>
    <w:p>
      <w:pPr>
        <w:rPr>
          <w:rStyle w:val="PlaceholderText"/>
          <w:color w:val="000000"/>
          <w:szCs w:val="24"/>
        </w:rPr>
      </w:pPr>
      <w:r>
        <w:rPr>
          <w:rStyle w:val="PlaceholderText"/>
          <w:color w:val="000000"/>
          <w:szCs w:val="24"/>
        </w:rPr>
        <w:t> </w:t>
      </w:r>
    </w:p>
    <w:p>
      <w:pPr>
        <w:rPr>
          <w:rStyle w:val="PlaceholderText"/>
          <w:color w:val="000000"/>
          <w:szCs w:val="24"/>
        </w:rPr>
      </w:pPr>
      <w:r>
        <w:rPr>
          <w:rStyle w:val="PlaceholderText"/>
          <w:color w:val="000000"/>
          <w:szCs w:val="24"/>
        </w:rPr>
        <w:t>Odsek  3</w:t>
      </w:r>
    </w:p>
    <w:p>
      <w:pPr>
        <w:rPr>
          <w:rStyle w:val="PlaceholderText"/>
          <w:color w:val="000000"/>
          <w:szCs w:val="24"/>
        </w:rPr>
      </w:pPr>
      <w:r>
        <w:rPr>
          <w:rStyle w:val="PlaceholderText"/>
          <w:color w:val="000000"/>
          <w:szCs w:val="24"/>
        </w:rPr>
        <w:t xml:space="preserve">Vymedzuje sa okruh subjektov, ktorým možno poskytnúť dotáciu. </w:t>
      </w:r>
    </w:p>
    <w:p>
      <w:pPr>
        <w:rPr>
          <w:rStyle w:val="PlaceholderText"/>
          <w:color w:val="000000"/>
          <w:szCs w:val="24"/>
        </w:rPr>
      </w:pPr>
      <w:r>
        <w:rPr>
          <w:rStyle w:val="PlaceholderText"/>
          <w:color w:val="000000"/>
          <w:szCs w:val="24"/>
        </w:rPr>
        <w:t> </w:t>
      </w:r>
    </w:p>
    <w:p>
      <w:pPr>
        <w:rPr>
          <w:rStyle w:val="PlaceholderText"/>
          <w:color w:val="000000"/>
          <w:szCs w:val="24"/>
        </w:rPr>
      </w:pPr>
      <w:r>
        <w:rPr>
          <w:rStyle w:val="PlaceholderText"/>
          <w:color w:val="000000"/>
          <w:szCs w:val="24"/>
        </w:rPr>
        <w:t>Odsek 4</w:t>
      </w:r>
    </w:p>
    <w:p>
      <w:pPr>
        <w:rPr>
          <w:rStyle w:val="PlaceholderText"/>
          <w:color w:val="000000"/>
          <w:szCs w:val="24"/>
        </w:rPr>
      </w:pPr>
      <w:r>
        <w:rPr>
          <w:rStyle w:val="PlaceholderText"/>
          <w:color w:val="000000"/>
          <w:szCs w:val="24"/>
        </w:rPr>
        <w:t>Ustanovuje sa možnosť poskytnutia dotácie na základe žiadosti, upravujú sa náležitosti</w:t>
      </w:r>
      <w:r>
        <w:rPr>
          <w:rStyle w:val="PlaceholderText"/>
          <w:color w:val="0000FF"/>
          <w:szCs w:val="24"/>
        </w:rPr>
        <w:t xml:space="preserve"> </w:t>
      </w:r>
      <w:r>
        <w:rPr>
          <w:rStyle w:val="PlaceholderText"/>
          <w:color w:val="000000"/>
          <w:szCs w:val="24"/>
        </w:rPr>
        <w:t xml:space="preserve">žiadosti a lehota na predkladanie žiadosti o dotáciu po zverejnení výzvy. </w:t>
      </w:r>
    </w:p>
    <w:p>
      <w:pPr>
        <w:rPr>
          <w:rStyle w:val="PlaceholderText"/>
          <w:color w:val="000000"/>
          <w:szCs w:val="24"/>
        </w:rPr>
      </w:pPr>
      <w:r>
        <w:rPr>
          <w:rStyle w:val="PlaceholderText"/>
          <w:color w:val="000000"/>
          <w:szCs w:val="24"/>
        </w:rPr>
        <w:t> </w:t>
      </w:r>
    </w:p>
    <w:p>
      <w:pPr>
        <w:rPr>
          <w:rStyle w:val="PlaceholderText"/>
          <w:color w:val="000000"/>
          <w:szCs w:val="24"/>
        </w:rPr>
      </w:pPr>
      <w:r>
        <w:rPr>
          <w:rStyle w:val="PlaceholderText"/>
          <w:color w:val="000000"/>
          <w:szCs w:val="24"/>
        </w:rPr>
        <w:t>Odsek 5</w:t>
      </w:r>
    </w:p>
    <w:p>
      <w:pPr>
        <w:rPr>
          <w:rStyle w:val="PlaceholderText"/>
          <w:color w:val="000000"/>
          <w:szCs w:val="24"/>
        </w:rPr>
      </w:pPr>
      <w:r>
        <w:rPr>
          <w:rStyle w:val="PlaceholderText"/>
          <w:color w:val="000000"/>
          <w:szCs w:val="24"/>
        </w:rPr>
        <w:t>Ustanovuje  sa povinnosť dvakrát ročne zverejniť výzvu na predloženie spoločného projektu na webovom sídle ministerstva.</w:t>
      </w:r>
    </w:p>
    <w:p>
      <w:pPr>
        <w:rPr>
          <w:rStyle w:val="PlaceholderText"/>
          <w:color w:val="000000"/>
          <w:szCs w:val="24"/>
        </w:rPr>
      </w:pPr>
      <w:r>
        <w:rPr>
          <w:rStyle w:val="PlaceholderText"/>
          <w:color w:val="000000"/>
          <w:szCs w:val="24"/>
        </w:rPr>
        <w:t> </w:t>
      </w:r>
    </w:p>
    <w:p>
      <w:pPr>
        <w:rPr>
          <w:rStyle w:val="PlaceholderText"/>
          <w:color w:val="000000"/>
          <w:szCs w:val="24"/>
        </w:rPr>
      </w:pPr>
      <w:r>
        <w:rPr>
          <w:rStyle w:val="PlaceholderText"/>
          <w:color w:val="000000"/>
          <w:szCs w:val="24"/>
        </w:rPr>
        <w:t>Odsek 6</w:t>
      </w:r>
    </w:p>
    <w:p>
      <w:pPr>
        <w:rPr>
          <w:rStyle w:val="PlaceholderText"/>
          <w:color w:val="000000"/>
          <w:szCs w:val="24"/>
        </w:rPr>
      </w:pPr>
      <w:r>
        <w:rPr>
          <w:rStyle w:val="PlaceholderText"/>
          <w:color w:val="000000"/>
          <w:szCs w:val="24"/>
        </w:rPr>
        <w:t xml:space="preserve">Vymedzujú sa podmienky  a ďalšie náležitosti predkladania výzvy. </w:t>
      </w:r>
    </w:p>
    <w:p>
      <w:pPr>
        <w:rPr>
          <w:rStyle w:val="PlaceholderText"/>
          <w:color w:val="000000"/>
          <w:szCs w:val="24"/>
        </w:rPr>
      </w:pPr>
      <w:r>
        <w:rPr>
          <w:rStyle w:val="PlaceholderText"/>
          <w:color w:val="000000"/>
          <w:szCs w:val="24"/>
        </w:rPr>
        <w:t> </w:t>
      </w:r>
    </w:p>
    <w:p>
      <w:pPr>
        <w:rPr>
          <w:rStyle w:val="PlaceholderText"/>
          <w:color w:val="000000"/>
          <w:szCs w:val="24"/>
        </w:rPr>
      </w:pPr>
      <w:r>
        <w:rPr>
          <w:rStyle w:val="PlaceholderText"/>
          <w:color w:val="000000"/>
          <w:szCs w:val="24"/>
        </w:rPr>
        <w:t>Odsek 7</w:t>
      </w:r>
    </w:p>
    <w:p>
      <w:pPr>
        <w:rPr>
          <w:rStyle w:val="PlaceholderText"/>
          <w:color w:val="000000"/>
          <w:szCs w:val="24"/>
        </w:rPr>
      </w:pPr>
      <w:r>
        <w:rPr>
          <w:rStyle w:val="PlaceholderText"/>
          <w:color w:val="000000"/>
          <w:szCs w:val="24"/>
        </w:rPr>
        <w:t>Ukladá sa povinnosť ministerstvu poskytnúť dotáciu len na základe zmluvy. Upravujú sa podrobnosti náležitostí zmluvy.</w:t>
      </w:r>
    </w:p>
    <w:p>
      <w:pPr>
        <w:rPr>
          <w:rStyle w:val="PlaceholderText"/>
          <w:color w:val="000000"/>
          <w:szCs w:val="24"/>
        </w:rPr>
      </w:pPr>
      <w:r>
        <w:rPr>
          <w:rStyle w:val="PlaceholderText"/>
          <w:color w:val="000000"/>
          <w:szCs w:val="24"/>
        </w:rPr>
        <w:t> </w:t>
      </w:r>
    </w:p>
    <w:p>
      <w:pPr>
        <w:rPr>
          <w:rStyle w:val="PlaceholderText"/>
          <w:color w:val="000000"/>
          <w:szCs w:val="24"/>
        </w:rPr>
      </w:pPr>
      <w:r>
        <w:rPr>
          <w:rStyle w:val="PlaceholderText"/>
          <w:color w:val="000000"/>
          <w:szCs w:val="24"/>
        </w:rPr>
        <w:t>Odsek 8</w:t>
      </w:r>
    </w:p>
    <w:p>
      <w:pPr>
        <w:rPr>
          <w:rStyle w:val="PlaceholderText"/>
          <w:color w:val="000000"/>
          <w:szCs w:val="24"/>
        </w:rPr>
      </w:pPr>
      <w:r>
        <w:rPr>
          <w:rStyle w:val="PlaceholderText"/>
          <w:color w:val="000000"/>
          <w:szCs w:val="24"/>
        </w:rPr>
        <w:t>Ukladá sa povinnosť zverejniť vzor zmluvy na webovom sídle ministerstva.</w:t>
      </w:r>
    </w:p>
    <w:p>
      <w:pPr>
        <w:rPr>
          <w:rStyle w:val="PlaceholderText"/>
          <w:color w:val="000000"/>
          <w:szCs w:val="24"/>
        </w:rPr>
      </w:pPr>
      <w:r>
        <w:rPr>
          <w:rStyle w:val="PlaceholderText"/>
          <w:color w:val="000000"/>
          <w:szCs w:val="24"/>
        </w:rPr>
        <w:t> </w:t>
      </w:r>
    </w:p>
    <w:p>
      <w:pPr>
        <w:rPr>
          <w:rStyle w:val="PlaceholderText"/>
          <w:color w:val="000000"/>
          <w:szCs w:val="24"/>
        </w:rPr>
      </w:pPr>
      <w:r>
        <w:rPr>
          <w:rStyle w:val="PlaceholderText"/>
          <w:color w:val="000000"/>
          <w:szCs w:val="24"/>
        </w:rPr>
        <w:t>K § 7</w:t>
      </w:r>
    </w:p>
    <w:p>
      <w:pPr>
        <w:rPr>
          <w:rStyle w:val="PlaceholderText"/>
          <w:color w:val="000000"/>
          <w:szCs w:val="24"/>
        </w:rPr>
      </w:pPr>
      <w:r>
        <w:rPr>
          <w:rStyle w:val="PlaceholderText"/>
          <w:color w:val="000000"/>
          <w:szCs w:val="24"/>
        </w:rPr>
        <w:t> </w:t>
      </w:r>
    </w:p>
    <w:p>
      <w:pPr>
        <w:rPr>
          <w:rStyle w:val="PlaceholderText"/>
          <w:color w:val="000000"/>
          <w:szCs w:val="24"/>
        </w:rPr>
      </w:pPr>
      <w:r>
        <w:rPr>
          <w:rStyle w:val="PlaceholderText"/>
          <w:color w:val="000000"/>
          <w:szCs w:val="24"/>
        </w:rPr>
        <w:t>Ustanovenie odkazuje na úpravu poskytovania dotácií na oficiálnu rozvojovú pomoc na zákon č. 617/2007 Z. z. o oficiálnej rozvojovej pomoci a o doplnení zákona č. 575/2001 Z. z. o organizácii činnosti vlády a organizácii ústrednej štátnej správy v znení neskorších predpisov.</w:t>
      </w:r>
    </w:p>
    <w:p>
      <w:pPr>
        <w:rPr>
          <w:rStyle w:val="PlaceholderText"/>
          <w:color w:val="000000"/>
          <w:szCs w:val="24"/>
        </w:rPr>
      </w:pPr>
      <w:r>
        <w:rPr>
          <w:rStyle w:val="PlaceholderText"/>
          <w:color w:val="000000"/>
          <w:szCs w:val="24"/>
        </w:rPr>
        <w:t> </w:t>
      </w:r>
    </w:p>
    <w:p>
      <w:pPr>
        <w:rPr>
          <w:rStyle w:val="PlaceholderText"/>
          <w:color w:val="000000"/>
          <w:szCs w:val="24"/>
        </w:rPr>
      </w:pPr>
      <w:r>
        <w:rPr>
          <w:rStyle w:val="PlaceholderText"/>
          <w:color w:val="000000"/>
          <w:szCs w:val="24"/>
        </w:rPr>
        <w:t>K § 8</w:t>
      </w:r>
    </w:p>
    <w:p>
      <w:pPr>
        <w:rPr>
          <w:rStyle w:val="PlaceholderText"/>
          <w:color w:val="000000"/>
          <w:szCs w:val="24"/>
        </w:rPr>
      </w:pPr>
      <w:r>
        <w:rPr>
          <w:rStyle w:val="PlaceholderText"/>
          <w:color w:val="000000"/>
          <w:szCs w:val="24"/>
        </w:rPr>
        <w:t> </w:t>
      </w:r>
    </w:p>
    <w:p>
      <w:pPr>
        <w:rPr>
          <w:rStyle w:val="PlaceholderText"/>
          <w:color w:val="000000"/>
          <w:szCs w:val="24"/>
        </w:rPr>
      </w:pPr>
      <w:r>
        <w:rPr>
          <w:rStyle w:val="PlaceholderText"/>
          <w:color w:val="000000"/>
          <w:szCs w:val="24"/>
        </w:rPr>
        <w:t>Ruší sa doteraz platný výnos, ktorým sa upravovalo poskytovanie dotácií v pôsobnosti ministerstva.</w:t>
      </w:r>
    </w:p>
    <w:p>
      <w:pPr>
        <w:rPr>
          <w:rStyle w:val="PlaceholderText"/>
          <w:color w:val="000000"/>
          <w:szCs w:val="24"/>
        </w:rPr>
      </w:pPr>
      <w:r>
        <w:rPr>
          <w:rStyle w:val="PlaceholderText"/>
          <w:color w:val="000000"/>
          <w:szCs w:val="24"/>
        </w:rPr>
        <w:t> </w:t>
      </w:r>
    </w:p>
    <w:p>
      <w:pPr>
        <w:pStyle w:val="Heading1"/>
        <w:widowControl/>
        <w:spacing w:before="0" w:after="0"/>
        <w:rPr>
          <w:rStyle w:val="PlaceholderText"/>
          <w:color w:val="000000"/>
          <w:sz w:val="24"/>
          <w:szCs w:val="24"/>
        </w:rPr>
      </w:pPr>
      <w:r>
        <w:rPr>
          <w:rStyle w:val="PlaceholderText"/>
          <w:color w:val="000000"/>
          <w:sz w:val="24"/>
          <w:szCs w:val="24"/>
        </w:rPr>
        <w:t>K článku II</w:t>
      </w:r>
    </w:p>
    <w:p>
      <w:pPr>
        <w:rPr>
          <w:rStyle w:val="PlaceholderText"/>
          <w:color w:val="000000"/>
          <w:szCs w:val="24"/>
        </w:rPr>
      </w:pPr>
    </w:p>
    <w:p>
      <w:pPr>
        <w:rPr>
          <w:rStyle w:val="PlaceholderText"/>
          <w:color w:val="000000"/>
          <w:szCs w:val="24"/>
        </w:rPr>
      </w:pPr>
      <w:r>
        <w:rPr>
          <w:rStyle w:val="PlaceholderText"/>
          <w:color w:val="000000"/>
          <w:szCs w:val="24"/>
        </w:rPr>
        <w:t>V predloženej novele zákona č. 617/2007 Z. z. o oficiálnej rozvojovej pomoci a o doplnení zákona č. 575/2001 Z. z. o organizácii činnosti vlády a organizácii ústrednej štátnej správy v znení neskorších predpisov sa vecne upravuje  problematika poskytovania dotácií pre oblasť oficiálnej rozvojovej pomoci.</w:t>
      </w:r>
    </w:p>
    <w:p>
      <w:pPr>
        <w:rPr>
          <w:rStyle w:val="PlaceholderText"/>
          <w:color w:val="000000"/>
          <w:szCs w:val="24"/>
        </w:rPr>
      </w:pPr>
      <w:r>
        <w:rPr>
          <w:rStyle w:val="PlaceholderText"/>
          <w:color w:val="FF0000"/>
          <w:szCs w:val="24"/>
        </w:rPr>
        <w:t> </w:t>
      </w:r>
    </w:p>
    <w:p>
      <w:pPr>
        <w:rPr>
          <w:rStyle w:val="PlaceholderText"/>
          <w:color w:val="000000"/>
          <w:szCs w:val="24"/>
        </w:rPr>
      </w:pPr>
      <w:r>
        <w:rPr>
          <w:rStyle w:val="PlaceholderText"/>
          <w:color w:val="000000"/>
          <w:szCs w:val="24"/>
        </w:rPr>
        <w:t>K bodu 1</w:t>
      </w:r>
    </w:p>
    <w:p>
      <w:pPr>
        <w:rPr>
          <w:rStyle w:val="PlaceholderText"/>
          <w:color w:val="000000"/>
          <w:szCs w:val="24"/>
        </w:rPr>
      </w:pPr>
      <w:r>
        <w:rPr>
          <w:rStyle w:val="PlaceholderText"/>
          <w:color w:val="000000"/>
          <w:szCs w:val="24"/>
        </w:rPr>
        <w:t>Nahrádza sa slovo „koncepcia“ slovom „stratégia“, pretože vystihuje dlhodobejší, plánovací charakter materiálu. Vláda Slovenskej republiky v roku 2009 prijala dokument „Strednodobá stratégia oficiálnej rozvojovej pomoci SR na roky 2009 až 2013“. Ide  o zjednotenie pojmov.</w:t>
      </w:r>
    </w:p>
    <w:p>
      <w:pPr>
        <w:rPr>
          <w:rStyle w:val="PlaceholderText"/>
          <w:color w:val="000000"/>
          <w:szCs w:val="24"/>
        </w:rPr>
      </w:pPr>
      <w:r>
        <w:rPr>
          <w:rStyle w:val="PlaceholderText"/>
          <w:color w:val="000000"/>
          <w:szCs w:val="24"/>
        </w:rPr>
        <w:t> </w:t>
      </w:r>
    </w:p>
    <w:p>
      <w:pPr>
        <w:rPr>
          <w:rStyle w:val="PlaceholderText"/>
          <w:color w:val="000000"/>
          <w:szCs w:val="24"/>
        </w:rPr>
      </w:pPr>
      <w:r>
        <w:rPr>
          <w:rStyle w:val="PlaceholderText"/>
          <w:color w:val="000000"/>
          <w:szCs w:val="24"/>
        </w:rPr>
        <w:t xml:space="preserve">K bodu 2 </w:t>
      </w:r>
    </w:p>
    <w:p>
      <w:pPr>
        <w:rPr>
          <w:rStyle w:val="PlaceholderText"/>
          <w:color w:val="000000"/>
          <w:szCs w:val="24"/>
        </w:rPr>
      </w:pPr>
      <w:r>
        <w:rPr>
          <w:rStyle w:val="PlaceholderText"/>
          <w:color w:val="000000"/>
          <w:szCs w:val="24"/>
        </w:rPr>
        <w:t>Vymedzuje sa pojem „partnerská organizácia“ v príslušnej  krajine, kde sa realizuje oficiálna rozvojová pomoc alebo humanitárna pomoc.</w:t>
      </w:r>
    </w:p>
    <w:p>
      <w:pPr>
        <w:rPr>
          <w:rStyle w:val="PlaceholderText"/>
          <w:color w:val="000000"/>
          <w:szCs w:val="24"/>
        </w:rPr>
      </w:pPr>
      <w:r>
        <w:rPr>
          <w:rStyle w:val="PlaceholderText"/>
          <w:color w:val="000000"/>
          <w:szCs w:val="24"/>
        </w:rPr>
        <w:t> </w:t>
      </w:r>
    </w:p>
    <w:p>
      <w:pPr>
        <w:rPr>
          <w:rStyle w:val="PlaceholderText"/>
          <w:color w:val="000000"/>
          <w:szCs w:val="24"/>
        </w:rPr>
      </w:pPr>
      <w:r>
        <w:rPr>
          <w:rStyle w:val="PlaceholderText"/>
          <w:color w:val="000000"/>
          <w:szCs w:val="24"/>
        </w:rPr>
        <w:t xml:space="preserve">K bodu 3 </w:t>
      </w:r>
    </w:p>
    <w:p>
      <w:pPr>
        <w:rPr>
          <w:rStyle w:val="PlaceholderText"/>
          <w:color w:val="000000"/>
          <w:szCs w:val="24"/>
        </w:rPr>
      </w:pPr>
      <w:r>
        <w:rPr>
          <w:rStyle w:val="PlaceholderText"/>
          <w:color w:val="000000"/>
          <w:szCs w:val="24"/>
        </w:rPr>
        <w:t>Ide o legislatívno-technickú úpravu, slovo „granty“  sa nahrádza slovom „dotácie“.</w:t>
      </w:r>
    </w:p>
    <w:p>
      <w:pPr>
        <w:rPr>
          <w:rStyle w:val="PlaceholderText"/>
          <w:color w:val="000000"/>
          <w:szCs w:val="24"/>
        </w:rPr>
      </w:pPr>
      <w:r>
        <w:rPr>
          <w:rStyle w:val="PlaceholderText"/>
          <w:color w:val="000000"/>
          <w:szCs w:val="24"/>
        </w:rPr>
        <w:t>K bodu  4</w:t>
      </w:r>
    </w:p>
    <w:p>
      <w:pPr>
        <w:rPr>
          <w:rStyle w:val="PlaceholderText"/>
          <w:color w:val="000000"/>
          <w:szCs w:val="24"/>
        </w:rPr>
      </w:pPr>
      <w:r>
        <w:rPr>
          <w:rStyle w:val="PlaceholderText"/>
          <w:color w:val="000000"/>
          <w:szCs w:val="24"/>
        </w:rPr>
        <w:t xml:space="preserve">Ustanovenie § 10 ods.1 písm. a) sa dopĺňa  o poskytovanie dotácií na oficiálnu rozvojovú pomoc. </w:t>
      </w:r>
    </w:p>
    <w:p>
      <w:pPr>
        <w:rPr>
          <w:rStyle w:val="PlaceholderText"/>
          <w:color w:val="000000"/>
          <w:szCs w:val="24"/>
        </w:rPr>
      </w:pPr>
      <w:r>
        <w:rPr>
          <w:rStyle w:val="PlaceholderText"/>
          <w:color w:val="000000"/>
          <w:szCs w:val="24"/>
        </w:rPr>
        <w:t>  </w:t>
      </w:r>
    </w:p>
    <w:p>
      <w:pPr>
        <w:rPr>
          <w:rStyle w:val="PlaceholderText"/>
          <w:color w:val="000000"/>
          <w:szCs w:val="24"/>
        </w:rPr>
      </w:pPr>
      <w:r>
        <w:rPr>
          <w:rStyle w:val="PlaceholderText"/>
          <w:color w:val="000000"/>
          <w:szCs w:val="24"/>
        </w:rPr>
        <w:t>K bodu 5</w:t>
      </w:r>
    </w:p>
    <w:p>
      <w:pPr>
        <w:rPr>
          <w:rStyle w:val="PlaceholderText"/>
          <w:color w:val="000000"/>
          <w:szCs w:val="24"/>
        </w:rPr>
      </w:pPr>
      <w:r>
        <w:rPr>
          <w:rStyle w:val="PlaceholderText"/>
          <w:color w:val="000000"/>
          <w:szCs w:val="24"/>
        </w:rPr>
        <w:t>V tomto bode ide o legislatívno-technickú úpravu, nadpis sa umiestňuje nad § 10 z dôvodu, že uvedený nadpis sa vzťahuje nielen na  § 10, ale aj na nový § 10a.</w:t>
      </w:r>
    </w:p>
    <w:p>
      <w:pPr>
        <w:rPr>
          <w:rStyle w:val="PlaceholderText"/>
          <w:color w:val="000000"/>
          <w:szCs w:val="24"/>
        </w:rPr>
      </w:pPr>
      <w:r>
        <w:rPr>
          <w:rStyle w:val="PlaceholderText"/>
          <w:color w:val="000000"/>
          <w:szCs w:val="24"/>
        </w:rPr>
        <w:t> </w:t>
      </w:r>
    </w:p>
    <w:p>
      <w:pPr>
        <w:rPr>
          <w:rStyle w:val="PlaceholderText"/>
          <w:color w:val="000000"/>
          <w:szCs w:val="24"/>
        </w:rPr>
      </w:pPr>
      <w:r>
        <w:rPr>
          <w:rStyle w:val="PlaceholderText"/>
          <w:color w:val="000000"/>
          <w:szCs w:val="24"/>
        </w:rPr>
        <w:t>K bodu 6</w:t>
      </w:r>
    </w:p>
    <w:p>
      <w:pPr>
        <w:rPr>
          <w:rStyle w:val="PlaceholderText"/>
          <w:color w:val="000000"/>
          <w:szCs w:val="24"/>
        </w:rPr>
      </w:pPr>
      <w:r>
        <w:rPr>
          <w:rStyle w:val="PlaceholderText"/>
          <w:color w:val="000000"/>
          <w:szCs w:val="24"/>
        </w:rPr>
        <w:t xml:space="preserve">Vkladá sa  § 10a, na základe ktorého sa poskytujú dotácie na oficiálnu rozvojovú pomoc. </w:t>
      </w:r>
    </w:p>
    <w:p>
      <w:pPr>
        <w:rPr>
          <w:rStyle w:val="PlaceholderText"/>
          <w:color w:val="000000"/>
          <w:szCs w:val="24"/>
        </w:rPr>
      </w:pPr>
      <w:r>
        <w:rPr>
          <w:rStyle w:val="PlaceholderText"/>
          <w:color w:val="000000"/>
          <w:szCs w:val="24"/>
        </w:rPr>
        <w:t> </w:t>
      </w:r>
    </w:p>
    <w:p>
      <w:pPr>
        <w:rPr>
          <w:rStyle w:val="PlaceholderText"/>
          <w:color w:val="000000"/>
          <w:szCs w:val="24"/>
        </w:rPr>
      </w:pPr>
      <w:r>
        <w:rPr>
          <w:rStyle w:val="PlaceholderText"/>
          <w:color w:val="000000"/>
          <w:szCs w:val="24"/>
        </w:rPr>
        <w:t>Odsek 1</w:t>
      </w:r>
    </w:p>
    <w:p>
      <w:pPr>
        <w:jc w:val="both"/>
        <w:rPr>
          <w:rStyle w:val="PlaceholderText"/>
          <w:color w:val="000000"/>
          <w:szCs w:val="24"/>
        </w:rPr>
      </w:pPr>
      <w:r>
        <w:rPr>
          <w:rStyle w:val="PlaceholderText"/>
          <w:color w:val="000000"/>
          <w:szCs w:val="24"/>
        </w:rPr>
        <w:t xml:space="preserve">Ustanovuje sa, že dotáciu na oficiálnu rozvojovú pomoc možno poskytnúť iba na základe písomnej žiadosti  určeným subjektom, ktoré sa podieľajú na oficiálnej rozvojovej pomoci za súčasného dodržania osobitného ustanovenia zákona o rozpočtových pravidlách verejnej správy.  </w:t>
      </w:r>
    </w:p>
    <w:p>
      <w:pPr>
        <w:rPr>
          <w:rStyle w:val="PlaceholderText"/>
          <w:color w:val="000000"/>
          <w:szCs w:val="24"/>
        </w:rPr>
      </w:pPr>
      <w:r>
        <w:rPr>
          <w:rStyle w:val="PlaceholderText"/>
          <w:color w:val="000000"/>
          <w:szCs w:val="24"/>
        </w:rPr>
        <w:t>Legislatívno-technická úprava, vkladá sa poznámka pod čiaru.</w:t>
      </w:r>
    </w:p>
    <w:p>
      <w:pPr>
        <w:rPr>
          <w:rStyle w:val="PlaceholderText"/>
          <w:color w:val="000000"/>
          <w:szCs w:val="24"/>
        </w:rPr>
      </w:pPr>
      <w:r>
        <w:rPr>
          <w:rStyle w:val="PlaceholderText"/>
          <w:color w:val="000000"/>
          <w:szCs w:val="24"/>
        </w:rPr>
        <w:t> </w:t>
      </w:r>
    </w:p>
    <w:p>
      <w:pPr>
        <w:rPr>
          <w:rStyle w:val="PlaceholderText"/>
          <w:color w:val="000000"/>
          <w:szCs w:val="24"/>
        </w:rPr>
      </w:pPr>
      <w:r>
        <w:rPr>
          <w:rStyle w:val="PlaceholderText"/>
          <w:color w:val="000000"/>
          <w:szCs w:val="24"/>
        </w:rPr>
        <w:t xml:space="preserve">Odsek 2 </w:t>
      </w:r>
    </w:p>
    <w:p>
      <w:pPr>
        <w:rPr>
          <w:rStyle w:val="PlaceholderText"/>
          <w:color w:val="000000"/>
          <w:szCs w:val="24"/>
        </w:rPr>
      </w:pPr>
      <w:r>
        <w:rPr>
          <w:rStyle w:val="PlaceholderText"/>
          <w:color w:val="000000"/>
          <w:szCs w:val="24"/>
        </w:rPr>
        <w:t>Upravuje predmet, okruh činností, na ktoré je možné poskytnúť dotácie.</w:t>
      </w:r>
    </w:p>
    <w:p>
      <w:pPr>
        <w:rPr>
          <w:rStyle w:val="PlaceholderText"/>
          <w:color w:val="000000"/>
          <w:szCs w:val="24"/>
        </w:rPr>
      </w:pPr>
      <w:r>
        <w:rPr>
          <w:rStyle w:val="PlaceholderText"/>
          <w:color w:val="000000"/>
          <w:szCs w:val="24"/>
        </w:rPr>
        <w:t> </w:t>
      </w:r>
    </w:p>
    <w:p>
      <w:pPr>
        <w:rPr>
          <w:rStyle w:val="PlaceholderText"/>
          <w:color w:val="000000"/>
          <w:szCs w:val="24"/>
        </w:rPr>
      </w:pPr>
      <w:r>
        <w:rPr>
          <w:rStyle w:val="PlaceholderText"/>
          <w:color w:val="000000"/>
          <w:szCs w:val="24"/>
        </w:rPr>
        <w:t xml:space="preserve">Odseky 3 a 4 </w:t>
      </w:r>
    </w:p>
    <w:p>
      <w:pPr>
        <w:rPr>
          <w:rStyle w:val="PlaceholderText"/>
          <w:color w:val="000000"/>
          <w:szCs w:val="24"/>
        </w:rPr>
      </w:pPr>
      <w:r>
        <w:rPr>
          <w:rStyle w:val="PlaceholderText"/>
          <w:color w:val="000000"/>
          <w:szCs w:val="24"/>
        </w:rPr>
        <w:t>Ustanovujú sa podmienky poskytnutia dotácie – povinnosť uzatvoriť zmluvu, stanovuje sa výška spolufinancovania. Legislatívno-technická úprava, vkladajú sa vnútorné odkazy.</w:t>
      </w:r>
    </w:p>
    <w:p>
      <w:pPr>
        <w:rPr>
          <w:rStyle w:val="PlaceholderText"/>
          <w:color w:val="000000"/>
          <w:szCs w:val="24"/>
        </w:rPr>
      </w:pPr>
      <w:r>
        <w:rPr>
          <w:rStyle w:val="PlaceholderText"/>
          <w:color w:val="000000"/>
          <w:szCs w:val="24"/>
        </w:rPr>
        <w:t> </w:t>
      </w:r>
    </w:p>
    <w:p>
      <w:pPr>
        <w:rPr>
          <w:rStyle w:val="PlaceholderText"/>
          <w:color w:val="000000"/>
          <w:szCs w:val="24"/>
        </w:rPr>
      </w:pPr>
      <w:r>
        <w:rPr>
          <w:rStyle w:val="PlaceholderText"/>
          <w:color w:val="000000"/>
          <w:szCs w:val="24"/>
        </w:rPr>
        <w:t>Odsek 5</w:t>
      </w:r>
    </w:p>
    <w:p>
      <w:pPr>
        <w:rPr>
          <w:rStyle w:val="PlaceholderText"/>
          <w:color w:val="000000"/>
          <w:szCs w:val="24"/>
        </w:rPr>
      </w:pPr>
      <w:r>
        <w:rPr>
          <w:rStyle w:val="PlaceholderText"/>
          <w:color w:val="000000"/>
          <w:szCs w:val="24"/>
        </w:rPr>
        <w:t xml:space="preserve">Ustanovuje sa možnosť pri viacročných projektoch poskytnúť dotáciu v niekoľkých častiach. </w:t>
      </w:r>
    </w:p>
    <w:p>
      <w:pPr>
        <w:rPr>
          <w:rStyle w:val="PlaceholderText"/>
          <w:color w:val="000000"/>
          <w:szCs w:val="24"/>
        </w:rPr>
      </w:pPr>
      <w:r>
        <w:rPr>
          <w:rStyle w:val="PlaceholderText"/>
          <w:color w:val="000000"/>
          <w:szCs w:val="24"/>
        </w:rPr>
        <w:t> </w:t>
      </w:r>
    </w:p>
    <w:p>
      <w:pPr>
        <w:rPr>
          <w:rStyle w:val="PlaceholderText"/>
          <w:color w:val="000000"/>
          <w:szCs w:val="24"/>
        </w:rPr>
      </w:pPr>
      <w:r>
        <w:rPr>
          <w:rStyle w:val="PlaceholderText"/>
          <w:color w:val="000000"/>
          <w:szCs w:val="24"/>
        </w:rPr>
        <w:t>Odsek 6</w:t>
      </w:r>
    </w:p>
    <w:p>
      <w:pPr>
        <w:rPr>
          <w:rStyle w:val="PlaceholderText"/>
          <w:color w:val="000000"/>
          <w:szCs w:val="24"/>
        </w:rPr>
      </w:pPr>
      <w:r>
        <w:rPr>
          <w:rStyle w:val="PlaceholderText"/>
          <w:color w:val="000000"/>
          <w:szCs w:val="24"/>
        </w:rPr>
        <w:t>Upravuje sa zverejňovanie výzvy na webovom sídle agentúry v nadväznosti na schválený Národný program oficiálnej rozvojovej pomoci.</w:t>
      </w:r>
    </w:p>
    <w:p>
      <w:pPr>
        <w:rPr>
          <w:rStyle w:val="PlaceholderText"/>
          <w:color w:val="000000"/>
          <w:szCs w:val="24"/>
        </w:rPr>
      </w:pPr>
      <w:r>
        <w:rPr>
          <w:rStyle w:val="PlaceholderText"/>
          <w:color w:val="000000"/>
          <w:szCs w:val="24"/>
        </w:rPr>
        <w:t> </w:t>
      </w:r>
    </w:p>
    <w:p>
      <w:pPr>
        <w:rPr>
          <w:rStyle w:val="PlaceholderText"/>
          <w:color w:val="000000"/>
          <w:szCs w:val="24"/>
        </w:rPr>
      </w:pPr>
      <w:r>
        <w:rPr>
          <w:rStyle w:val="PlaceholderText"/>
          <w:color w:val="000000"/>
          <w:szCs w:val="24"/>
        </w:rPr>
        <w:t>Odsek 7</w:t>
      </w:r>
    </w:p>
    <w:p>
      <w:pPr>
        <w:jc w:val="both"/>
        <w:rPr>
          <w:rStyle w:val="PlaceholderText"/>
          <w:color w:val="000000"/>
          <w:szCs w:val="24"/>
        </w:rPr>
      </w:pPr>
      <w:r>
        <w:rPr>
          <w:rStyle w:val="PlaceholderText"/>
          <w:color w:val="000000"/>
          <w:szCs w:val="24"/>
        </w:rPr>
        <w:t xml:space="preserve">Stanovuje sa, že ministerstvo podrobnosti o náležitostiach žiadosti a zmluvy o poskytnutí dotácie, ako aj náležitosti výzvy upraví všeobecne záväzným právnym predpisom. </w:t>
      </w:r>
    </w:p>
    <w:p>
      <w:pPr>
        <w:jc w:val="both"/>
        <w:rPr>
          <w:rStyle w:val="PlaceholderText"/>
          <w:color w:val="000000"/>
          <w:szCs w:val="24"/>
        </w:rPr>
      </w:pPr>
      <w:r>
        <w:rPr>
          <w:rStyle w:val="PlaceholderText"/>
          <w:color w:val="000000"/>
          <w:szCs w:val="24"/>
        </w:rPr>
        <w:t>Legislatívno-technická úprava odkazov a poznámok pod čiarou.</w:t>
      </w:r>
    </w:p>
    <w:p>
      <w:pPr>
        <w:pStyle w:val="Heading1"/>
        <w:widowControl/>
        <w:spacing w:before="0" w:after="0"/>
        <w:rPr>
          <w:rStyle w:val="PlaceholderText"/>
          <w:color w:val="000000"/>
          <w:sz w:val="24"/>
          <w:szCs w:val="24"/>
        </w:rPr>
      </w:pPr>
    </w:p>
    <w:p>
      <w:pPr>
        <w:pStyle w:val="Heading1"/>
        <w:widowControl/>
        <w:spacing w:before="0" w:after="0"/>
        <w:rPr>
          <w:rStyle w:val="PlaceholderText"/>
          <w:color w:val="000000"/>
          <w:sz w:val="24"/>
          <w:szCs w:val="24"/>
        </w:rPr>
      </w:pPr>
      <w:r>
        <w:rPr>
          <w:rStyle w:val="PlaceholderText"/>
          <w:color w:val="000000"/>
          <w:sz w:val="24"/>
          <w:szCs w:val="24"/>
        </w:rPr>
        <w:t>K článku III</w:t>
      </w:r>
    </w:p>
    <w:p>
      <w:pPr>
        <w:rPr>
          <w:rStyle w:val="PlaceholderText"/>
          <w:color w:val="000000"/>
          <w:szCs w:val="24"/>
        </w:rPr>
      </w:pPr>
    </w:p>
    <w:p>
      <w:pPr>
        <w:rPr>
          <w:rStyle w:val="PlaceholderText"/>
          <w:color w:val="000000"/>
          <w:szCs w:val="24"/>
        </w:rPr>
      </w:pPr>
      <w:r>
        <w:rPr>
          <w:rStyle w:val="PlaceholderText"/>
          <w:color w:val="000000"/>
          <w:szCs w:val="24"/>
        </w:rPr>
        <w:t>Navrhuje sa účinnosť zákona.</w:t>
      </w:r>
    </w:p>
    <w:p>
      <w:pPr>
        <w:rPr>
          <w:rStyle w:val="PlaceholderText"/>
          <w:color w:val="000000"/>
          <w:szCs w:val="24"/>
        </w:rPr>
      </w:pPr>
      <w:r>
        <w:rPr>
          <w:rStyle w:val="PlaceholderText"/>
          <w:b/>
          <w:color w:val="000000"/>
          <w:sz w:val="36"/>
          <w:szCs w:val="24"/>
        </w:rPr>
        <w:t> </w:t>
      </w:r>
    </w:p>
    <w:p>
      <w:pPr>
        <w:rPr>
          <w:rStyle w:val="PlaceholderText"/>
          <w:color w:val="000000"/>
          <w:szCs w:val="24"/>
        </w:rPr>
      </w:pPr>
      <w:r>
        <w:rPr>
          <w:rStyle w:val="PlaceholderText"/>
          <w:color w:val="000000"/>
          <w:szCs w:val="24"/>
        </w:rPr>
        <w:t>Schválené vládou Slovenskej republiky 13.septembra 2010</w:t>
      </w:r>
    </w:p>
    <w:p>
      <w:pPr>
        <w:rPr>
          <w:rStyle w:val="PlaceholderText"/>
          <w:color w:val="000000"/>
          <w:szCs w:val="24"/>
        </w:rPr>
      </w:pPr>
    </w:p>
    <w:p>
      <w:pPr>
        <w:rPr>
          <w:rStyle w:val="PlaceholderText"/>
          <w:color w:val="000000"/>
          <w:szCs w:val="24"/>
        </w:rPr>
      </w:pPr>
    </w:p>
    <w:p>
      <w:pPr>
        <w:jc w:val="center"/>
        <w:rPr>
          <w:rStyle w:val="PlaceholderText"/>
          <w:b/>
          <w:color w:val="000000"/>
          <w:szCs w:val="24"/>
        </w:rPr>
      </w:pPr>
      <w:r>
        <w:rPr>
          <w:rStyle w:val="PlaceholderText"/>
          <w:b/>
          <w:color w:val="000000"/>
          <w:szCs w:val="24"/>
        </w:rPr>
        <w:t>Iveta Radičová v. r.</w:t>
      </w:r>
    </w:p>
    <w:p>
      <w:pPr>
        <w:jc w:val="center"/>
        <w:rPr>
          <w:rStyle w:val="PlaceholderText"/>
          <w:color w:val="000000"/>
          <w:szCs w:val="24"/>
        </w:rPr>
      </w:pPr>
      <w:r>
        <w:rPr>
          <w:rStyle w:val="PlaceholderText"/>
          <w:color w:val="000000"/>
          <w:szCs w:val="24"/>
        </w:rPr>
        <w:t>predsedníčka vlády Slovenskej republiky</w:t>
      </w:r>
    </w:p>
    <w:p>
      <w:pPr>
        <w:rPr>
          <w:rStyle w:val="PlaceholderText"/>
          <w:color w:val="000000"/>
          <w:szCs w:val="24"/>
        </w:rPr>
      </w:pPr>
    </w:p>
    <w:p>
      <w:pPr>
        <w:jc w:val="center"/>
        <w:rPr>
          <w:rStyle w:val="PlaceholderText"/>
          <w:b/>
          <w:color w:val="000000"/>
          <w:szCs w:val="24"/>
        </w:rPr>
      </w:pPr>
      <w:r>
        <w:rPr>
          <w:rStyle w:val="PlaceholderText"/>
          <w:b/>
          <w:color w:val="000000"/>
          <w:szCs w:val="24"/>
        </w:rPr>
        <w:t>Mikuláš Dzurinda v. r.</w:t>
      </w:r>
    </w:p>
    <w:p>
      <w:pPr>
        <w:jc w:val="center"/>
        <w:rPr>
          <w:rStyle w:val="PlaceholderText"/>
          <w:color w:val="000000"/>
          <w:szCs w:val="24"/>
          <w:lang w:val="en-US"/>
        </w:rPr>
      </w:pPr>
      <w:r>
        <w:rPr>
          <w:rStyle w:val="PlaceholderText"/>
          <w:color w:val="000000"/>
          <w:szCs w:val="24"/>
        </w:rPr>
        <w:t>minister zahraničných vecí Slovenskej republiky</w:t>
      </w:r>
    </w:p>
    <w:sectPr>
      <w:footerReference w:type="default" r:id="rId4"/>
      <w:pgMar w:top="1417" w:right="1440" w:bottom="1417" w:left="1440" w:header="708" w:footer="708"/>
      <w:lnNumType w:distance="0"/>
      <w:pgNumType w:start="1"/>
      <w:cols w:space="708"/>
      <w:noEndnote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0FF" w:csb1="00000000"/>
  </w:font>
  <w:font w:name="Arial">
    <w:altName w:val="Times New Roman"/>
    <w:panose1 w:val="020B0604020202020204"/>
    <w:charset w:val="EE"/>
    <w:family w:val="swiss"/>
    <w:pitch w:val="variable"/>
    <w:sig w:usb0="00000000" w:usb1="00000000" w:usb2="00000000" w:usb3="00000000" w:csb0="000000FF" w:csb1="00000000"/>
  </w:font>
  <w:font w:name="Courier New">
    <w:panose1 w:val="02070309020205020404"/>
    <w:charset w:val="EE"/>
    <w:family w:val="modern"/>
    <w:pitch w:val="fixed"/>
    <w:sig w:usb0="00000000" w:usb1="00000000" w:usb2="00000000" w:usb3="00000000" w:csb0="000000FF" w:csb1="00000000"/>
  </w:font>
  <w:font w:name="Symbol">
    <w:panose1 w:val="05050102010706020507"/>
    <w:charset w:val="02"/>
    <w:family w:val="roman"/>
    <w:pitch w:val="variable"/>
    <w:sig w:usb0="00000000" w:usb1="00000000" w:usb2="00000000" w:usb3="00000000" w:csb0="80000000" w:csb1="00000000"/>
  </w:font>
  <w:font w:name="Helv">
    <w:altName w:val="Arial"/>
    <w:panose1 w:val="00000000000000000000"/>
    <w:charset w:val="00"/>
    <w:family w:val="swiss"/>
    <w:pitch w:val="variable"/>
    <w:sig w:usb0="00000000" w:usb1="00000000" w:usb2="00000000" w:usb3="00000000" w:csb0="00000001" w:csb1="00000000"/>
  </w:font>
  <w:font w:name="Wingdings">
    <w:panose1 w:val="05000000000000000000"/>
    <w:charset w:val="02"/>
    <w:family w:val="auto"/>
    <w:pitch w:val="variable"/>
    <w:sig w:usb0="00000000" w:usb1="00000000" w:usb2="00000000" w:usb3="00000000" w:csb0="80000000" w:csb1="00000000"/>
  </w:font>
  <w:font w:name="Calibri">
    <w:altName w:val="Century Gothic"/>
    <w:panose1 w:val="020F050202020403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vAnchor="text" w:hAnchor="margin" w:xAlign="center"/>
      <w:rPr>
        <w:rStyle w:val="PageNumber"/>
        <w:rFonts w:ascii="Times New Roman" w:hAnsi="Times New Roman" w:cs="Times New Roman"/>
        <w:szCs w:val="24"/>
      </w:rPr>
    </w:pPr>
    <w:r>
      <w:rPr>
        <w:rStyle w:val="PageNumber"/>
        <w:rFonts w:ascii="Times New Roman" w:hAnsi="Times New Roman" w:cs="Times New Roman"/>
        <w:szCs w:val="24"/>
      </w:rPr>
      <w:fldChar w:fldCharType="begin"/>
    </w:r>
    <w:r>
      <w:rPr>
        <w:rStyle w:val="PageNumber"/>
        <w:rFonts w:ascii="Times New Roman" w:hAnsi="Times New Roman" w:cs="Times New Roman"/>
        <w:szCs w:val="24"/>
      </w:rPr>
      <w:instrText xml:space="preserve">PAGE  </w:instrText>
    </w:r>
    <w:r>
      <w:rPr>
        <w:rStyle w:val="PageNumber"/>
        <w:rFonts w:ascii="Times New Roman" w:hAnsi="Times New Roman" w:cs="Times New Roman"/>
        <w:szCs w:val="24"/>
      </w:rPr>
      <w:fldChar w:fldCharType="separate"/>
    </w:r>
    <w:r>
      <w:rPr>
        <w:rStyle w:val="PageNumber"/>
        <w:rFonts w:ascii="Times New Roman" w:hAnsi="Times New Roman" w:cs="Times New Roman"/>
        <w:noProof/>
        <w:szCs w:val="24"/>
      </w:rPr>
      <w:t>8</w:t>
    </w:r>
    <w:r>
      <w:rPr>
        <w:rStyle w:val="PageNumber"/>
        <w:rFonts w:ascii="Times New Roman" w:hAnsi="Times New Roman" w:cs="Times New Roman"/>
        <w:szCs w:val="24"/>
      </w:rPr>
      <w:fldChar w:fldCharType="end"/>
    </w:r>
  </w:p>
  <w:p>
    <w:pPr>
      <w:pStyle w:val="Footer"/>
      <w:rPr>
        <w:rFonts w:ascii="Times New Roman" w:hAnsi="Times New Roman" w:cs="Times New Roman"/>
        <w:szCs w:val="24"/>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228E4"/>
    <w:multiLevelType w:val="hybridMultilevel"/>
    <w:tmpl w:val="C2B42B26"/>
    <w:lvl w:ilvl="0">
      <w:start w:val="1"/>
      <w:numFmt w:val="lowerLetter"/>
      <w:lvlText w:val="%1)"/>
      <w:lvlJc w:val="left"/>
      <w:pPr>
        <w:tabs>
          <w:tab w:val="num" w:pos="615"/>
        </w:tabs>
        <w:ind w:hanging="375"/>
      </w:pPr>
      <w:rPr>
        <w:rFonts w:hint="default"/>
      </w:rPr>
    </w:lvl>
    <w:lvl w:ilvl="1">
      <w:start w:val="1"/>
      <w:numFmt w:val="lowerLetter"/>
      <w:lvlText w:val="%2."/>
      <w:lvlJc w:val="left"/>
      <w:pPr>
        <w:tabs>
          <w:tab w:val="num" w:pos="1320"/>
        </w:tabs>
        <w:ind w:hanging="360"/>
      </w:pPr>
    </w:lvl>
    <w:lvl w:ilvl="2">
      <w:start w:val="1"/>
      <w:numFmt w:val="lowerRoman"/>
      <w:lvlText w:val="%3."/>
      <w:lvlJc w:val="right"/>
      <w:pPr>
        <w:tabs>
          <w:tab w:val="num" w:pos="2040"/>
        </w:tabs>
        <w:ind w:hanging="180"/>
      </w:pPr>
    </w:lvl>
    <w:lvl w:ilvl="3">
      <w:start w:val="1"/>
      <w:numFmt w:val="decimal"/>
      <w:lvlText w:val="%4."/>
      <w:lvlJc w:val="left"/>
      <w:pPr>
        <w:tabs>
          <w:tab w:val="num" w:pos="2760"/>
        </w:tabs>
        <w:ind w:hanging="360"/>
      </w:pPr>
    </w:lvl>
    <w:lvl w:ilvl="4">
      <w:start w:val="1"/>
      <w:numFmt w:val="lowerLetter"/>
      <w:lvlText w:val="%5."/>
      <w:lvlJc w:val="left"/>
      <w:pPr>
        <w:tabs>
          <w:tab w:val="num" w:pos="3480"/>
        </w:tabs>
        <w:ind w:hanging="360"/>
      </w:pPr>
    </w:lvl>
    <w:lvl w:ilvl="5">
      <w:start w:val="1"/>
      <w:numFmt w:val="lowerRoman"/>
      <w:lvlText w:val="%6."/>
      <w:lvlJc w:val="right"/>
      <w:pPr>
        <w:tabs>
          <w:tab w:val="num" w:pos="4200"/>
        </w:tabs>
        <w:ind w:hanging="180"/>
      </w:pPr>
    </w:lvl>
    <w:lvl w:ilvl="6">
      <w:start w:val="1"/>
      <w:numFmt w:val="decimal"/>
      <w:lvlText w:val="%7."/>
      <w:lvlJc w:val="left"/>
      <w:pPr>
        <w:tabs>
          <w:tab w:val="num" w:pos="4920"/>
        </w:tabs>
        <w:ind w:hanging="360"/>
      </w:pPr>
    </w:lvl>
    <w:lvl w:ilvl="7">
      <w:start w:val="1"/>
      <w:numFmt w:val="lowerLetter"/>
      <w:lvlText w:val="%8."/>
      <w:lvlJc w:val="left"/>
      <w:pPr>
        <w:tabs>
          <w:tab w:val="num" w:pos="5640"/>
        </w:tabs>
        <w:ind w:hanging="360"/>
      </w:pPr>
    </w:lvl>
    <w:lvl w:ilvl="8">
      <w:start w:val="1"/>
      <w:numFmt w:val="lowerRoman"/>
      <w:lvlText w:val="%9."/>
      <w:lvlJc w:val="right"/>
      <w:pPr>
        <w:tabs>
          <w:tab w:val="num" w:pos="6360"/>
        </w:tabs>
        <w:ind w:hanging="180"/>
      </w:pPr>
    </w:lvl>
  </w:abstractNum>
  <w:abstractNum w:abstractNumId="1">
    <w:nsid w:val="3C110793"/>
    <w:multiLevelType w:val="hybridMultilevel"/>
    <w:tmpl w:val="1904041C"/>
    <w:lvl w:ilvl="0">
      <w:start w:val="2"/>
      <w:numFmt w:val="bullet"/>
      <w:lvlText w:val="-"/>
      <w:lvlJc w:val="left"/>
      <w:pPr>
        <w:tabs>
          <w:tab w:val="num" w:pos="960"/>
        </w:tabs>
        <w:ind w:hanging="360"/>
      </w:pPr>
      <w:rPr>
        <w:rFonts w:ascii="Times New Roman" w:eastAsia="Times New Roman" w:hAnsi="Times New Roman" w:hint="default"/>
      </w:rPr>
    </w:lvl>
    <w:lvl w:ilvl="1">
      <w:start w:val="1"/>
      <w:numFmt w:val="bullet"/>
      <w:lvlText w:val="o"/>
      <w:lvlJc w:val="left"/>
      <w:pPr>
        <w:tabs>
          <w:tab w:val="num" w:pos="1680"/>
        </w:tabs>
        <w:ind w:hanging="360"/>
      </w:pPr>
      <w:rPr>
        <w:rFonts w:ascii="Courier New" w:hAnsi="Courier New" w:hint="default"/>
      </w:rPr>
    </w:lvl>
    <w:lvl w:ilvl="2">
      <w:start w:val="1"/>
      <w:numFmt w:val="bullet"/>
      <w:lvlText w:val=""/>
      <w:lvlJc w:val="left"/>
      <w:pPr>
        <w:tabs>
          <w:tab w:val="num" w:pos="2400"/>
        </w:tabs>
        <w:ind w:hanging="360"/>
      </w:pPr>
      <w:rPr>
        <w:rFonts w:ascii="Wingdings" w:hAnsi="Wingdings" w:hint="default"/>
      </w:rPr>
    </w:lvl>
    <w:lvl w:ilvl="3">
      <w:start w:val="1"/>
      <w:numFmt w:val="bullet"/>
      <w:lvlText w:val=""/>
      <w:lvlJc w:val="left"/>
      <w:pPr>
        <w:tabs>
          <w:tab w:val="num" w:pos="3120"/>
        </w:tabs>
        <w:ind w:hanging="360"/>
      </w:pPr>
      <w:rPr>
        <w:rFonts w:ascii="Symbol" w:hAnsi="Symbol" w:hint="default"/>
      </w:rPr>
    </w:lvl>
    <w:lvl w:ilvl="4">
      <w:start w:val="1"/>
      <w:numFmt w:val="bullet"/>
      <w:lvlText w:val="o"/>
      <w:lvlJc w:val="left"/>
      <w:pPr>
        <w:tabs>
          <w:tab w:val="num" w:pos="3840"/>
        </w:tabs>
        <w:ind w:hanging="360"/>
      </w:pPr>
      <w:rPr>
        <w:rFonts w:ascii="Courier New" w:hAnsi="Courier New" w:hint="default"/>
      </w:rPr>
    </w:lvl>
    <w:lvl w:ilvl="5">
      <w:start w:val="1"/>
      <w:numFmt w:val="bullet"/>
      <w:lvlText w:val=""/>
      <w:lvlJc w:val="left"/>
      <w:pPr>
        <w:tabs>
          <w:tab w:val="num" w:pos="4560"/>
        </w:tabs>
        <w:ind w:hanging="360"/>
      </w:pPr>
      <w:rPr>
        <w:rFonts w:ascii="Wingdings" w:hAnsi="Wingdings" w:hint="default"/>
      </w:rPr>
    </w:lvl>
    <w:lvl w:ilvl="6">
      <w:start w:val="1"/>
      <w:numFmt w:val="bullet"/>
      <w:lvlText w:val=""/>
      <w:lvlJc w:val="left"/>
      <w:pPr>
        <w:tabs>
          <w:tab w:val="num" w:pos="5280"/>
        </w:tabs>
        <w:ind w:hanging="360"/>
      </w:pPr>
      <w:rPr>
        <w:rFonts w:ascii="Symbol" w:hAnsi="Symbol" w:hint="default"/>
      </w:rPr>
    </w:lvl>
    <w:lvl w:ilvl="7">
      <w:start w:val="1"/>
      <w:numFmt w:val="bullet"/>
      <w:lvlText w:val="o"/>
      <w:lvlJc w:val="left"/>
      <w:pPr>
        <w:tabs>
          <w:tab w:val="num" w:pos="6000"/>
        </w:tabs>
        <w:ind w:hanging="360"/>
      </w:pPr>
      <w:rPr>
        <w:rFonts w:ascii="Courier New" w:hAnsi="Courier New" w:hint="default"/>
      </w:rPr>
    </w:lvl>
    <w:lvl w:ilvl="8">
      <w:start w:val="1"/>
      <w:numFmt w:val="bullet"/>
      <w:lvlText w:val=""/>
      <w:lvlJc w:val="left"/>
      <w:pPr>
        <w:tabs>
          <w:tab w:val="num" w:pos="6720"/>
        </w:tabs>
        <w:ind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oNotHyphenateCaps/>
  <w:characterSpacingControl w:val="doNotCompress"/>
  <w:compat>
    <w:doNotBreakWrappedTables/>
    <w:doNotSnapToGridInCell/>
    <w:selectFldWithFirstOrLastChar/>
    <w:doNotWrapTextWithPunct/>
    <w:doNotUseEastAsianBreakRules/>
    <w:useWord2002TableStyleRules/>
    <w:growAutofit/>
    <w:useFELayout/>
    <w:doNotUseIndentAsNumberingTabStop/>
    <w:allowSpaceOfSameStyleInTable/>
    <w:splitPgBreakAndParaMark/>
    <w:useAnsiKerningPairs/>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Asci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pPr>
      <w:widowControl/>
      <w:autoSpaceDE/>
      <w:autoSpaceDN/>
      <w:adjustRightInd/>
      <w:ind w:left="0" w:right="0"/>
      <w:jc w:val="left"/>
      <w:textAlignment w:val="auto"/>
    </w:pPr>
    <w:rPr>
      <w:sz w:val="24"/>
      <w:lang w:val="sk-SK" w:eastAsia="sk-SK"/>
    </w:rPr>
  </w:style>
  <w:style w:type="paragraph" w:styleId="Heading1">
    <w:name w:val="heading 1"/>
    <w:basedOn w:val="Normal"/>
    <w:next w:val="Normal"/>
    <w:uiPriority w:val="99"/>
    <w:pPr>
      <w:keepNext/>
      <w:widowControl w:val="0"/>
      <w:adjustRightInd w:val="0"/>
      <w:spacing w:before="240" w:after="60"/>
      <w:jc w:val="left"/>
      <w:outlineLvl w:val="0"/>
    </w:pPr>
    <w:rPr>
      <w:rFonts w:ascii="Arial" w:hAnsi="Arial" w:cs="Arial"/>
      <w:b/>
      <w:kern w:val="32"/>
      <w:sz w:val="32"/>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styleId="PlaceholderText">
    <w:name w:val="Placeholder Text"/>
    <w:basedOn w:val="DefaultParagraphFont"/>
    <w:uiPriority w:val="99"/>
    <w:rPr>
      <w:rFonts w:ascii="Times New Roman" w:hAnsi="Times New Roman" w:cs="Times New Roman"/>
      <w:color w:val="808080"/>
    </w:rPr>
  </w:style>
  <w:style w:type="paragraph" w:styleId="BodyText2">
    <w:name w:val="Body Text 2"/>
    <w:basedOn w:val="Normal"/>
    <w:uiPriority w:val="99"/>
    <w:pPr>
      <w:widowControl w:val="0"/>
      <w:adjustRightInd w:val="0"/>
      <w:ind w:left="600"/>
      <w:jc w:val="left"/>
    </w:pPr>
    <w:rPr>
      <w:rFonts w:ascii="Calibri" w:hAnsi="Calibri" w:cs="Calibri"/>
      <w:lang w:eastAsia="en-US"/>
    </w:rPr>
  </w:style>
  <w:style w:type="paragraph" w:styleId="Footer">
    <w:name w:val="footer"/>
    <w:basedOn w:val="Normal"/>
    <w:uiPriority w:val="99"/>
    <w:pPr>
      <w:tabs>
        <w:tab w:val="center" w:pos="4536"/>
        <w:tab w:val="right" w:pos="9072"/>
      </w:tabs>
      <w:jc w:val="left"/>
    </w:pPr>
  </w:style>
  <w:style w:type="character" w:styleId="PageNumber">
    <w:name w:val="page number"/>
    <w:basedOn w:val="DefaultParagraphFont"/>
    <w:uiPriority w:val="99"/>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8</Pages>
  <Words>1849</Words>
  <Characters>10540</Characters>
  <Application>Microsoft Office Word</Application>
  <DocSecurity>0</DocSecurity>
  <Lines>0</Lines>
  <Paragraphs>0</Paragraphs>
  <ScaleCrop>false</ScaleCrop>
  <Company>MZV SR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user</dc:creator>
  <cp:lastModifiedBy>user</cp:lastModifiedBy>
  <cp:revision>2</cp:revision>
  <dcterms:created xsi:type="dcterms:W3CDTF">2010-09-21T09:16:00Z</dcterms:created>
  <dcterms:modified xsi:type="dcterms:W3CDTF">2010-09-21T09:16:00Z</dcterms:modified>
</cp:coreProperties>
</file>