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76EC5" w:rsidRPr="00F13D33" w:rsidP="00F76EC5">
      <w:pPr>
        <w:bidi w:val="0"/>
        <w:jc w:val="center"/>
        <w:rPr>
          <w:rFonts w:ascii="Times New Roman" w:hAnsi="Times New Roman"/>
          <w:b/>
          <w:lang w:val="en-GB"/>
        </w:rPr>
      </w:pPr>
    </w:p>
    <w:p w:rsidR="00F76EC5" w:rsidP="00F76EC5">
      <w:pPr>
        <w:bidi w:val="0"/>
        <w:jc w:val="center"/>
        <w:rPr>
          <w:rFonts w:ascii="Times New Roman" w:hAnsi="Times New Roman"/>
          <w:lang w:val="en-GB"/>
        </w:rPr>
      </w:pPr>
    </w:p>
    <w:p w:rsidR="00F76EC5" w:rsidP="00F76EC5">
      <w:pPr>
        <w:bidi w:val="0"/>
        <w:jc w:val="center"/>
        <w:rPr>
          <w:rFonts w:ascii="Times New Roman" w:hAnsi="Times New Roman"/>
          <w:lang w:val="en-GB"/>
        </w:rPr>
      </w:pPr>
    </w:p>
    <w:p w:rsidR="00F76EC5" w:rsidP="00F76EC5">
      <w:pPr>
        <w:bidi w:val="0"/>
        <w:jc w:val="center"/>
        <w:rPr>
          <w:rFonts w:ascii="Times New Roman" w:hAnsi="Times New Roman"/>
          <w:lang w:val="en-GB"/>
        </w:rPr>
      </w:pPr>
    </w:p>
    <w:p w:rsidR="00F76EC5" w:rsidP="00F76EC5">
      <w:pPr>
        <w:bidi w:val="0"/>
        <w:jc w:val="center"/>
        <w:rPr>
          <w:rFonts w:ascii="Times New Roman" w:hAnsi="Times New Roman"/>
          <w:lang w:val="en-GB"/>
        </w:rPr>
      </w:pPr>
    </w:p>
    <w:p w:rsidR="00F76EC5" w:rsidP="00F76EC5">
      <w:pPr>
        <w:bidi w:val="0"/>
        <w:jc w:val="center"/>
        <w:rPr>
          <w:rFonts w:ascii="Times New Roman" w:hAnsi="Times New Roman"/>
          <w:lang w:val="en-GB"/>
        </w:rPr>
      </w:pPr>
    </w:p>
    <w:p w:rsidR="00F76EC5" w:rsidP="00F76EC5">
      <w:pPr>
        <w:bidi w:val="0"/>
        <w:jc w:val="center"/>
        <w:rPr>
          <w:rFonts w:ascii="Times New Roman" w:hAnsi="Times New Roman"/>
          <w:lang w:val="en-GB"/>
        </w:rPr>
      </w:pPr>
    </w:p>
    <w:p w:rsidR="00F76EC5" w:rsidP="00F76EC5">
      <w:pPr>
        <w:bidi w:val="0"/>
        <w:jc w:val="center"/>
        <w:rPr>
          <w:rFonts w:ascii="Times New Roman" w:hAnsi="Times New Roman"/>
          <w:lang w:val="en-GB"/>
        </w:rPr>
      </w:pPr>
    </w:p>
    <w:p w:rsidR="00F76EC5" w:rsidP="00F76EC5">
      <w:pPr>
        <w:bidi w:val="0"/>
        <w:jc w:val="center"/>
        <w:rPr>
          <w:rFonts w:ascii="Times New Roman" w:hAnsi="Times New Roman"/>
          <w:lang w:val="en-GB"/>
        </w:rPr>
      </w:pPr>
    </w:p>
    <w:p w:rsidR="00F76EC5" w:rsidP="00F76EC5">
      <w:pPr>
        <w:bidi w:val="0"/>
        <w:jc w:val="center"/>
        <w:rPr>
          <w:rFonts w:ascii="Times New Roman" w:hAnsi="Times New Roman"/>
          <w:lang w:val="en-GB"/>
        </w:rPr>
      </w:pPr>
    </w:p>
    <w:p w:rsidR="002A4AD6" w:rsidP="00F76EC5">
      <w:pPr>
        <w:bidi w:val="0"/>
        <w:jc w:val="center"/>
        <w:rPr>
          <w:rFonts w:ascii="Times New Roman" w:hAnsi="Times New Roman"/>
          <w:lang w:val="en-GB"/>
        </w:rPr>
      </w:pPr>
    </w:p>
    <w:p w:rsidR="002A4AD6" w:rsidP="00F76EC5">
      <w:pPr>
        <w:bidi w:val="0"/>
        <w:jc w:val="center"/>
        <w:rPr>
          <w:rFonts w:ascii="Times New Roman" w:hAnsi="Times New Roman"/>
          <w:lang w:val="en-GB"/>
        </w:rPr>
      </w:pPr>
    </w:p>
    <w:p w:rsidR="00F76EC5" w:rsidP="00F76EC5">
      <w:pPr>
        <w:bidi w:val="0"/>
        <w:jc w:val="center"/>
        <w:rPr>
          <w:rFonts w:ascii="Times New Roman" w:hAnsi="Times New Roman"/>
          <w:lang w:val="en-GB"/>
        </w:rPr>
      </w:pPr>
    </w:p>
    <w:p w:rsidR="00F76EC5" w:rsidP="00F76EC5">
      <w:pPr>
        <w:bidi w:val="0"/>
        <w:jc w:val="center"/>
        <w:rPr>
          <w:rFonts w:ascii="Times New Roman" w:hAnsi="Times New Roman"/>
          <w:lang w:val="en-GB"/>
        </w:rPr>
      </w:pPr>
    </w:p>
    <w:p w:rsidR="00006C0E" w:rsidRPr="001F70E7" w:rsidP="00006C0E">
      <w:pPr>
        <w:bidi w:val="0"/>
        <w:spacing w:before="120" w:after="120"/>
        <w:jc w:val="center"/>
        <w:rPr>
          <w:rFonts w:ascii="Times New Roman" w:hAnsi="Times New Roman"/>
        </w:rPr>
      </w:pPr>
      <w:r w:rsidRPr="001F70E7">
        <w:rPr>
          <w:rFonts w:ascii="Times New Roman" w:hAnsi="Times New Roman"/>
        </w:rPr>
        <w:t>PROTOKOL,</w:t>
      </w:r>
      <w:r>
        <w:rPr>
          <w:rFonts w:ascii="Times New Roman" w:hAnsi="Times New Roman"/>
        </w:rPr>
        <w:br/>
      </w:r>
      <w:r w:rsidRPr="001F70E7">
        <w:rPr>
          <w:rFonts w:ascii="Times New Roman" w:hAnsi="Times New Roman"/>
        </w:rPr>
        <w:t>KTORÝM SA MENÍ A DOPĹŇA PROTOKOL O PRECHODNÝCH USTANOVENIACH,</w:t>
      </w:r>
      <w:r>
        <w:rPr>
          <w:rFonts w:ascii="Times New Roman" w:hAnsi="Times New Roman"/>
        </w:rPr>
        <w:br/>
      </w:r>
      <w:r w:rsidRPr="001F70E7">
        <w:rPr>
          <w:rFonts w:ascii="Times New Roman" w:hAnsi="Times New Roman"/>
        </w:rPr>
        <w:t>KTORÝ JE PRIPOJENÝ K ZMLUVE O EURÓPSKEJ ÚNII,</w:t>
      </w:r>
      <w:r>
        <w:rPr>
          <w:rFonts w:ascii="Times New Roman" w:hAnsi="Times New Roman"/>
        </w:rPr>
        <w:br/>
      </w:r>
      <w:r w:rsidRPr="001F70E7">
        <w:rPr>
          <w:rFonts w:ascii="Times New Roman" w:hAnsi="Times New Roman"/>
        </w:rPr>
        <w:t>K ZMLUVE O FUNGOVANÍ EURÓPSKEJ ÚNIE</w:t>
      </w:r>
      <w:r>
        <w:rPr>
          <w:rFonts w:ascii="Times New Roman" w:hAnsi="Times New Roman"/>
        </w:rPr>
        <w:br/>
      </w:r>
      <w:r w:rsidRPr="001F70E7">
        <w:rPr>
          <w:rFonts w:ascii="Times New Roman" w:hAnsi="Times New Roman"/>
        </w:rPr>
        <w:t>A K ZMLUVE O ZALOŽENÍ</w:t>
      </w:r>
      <w:r>
        <w:rPr>
          <w:rFonts w:ascii="Times New Roman" w:hAnsi="Times New Roman"/>
        </w:rPr>
        <w:br/>
      </w:r>
      <w:r w:rsidRPr="001F70E7">
        <w:rPr>
          <w:rFonts w:ascii="Times New Roman" w:hAnsi="Times New Roman"/>
        </w:rPr>
        <w:t>EURÓPSKEHO SPOLOČENSTVA PRE ATÓMOVÚ ENERGIU</w:t>
      </w:r>
    </w:p>
    <w:p w:rsidR="00006C0E" w:rsidRPr="001F70E7" w:rsidP="00006C0E">
      <w:pPr>
        <w:bidi w:val="0"/>
        <w:spacing w:before="120" w:after="120"/>
        <w:outlineLvl w:val="0"/>
        <w:rPr>
          <w:rFonts w:ascii="Times New Roman" w:hAnsi="Times New Roman"/>
          <w:caps/>
        </w:rPr>
      </w:pPr>
      <w:r w:rsidRPr="001F70E7">
        <w:rPr>
          <w:rFonts w:ascii="Times New Roman" w:hAnsi="Times New Roman"/>
        </w:rPr>
        <w:br w:type="page"/>
      </w:r>
      <w:r w:rsidRPr="001F70E7">
        <w:rPr>
          <w:rFonts w:ascii="Times New Roman" w:hAnsi="Times New Roman"/>
          <w:caps/>
        </w:rPr>
        <w:t>BELGICKÉ KRÁĽOVSTVO,</w:t>
      </w:r>
    </w:p>
    <w:p w:rsidR="00006C0E" w:rsidRPr="001F70E7" w:rsidP="00006C0E">
      <w:pPr>
        <w:bidi w:val="0"/>
        <w:spacing w:before="120" w:after="120"/>
        <w:outlineLvl w:val="0"/>
        <w:rPr>
          <w:rFonts w:ascii="Times New Roman" w:hAnsi="Times New Roman"/>
          <w:caps/>
        </w:rPr>
      </w:pPr>
      <w:r w:rsidRPr="001F70E7">
        <w:rPr>
          <w:rFonts w:ascii="Times New Roman" w:hAnsi="Times New Roman"/>
          <w:caps/>
        </w:rPr>
        <w:t>BULHARSKÁ REPUBLIKA,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  <w:caps/>
        </w:rPr>
      </w:pPr>
      <w:r w:rsidRPr="001F70E7">
        <w:rPr>
          <w:rFonts w:ascii="Times New Roman" w:hAnsi="Times New Roman"/>
          <w:caps/>
        </w:rPr>
        <w:t>ČESKÁ REPUBLIKA,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  <w:caps/>
        </w:rPr>
      </w:pPr>
      <w:r w:rsidRPr="001F70E7">
        <w:rPr>
          <w:rFonts w:ascii="Times New Roman" w:hAnsi="Times New Roman"/>
          <w:caps/>
        </w:rPr>
        <w:t>DÁNSKE KRÁĽOVSTVO,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  <w:caps/>
        </w:rPr>
      </w:pPr>
      <w:r w:rsidRPr="001F70E7">
        <w:rPr>
          <w:rFonts w:ascii="Times New Roman" w:hAnsi="Times New Roman"/>
          <w:caps/>
        </w:rPr>
        <w:t>SPOLKOVÁ REPUBLIKA NEMECKO,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  <w:caps/>
        </w:rPr>
      </w:pPr>
      <w:r w:rsidRPr="001F70E7">
        <w:rPr>
          <w:rFonts w:ascii="Times New Roman" w:hAnsi="Times New Roman"/>
          <w:caps/>
        </w:rPr>
        <w:t>ESTÓNSKA REPUBLIKA,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  <w:caps/>
        </w:rPr>
      </w:pPr>
      <w:r w:rsidRPr="001F70E7">
        <w:rPr>
          <w:rFonts w:ascii="Times New Roman" w:hAnsi="Times New Roman"/>
          <w:caps/>
        </w:rPr>
        <w:t>ÍRSKO,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  <w:caps/>
        </w:rPr>
      </w:pPr>
      <w:r w:rsidRPr="001F70E7">
        <w:rPr>
          <w:rFonts w:ascii="Times New Roman" w:hAnsi="Times New Roman"/>
          <w:caps/>
        </w:rPr>
        <w:t>HELÉNSKA REPUBLIKA,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  <w:caps/>
        </w:rPr>
      </w:pPr>
      <w:r w:rsidRPr="001F70E7">
        <w:rPr>
          <w:rFonts w:ascii="Times New Roman" w:hAnsi="Times New Roman"/>
          <w:caps/>
        </w:rPr>
        <w:t>ŠPANIELSKE KRÁĽOVSTVO,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  <w:caps/>
        </w:rPr>
      </w:pPr>
      <w:r w:rsidRPr="001F70E7">
        <w:rPr>
          <w:rFonts w:ascii="Times New Roman" w:hAnsi="Times New Roman"/>
          <w:caps/>
        </w:rPr>
        <w:t>FRANCÚZSKA REPUBLIKA,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  <w:caps/>
        </w:rPr>
      </w:pPr>
      <w:r w:rsidRPr="001F70E7">
        <w:rPr>
          <w:rFonts w:ascii="Times New Roman" w:hAnsi="Times New Roman"/>
          <w:caps/>
        </w:rPr>
        <w:t>TALIANSKA REPUBLIKA,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  <w:caps/>
        </w:rPr>
      </w:pPr>
      <w:r w:rsidRPr="001F70E7">
        <w:rPr>
          <w:rFonts w:ascii="Times New Roman" w:hAnsi="Times New Roman"/>
          <w:caps/>
        </w:rPr>
        <w:t>CYPERSKÁ REPUBLIKA,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  <w:caps/>
        </w:rPr>
      </w:pPr>
      <w:r w:rsidRPr="001F70E7">
        <w:rPr>
          <w:rFonts w:ascii="Times New Roman" w:hAnsi="Times New Roman"/>
          <w:caps/>
        </w:rPr>
        <w:t>LOTYŠSKÁ REPUBLIKA,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  <w:caps/>
        </w:rPr>
      </w:pPr>
      <w:r w:rsidRPr="001F70E7">
        <w:rPr>
          <w:rFonts w:ascii="Times New Roman" w:hAnsi="Times New Roman"/>
          <w:caps/>
        </w:rPr>
        <w:t>LITOVSKÁ REPUBLIKA,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  <w:caps/>
        </w:rPr>
      </w:pPr>
      <w:r w:rsidRPr="001F70E7">
        <w:rPr>
          <w:rFonts w:ascii="Times New Roman" w:hAnsi="Times New Roman"/>
          <w:caps/>
        </w:rPr>
        <w:t>LUXEMBURSKÉ VEĽKOVOJVODSTVO,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  <w:caps/>
        </w:rPr>
      </w:pPr>
      <w:r w:rsidRPr="001F70E7">
        <w:rPr>
          <w:rFonts w:ascii="Times New Roman" w:hAnsi="Times New Roman"/>
          <w:caps/>
        </w:rPr>
        <w:t>MAĎARSKÁ REPUBLIKA,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  <w:caps/>
        </w:rPr>
      </w:pPr>
      <w:r w:rsidRPr="001F70E7">
        <w:rPr>
          <w:rFonts w:ascii="Times New Roman" w:hAnsi="Times New Roman"/>
          <w:caps/>
        </w:rPr>
        <w:br w:type="page"/>
        <w:t>MALTA,</w:t>
      </w:r>
    </w:p>
    <w:p w:rsidR="00006C0E" w:rsidRPr="001F70E7" w:rsidP="00006C0E">
      <w:pPr>
        <w:bidi w:val="0"/>
        <w:spacing w:before="120" w:after="120"/>
        <w:outlineLvl w:val="0"/>
        <w:rPr>
          <w:rFonts w:ascii="Times New Roman" w:hAnsi="Times New Roman"/>
          <w:caps/>
        </w:rPr>
      </w:pPr>
      <w:r w:rsidRPr="001F70E7">
        <w:rPr>
          <w:rFonts w:ascii="Times New Roman" w:hAnsi="Times New Roman"/>
          <w:caps/>
        </w:rPr>
        <w:t>HOLANDSKÉ KRÁĽOVSTVO,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  <w:caps/>
        </w:rPr>
      </w:pPr>
      <w:r w:rsidRPr="001F70E7">
        <w:rPr>
          <w:rFonts w:ascii="Times New Roman" w:hAnsi="Times New Roman"/>
          <w:caps/>
        </w:rPr>
        <w:t>RAKÚSKA REPUBLIKA,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  <w:caps/>
        </w:rPr>
      </w:pPr>
      <w:r w:rsidRPr="001F70E7">
        <w:rPr>
          <w:rFonts w:ascii="Times New Roman" w:hAnsi="Times New Roman"/>
          <w:caps/>
        </w:rPr>
        <w:t>POĽSKÁ REPUBLIKA,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  <w:caps/>
        </w:rPr>
      </w:pPr>
      <w:r w:rsidRPr="001F70E7">
        <w:rPr>
          <w:rFonts w:ascii="Times New Roman" w:hAnsi="Times New Roman"/>
          <w:caps/>
        </w:rPr>
        <w:t>PORTUGALSKÁ REPUBLIKA,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  <w:caps/>
        </w:rPr>
      </w:pPr>
      <w:r w:rsidRPr="001F70E7">
        <w:rPr>
          <w:rFonts w:ascii="Times New Roman" w:hAnsi="Times New Roman"/>
          <w:caps/>
        </w:rPr>
        <w:t>RUMUNSKO,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  <w:caps/>
        </w:rPr>
      </w:pPr>
      <w:r w:rsidRPr="001F70E7">
        <w:rPr>
          <w:rFonts w:ascii="Times New Roman" w:hAnsi="Times New Roman"/>
          <w:caps/>
        </w:rPr>
        <w:t>SLOVINSKÁ REPUBLIKA,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  <w:caps/>
        </w:rPr>
      </w:pPr>
      <w:r w:rsidRPr="001F70E7">
        <w:rPr>
          <w:rFonts w:ascii="Times New Roman" w:hAnsi="Times New Roman"/>
          <w:caps/>
        </w:rPr>
        <w:t>SLOVENSKÁ REPUBLIKA,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  <w:caps/>
        </w:rPr>
      </w:pPr>
      <w:r w:rsidRPr="001F70E7">
        <w:rPr>
          <w:rFonts w:ascii="Times New Roman" w:hAnsi="Times New Roman"/>
          <w:caps/>
        </w:rPr>
        <w:t>FÍNSKA REPUBLIKA,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  <w:caps/>
        </w:rPr>
      </w:pPr>
      <w:r w:rsidRPr="001F70E7">
        <w:rPr>
          <w:rFonts w:ascii="Times New Roman" w:hAnsi="Times New Roman"/>
          <w:caps/>
        </w:rPr>
        <w:t>ŠVÉDSKE KRÁĽOVSTVO,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  <w:caps/>
        </w:rPr>
      </w:pPr>
      <w:r w:rsidRPr="001F70E7">
        <w:rPr>
          <w:rFonts w:ascii="Times New Roman" w:hAnsi="Times New Roman"/>
          <w:caps/>
        </w:rPr>
        <w:t>SPOJENÉ KRÁĽOVSTVO VEĽKEJ BRITÁNIE A SEVERNÉHO ÍRSKA,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</w:rPr>
      </w:pPr>
      <w:r w:rsidRPr="001F70E7">
        <w:rPr>
          <w:rFonts w:ascii="Times New Roman" w:hAnsi="Times New Roman"/>
        </w:rPr>
        <w:t>ďalej len „VYSOKÉ ZMLUVNÉ STRANY“,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</w:rPr>
      </w:pPr>
      <w:r w:rsidRPr="001F70E7">
        <w:rPr>
          <w:rFonts w:ascii="Times New Roman" w:hAnsi="Times New Roman"/>
        </w:rPr>
        <w:br w:type="page"/>
        <w:t xml:space="preserve">KEĎŽE vzhľadom na skutočnosť, že Lisabonská zmluva nadobudla platnosť až po voľbách do Európskeho parlamentu 4. až 7. júna 2009, a ako sa ustanovuje vo vyhlásení prijatom </w:t>
      </w:r>
      <w:r>
        <w:rPr>
          <w:rFonts w:ascii="Times New Roman" w:hAnsi="Times New Roman"/>
        </w:rPr>
        <w:t xml:space="preserve">Európskou radou </w:t>
      </w:r>
      <w:r w:rsidRPr="001F70E7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 xml:space="preserve">jej </w:t>
      </w:r>
      <w:r w:rsidRPr="001F70E7">
        <w:rPr>
          <w:rFonts w:ascii="Times New Roman" w:hAnsi="Times New Roman"/>
        </w:rPr>
        <w:t xml:space="preserve">zasadnutí 11. a 12. decembra 2008 a v politickej dohode, ktorá sa dosiahla </w:t>
      </w:r>
      <w:r>
        <w:rPr>
          <w:rFonts w:ascii="Times New Roman" w:hAnsi="Times New Roman"/>
        </w:rPr>
        <w:t xml:space="preserve">Európskou radou </w:t>
      </w:r>
      <w:r w:rsidRPr="001F70E7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 xml:space="preserve">jej </w:t>
      </w:r>
      <w:r w:rsidRPr="001F70E7">
        <w:rPr>
          <w:rFonts w:ascii="Times New Roman" w:hAnsi="Times New Roman"/>
        </w:rPr>
        <w:t>zasadnutí 18. a 19. júna 2009, je potrebné ustanoviť prechodné opatrenia týkajúce sa zloženia Európskeho parlamentu až do konca volebného obdobia 2009 – 2014,</w:t>
      </w:r>
    </w:p>
    <w:p w:rsidR="00006C0E" w:rsidP="00006C0E">
      <w:pPr>
        <w:bidi w:val="0"/>
        <w:spacing w:before="120" w:after="120"/>
        <w:rPr>
          <w:rFonts w:ascii="Times New Roman" w:hAnsi="Times New Roman"/>
        </w:rPr>
      </w:pPr>
      <w:r w:rsidRPr="001F70E7">
        <w:rPr>
          <w:rFonts w:ascii="Times New Roman" w:hAnsi="Times New Roman"/>
        </w:rPr>
        <w:t xml:space="preserve">KEĎŽE </w:t>
      </w:r>
      <w:r>
        <w:rPr>
          <w:rFonts w:ascii="Times New Roman" w:hAnsi="Times New Roman"/>
        </w:rPr>
        <w:t xml:space="preserve">takéto prechodné ustanovenia majú umožniť tým </w:t>
      </w:r>
      <w:r w:rsidRPr="001F70E7">
        <w:rPr>
          <w:rFonts w:ascii="Times New Roman" w:hAnsi="Times New Roman"/>
        </w:rPr>
        <w:t>členským štátom, ktorých počet poslancov by bol vyšší v prípade, ak by bola Lisabonská zmluva v platnosti počas volieb do Európskeho parlamentu v júni 2009, aby disponovali takýmto počtom dodatočných kresiel a obsadili ich,</w:t>
      </w:r>
    </w:p>
    <w:p w:rsidR="00006C0E" w:rsidP="00006C0E">
      <w:pPr>
        <w:bidi w:val="0"/>
        <w:spacing w:before="120" w:after="120"/>
        <w:rPr>
          <w:rFonts w:ascii="Times New Roman" w:hAnsi="Times New Roman"/>
        </w:rPr>
      </w:pPr>
      <w:r w:rsidRPr="001F70E7">
        <w:rPr>
          <w:rFonts w:ascii="Times New Roman" w:hAnsi="Times New Roman"/>
        </w:rPr>
        <w:t>BERÚC DO ÚVAHY počet kresiel pripadajúcich každému členskému štátu, ktorý sa ustanovuje v návrhu rozhodnutia Európskej rady, ktorý politicky odsúhlasil Európsky parlament 11. októbra 2007 a Európska rada (vyhlásenie č. 5 pripojené k záverečnému aktu medzivládnej konferencie, ktorá prijala Lisabonskú zmluvu) a </w:t>
      </w:r>
      <w:r>
        <w:rPr>
          <w:rFonts w:ascii="Times New Roman" w:hAnsi="Times New Roman"/>
        </w:rPr>
        <w:t xml:space="preserve">berúc do úvahy </w:t>
      </w:r>
      <w:r w:rsidRPr="001F70E7">
        <w:rPr>
          <w:rFonts w:ascii="Times New Roman" w:hAnsi="Times New Roman"/>
        </w:rPr>
        <w:t>vyhláseni</w:t>
      </w:r>
      <w:r>
        <w:rPr>
          <w:rFonts w:ascii="Times New Roman" w:hAnsi="Times New Roman"/>
        </w:rPr>
        <w:t>e</w:t>
      </w:r>
      <w:r w:rsidRPr="001F70E7">
        <w:rPr>
          <w:rFonts w:ascii="Times New Roman" w:hAnsi="Times New Roman"/>
        </w:rPr>
        <w:t xml:space="preserve"> č. 4 pripojené k záverečnému aktu medzivládnej konferencie, ktorá prijala Lisabonskú zmluvu,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</w:rPr>
      </w:pPr>
      <w:r w:rsidRPr="001F70E7">
        <w:rPr>
          <w:rFonts w:ascii="Times New Roman" w:hAnsi="Times New Roman"/>
        </w:rPr>
        <w:t xml:space="preserve">KEĎŽE </w:t>
      </w:r>
      <w:r>
        <w:rPr>
          <w:rFonts w:ascii="Times New Roman" w:hAnsi="Times New Roman"/>
        </w:rPr>
        <w:t xml:space="preserve">je potrebné </w:t>
      </w:r>
      <w:r w:rsidRPr="001F70E7">
        <w:rPr>
          <w:rFonts w:ascii="Times New Roman" w:hAnsi="Times New Roman"/>
        </w:rPr>
        <w:t xml:space="preserve">na obdobie medzi dátumom nadobudnutia platnosti tohto protokolu a koncom volebného obdobia 2009 – 2014 vytvoriť 18 dodatočných kresiel ustanovených pre dotknuté členské štáty v politickej dohode, ktorá sa dosiahla </w:t>
      </w:r>
      <w:r>
        <w:rPr>
          <w:rFonts w:ascii="Times New Roman" w:hAnsi="Times New Roman"/>
        </w:rPr>
        <w:t xml:space="preserve">Európskou radou </w:t>
      </w:r>
      <w:r w:rsidRPr="001F70E7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 xml:space="preserve">jej </w:t>
      </w:r>
      <w:r w:rsidRPr="001F70E7">
        <w:rPr>
          <w:rFonts w:ascii="Times New Roman" w:hAnsi="Times New Roman"/>
        </w:rPr>
        <w:t>zasadnutí 18. a 19. júna 2009,</w:t>
      </w:r>
    </w:p>
    <w:p w:rsidR="00006C0E" w:rsidP="00006C0E">
      <w:pPr>
        <w:bidi w:val="0"/>
        <w:spacing w:before="120" w:after="120"/>
        <w:rPr>
          <w:rFonts w:ascii="Times New Roman" w:hAnsi="Times New Roman"/>
        </w:rPr>
      </w:pPr>
    </w:p>
    <w:p w:rsidR="00006C0E" w:rsidP="00006C0E">
      <w:pPr>
        <w:bidi w:val="0"/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1F70E7">
        <w:rPr>
          <w:rFonts w:ascii="Times New Roman" w:hAnsi="Times New Roman"/>
        </w:rPr>
        <w:t>KEĎŽE je na tento účel potrebné umožniť dočasné prekročenie počtu poslancov za členský štát a maximálneho počtu poslancov ustanoveného v zmluvách, ktoré boli v platnosti počas volieb do Európskeho parlamentu v júni 2009, ako aj v článku 14 ods. 2 prvom pododseku Zmluvy o Európskej únii, zmenenej a doplnenej Lisabonskou zmluvou,</w:t>
      </w:r>
    </w:p>
    <w:p w:rsidR="00006C0E" w:rsidP="00006C0E">
      <w:pPr>
        <w:bidi w:val="0"/>
        <w:spacing w:before="120" w:after="120"/>
        <w:rPr>
          <w:rFonts w:ascii="Times New Roman" w:hAnsi="Times New Roman"/>
        </w:rPr>
      </w:pPr>
      <w:r w:rsidRPr="001F70E7">
        <w:rPr>
          <w:rFonts w:ascii="Times New Roman" w:hAnsi="Times New Roman"/>
        </w:rPr>
        <w:t>KEĎŽE je taktiež potrebné stanoviť postupy, ktorými sa dotknutým členským štátom umožní obsadiť dočasne vytvorené dodatočné kreslá,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</w:rPr>
      </w:pPr>
      <w:r w:rsidRPr="001F70E7">
        <w:rPr>
          <w:rFonts w:ascii="Times New Roman" w:hAnsi="Times New Roman"/>
        </w:rPr>
        <w:t xml:space="preserve">KEĎŽE pokiaľ ide o prechodné ustanovenia, je potrebné postupovať prostredníctvom zmeny a doplnenia Protokolu o prechodných ustanoveniach, ktorý je pripojený k Zmluve o Európskej únii, </w:t>
      </w:r>
      <w:r>
        <w:rPr>
          <w:rFonts w:ascii="Times New Roman" w:hAnsi="Times New Roman"/>
        </w:rPr>
        <w:t xml:space="preserve">k </w:t>
      </w:r>
      <w:r w:rsidRPr="001F70E7">
        <w:rPr>
          <w:rFonts w:ascii="Times New Roman" w:hAnsi="Times New Roman"/>
        </w:rPr>
        <w:t>Zmluve o fungovaní Európskej únie a </w:t>
      </w:r>
      <w:r>
        <w:rPr>
          <w:rFonts w:ascii="Times New Roman" w:hAnsi="Times New Roman"/>
        </w:rPr>
        <w:t xml:space="preserve">k </w:t>
      </w:r>
      <w:r w:rsidRPr="001F70E7">
        <w:rPr>
          <w:rFonts w:ascii="Times New Roman" w:hAnsi="Times New Roman"/>
        </w:rPr>
        <w:t>Zmluve o založení Európskeho spoločenstva pre atómovú energiu,</w:t>
      </w:r>
    </w:p>
    <w:p w:rsidR="00006C0E" w:rsidRPr="001F70E7" w:rsidP="00006C0E">
      <w:pPr>
        <w:bidi w:val="0"/>
        <w:spacing w:before="120" w:after="120"/>
        <w:outlineLvl w:val="0"/>
        <w:rPr>
          <w:rFonts w:ascii="Times New Roman" w:hAnsi="Times New Roman"/>
        </w:rPr>
      </w:pPr>
      <w:r w:rsidRPr="001F70E7">
        <w:rPr>
          <w:rFonts w:ascii="Times New Roman" w:hAnsi="Times New Roman"/>
        </w:rPr>
        <w:t>SA DOHODLI NA TÝCHTO USTANOVENIACH</w:t>
      </w:r>
      <w:r>
        <w:rPr>
          <w:rFonts w:ascii="Times New Roman" w:hAnsi="Times New Roman"/>
        </w:rPr>
        <w:t>:</w:t>
      </w:r>
    </w:p>
    <w:p w:rsidR="00006C0E" w:rsidRPr="002A4AD6" w:rsidP="00006C0E">
      <w:pPr>
        <w:bidi w:val="0"/>
        <w:spacing w:before="120" w:after="120"/>
        <w:jc w:val="center"/>
        <w:outlineLvl w:val="0"/>
        <w:rPr>
          <w:rFonts w:ascii="Times New Roman" w:hAnsi="Times New Roman"/>
          <w:iCs/>
        </w:rPr>
      </w:pPr>
      <w:r w:rsidRPr="001F70E7">
        <w:rPr>
          <w:rFonts w:ascii="Times New Roman" w:hAnsi="Times New Roman"/>
        </w:rPr>
        <w:br w:type="page"/>
      </w:r>
      <w:r w:rsidRPr="002A4AD6" w:rsidR="002A4AD6">
        <w:rPr>
          <w:rFonts w:ascii="Times New Roman" w:hAnsi="Times New Roman"/>
          <w:iCs/>
        </w:rPr>
        <w:t>ČLÁNOK 1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</w:rPr>
      </w:pPr>
      <w:r w:rsidRPr="001F70E7">
        <w:rPr>
          <w:rFonts w:ascii="Times New Roman" w:hAnsi="Times New Roman"/>
        </w:rPr>
        <w:t xml:space="preserve">Článok 2 Protokolu o prechodných ustanoveniach, ktorý je pripojený k Zmluve o Európskej únii, </w:t>
      </w:r>
      <w:r>
        <w:rPr>
          <w:rFonts w:ascii="Times New Roman" w:hAnsi="Times New Roman"/>
        </w:rPr>
        <w:t>k </w:t>
      </w:r>
      <w:r w:rsidRPr="001F70E7">
        <w:rPr>
          <w:rFonts w:ascii="Times New Roman" w:hAnsi="Times New Roman"/>
        </w:rPr>
        <w:t>Zmluve o fungovaní Európskej únie a </w:t>
      </w:r>
      <w:r>
        <w:rPr>
          <w:rFonts w:ascii="Times New Roman" w:hAnsi="Times New Roman"/>
        </w:rPr>
        <w:t>k </w:t>
      </w:r>
      <w:r w:rsidRPr="001F70E7">
        <w:rPr>
          <w:rFonts w:ascii="Times New Roman" w:hAnsi="Times New Roman"/>
        </w:rPr>
        <w:t xml:space="preserve">Zmluve o založení Európskeho spoločenstva pre atómovú energiu, sa nahrádza </w:t>
      </w:r>
      <w:r>
        <w:rPr>
          <w:rFonts w:ascii="Times New Roman" w:hAnsi="Times New Roman"/>
        </w:rPr>
        <w:t>takto</w:t>
      </w:r>
      <w:r w:rsidRPr="001F70E7">
        <w:rPr>
          <w:rFonts w:ascii="Times New Roman" w:hAnsi="Times New Roman"/>
        </w:rPr>
        <w:t>:</w:t>
      </w:r>
    </w:p>
    <w:p w:rsidR="00006C0E" w:rsidRPr="002A4AD6" w:rsidP="00006C0E">
      <w:pPr>
        <w:bidi w:val="0"/>
        <w:spacing w:before="120" w:after="120"/>
        <w:outlineLvl w:val="0"/>
        <w:rPr>
          <w:rFonts w:ascii="Times New Roman" w:hAnsi="Times New Roman"/>
        </w:rPr>
      </w:pPr>
      <w:r w:rsidRPr="002A4AD6" w:rsidR="002A4AD6">
        <w:rPr>
          <w:rFonts w:ascii="Times New Roman" w:hAnsi="Times New Roman"/>
          <w:iCs/>
        </w:rPr>
        <w:t>„ČLÁNOK 2</w:t>
      </w:r>
    </w:p>
    <w:p w:rsidR="00006C0E" w:rsidP="00006C0E">
      <w:pPr>
        <w:bidi w:val="0"/>
        <w:spacing w:before="120" w:after="120"/>
        <w:ind w:left="567" w:hanging="567"/>
        <w:rPr>
          <w:rFonts w:ascii="Times New Roman" w:hAnsi="Times New Roman"/>
        </w:rPr>
      </w:pPr>
      <w:r w:rsidRPr="001F70E7">
        <w:rPr>
          <w:rFonts w:ascii="Times New Roman" w:hAnsi="Times New Roman"/>
        </w:rPr>
        <w:t>1.</w:t>
        <w:tab/>
        <w:t xml:space="preserve">Na ostávajúcu časť volebného obdobia 2009 – 2014 odo dňa nadobudnutia platnosti tohto článku a odchylne od článku </w:t>
      </w:r>
      <w:r w:rsidRPr="003805C8">
        <w:rPr>
          <w:rFonts w:ascii="Times New Roman" w:hAnsi="Times New Roman"/>
        </w:rPr>
        <w:t xml:space="preserve">189 </w:t>
      </w:r>
      <w:r w:rsidRPr="00E129E8">
        <w:rPr>
          <w:rFonts w:ascii="Times New Roman" w:hAnsi="Times New Roman"/>
        </w:rPr>
        <w:t>druhého odseku</w:t>
      </w:r>
      <w:r w:rsidRPr="001F70E7">
        <w:rPr>
          <w:rFonts w:ascii="Times New Roman" w:hAnsi="Times New Roman"/>
        </w:rPr>
        <w:t xml:space="preserve"> a článku 190 ods. 2 Zmluvy o založení Európskeho spoločenstva, ako aj od článku 107 druhého odseku a článku 108 ods. 2 Zmluvy o založení Európskeho spoločenstva pre atómovú energiu, ktoré boli v platnosti v čase volieb do Európskeho parlamentu v júni 2009, a odchylne od počtu kresiel ustanoveného v článku 14 ods. 2 prvom pododseku Zmluvy o Európskej únii sa k existujúcim 736 kreslám pridáva 18 kresiel, čím sa až do konca volebného obdobia 2009 – 2014 dočasne zvyšuje celkový počet poslancov Európskeho parlamentu na 754:</w:t>
      </w:r>
    </w:p>
    <w:p w:rsidR="002A4AD6" w:rsidRPr="001F70E7" w:rsidP="00006C0E">
      <w:pPr>
        <w:bidi w:val="0"/>
        <w:spacing w:before="120" w:after="120"/>
        <w:ind w:left="567" w:hanging="567"/>
        <w:rPr>
          <w:rFonts w:ascii="Times New Roman" w:hAnsi="Times New Roman"/>
        </w:rPr>
      </w:pPr>
    </w:p>
    <w:tbl>
      <w:tblPr>
        <w:tblStyle w:val="TableNormal"/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0"/>
        <w:gridCol w:w="4630"/>
      </w:tblGrid>
      <w:tr>
        <w:tblPrEx>
          <w:tblW w:w="0" w:type="auto"/>
          <w:tblInd w:w="9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6C0E" w:rsidRPr="001F70E7" w:rsidP="00EC289B">
            <w:pPr>
              <w:tabs>
                <w:tab w:val="left" w:pos="1732"/>
              </w:tabs>
              <w:bidi w:val="0"/>
              <w:spacing w:before="120" w:after="120"/>
              <w:rPr>
                <w:rFonts w:ascii="Times New Roman" w:hAnsi="Times New Roman"/>
              </w:rPr>
            </w:pPr>
            <w:r w:rsidRPr="001F70E7">
              <w:rPr>
                <w:rFonts w:ascii="Times New Roman" w:hAnsi="Times New Roman"/>
              </w:rPr>
              <w:t>Bulharsko</w:t>
              <w:tab/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6C0E" w:rsidRPr="001F70E7" w:rsidP="00EC289B">
            <w:pPr>
              <w:tabs>
                <w:tab w:val="left" w:pos="2492"/>
              </w:tabs>
              <w:bidi w:val="0"/>
              <w:spacing w:before="120" w:after="120"/>
              <w:rPr>
                <w:rFonts w:ascii="Times New Roman" w:hAnsi="Times New Roman"/>
              </w:rPr>
            </w:pPr>
            <w:r w:rsidRPr="001F70E7">
              <w:rPr>
                <w:rFonts w:ascii="Times New Roman" w:hAnsi="Times New Roman"/>
              </w:rPr>
              <w:t>Holandsko</w:t>
              <w:tab/>
              <w:t>1</w:t>
            </w:r>
          </w:p>
        </w:tc>
      </w:tr>
      <w:tr>
        <w:tblPrEx>
          <w:tblW w:w="0" w:type="auto"/>
          <w:tblInd w:w="948" w:type="dxa"/>
          <w:tblLayout w:type="fixed"/>
          <w:tblLook w:val="01E0"/>
        </w:tblPrEx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6C0E" w:rsidRPr="001F70E7" w:rsidP="00EC289B">
            <w:pPr>
              <w:tabs>
                <w:tab w:val="left" w:pos="1732"/>
              </w:tabs>
              <w:bidi w:val="0"/>
              <w:spacing w:before="120" w:after="120"/>
              <w:rPr>
                <w:rFonts w:ascii="Times New Roman" w:hAnsi="Times New Roman"/>
              </w:rPr>
            </w:pPr>
            <w:r w:rsidRPr="001F70E7">
              <w:rPr>
                <w:rFonts w:ascii="Times New Roman" w:hAnsi="Times New Roman"/>
              </w:rPr>
              <w:t>Španielsko</w:t>
              <w:tab/>
              <w:t>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6C0E" w:rsidRPr="001F70E7" w:rsidP="00EC289B">
            <w:pPr>
              <w:tabs>
                <w:tab w:val="left" w:pos="2492"/>
              </w:tabs>
              <w:bidi w:val="0"/>
              <w:spacing w:before="120" w:after="120"/>
              <w:rPr>
                <w:rFonts w:ascii="Times New Roman" w:hAnsi="Times New Roman"/>
              </w:rPr>
            </w:pPr>
            <w:r w:rsidRPr="001F70E7">
              <w:rPr>
                <w:rFonts w:ascii="Times New Roman" w:hAnsi="Times New Roman"/>
              </w:rPr>
              <w:t>Rakúsko</w:t>
              <w:tab/>
              <w:t>2</w:t>
            </w:r>
          </w:p>
        </w:tc>
      </w:tr>
      <w:tr>
        <w:tblPrEx>
          <w:tblW w:w="0" w:type="auto"/>
          <w:tblInd w:w="948" w:type="dxa"/>
          <w:tblLayout w:type="fixed"/>
          <w:tblLook w:val="01E0"/>
        </w:tblPrEx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6C0E" w:rsidRPr="001F70E7" w:rsidP="00EC289B">
            <w:pPr>
              <w:tabs>
                <w:tab w:val="left" w:pos="1732"/>
              </w:tabs>
              <w:bidi w:val="0"/>
              <w:spacing w:before="120" w:after="120"/>
              <w:rPr>
                <w:rFonts w:ascii="Times New Roman" w:hAnsi="Times New Roman"/>
              </w:rPr>
            </w:pPr>
            <w:r w:rsidRPr="001F70E7">
              <w:rPr>
                <w:rFonts w:ascii="Times New Roman" w:hAnsi="Times New Roman"/>
              </w:rPr>
              <w:t>Francúzsko</w:t>
              <w:tab/>
              <w:t>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6C0E" w:rsidRPr="001F70E7" w:rsidP="00EC289B">
            <w:pPr>
              <w:tabs>
                <w:tab w:val="left" w:pos="2492"/>
              </w:tabs>
              <w:bidi w:val="0"/>
              <w:spacing w:before="120" w:after="120"/>
              <w:rPr>
                <w:rFonts w:ascii="Times New Roman" w:hAnsi="Times New Roman"/>
              </w:rPr>
            </w:pPr>
            <w:r w:rsidRPr="001F70E7">
              <w:rPr>
                <w:rFonts w:ascii="Times New Roman" w:hAnsi="Times New Roman"/>
              </w:rPr>
              <w:t>Poľsko</w:t>
              <w:tab/>
              <w:t>1</w:t>
            </w:r>
          </w:p>
        </w:tc>
      </w:tr>
      <w:tr>
        <w:tblPrEx>
          <w:tblW w:w="0" w:type="auto"/>
          <w:tblInd w:w="948" w:type="dxa"/>
          <w:tblLayout w:type="fixed"/>
          <w:tblLook w:val="01E0"/>
        </w:tblPrEx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6C0E" w:rsidRPr="001F70E7" w:rsidP="00EC289B">
            <w:pPr>
              <w:tabs>
                <w:tab w:val="left" w:pos="1732"/>
              </w:tabs>
              <w:bidi w:val="0"/>
              <w:spacing w:before="120" w:after="120"/>
              <w:rPr>
                <w:rFonts w:ascii="Times New Roman" w:hAnsi="Times New Roman"/>
              </w:rPr>
            </w:pPr>
            <w:r w:rsidRPr="001F70E7">
              <w:rPr>
                <w:rFonts w:ascii="Times New Roman" w:hAnsi="Times New Roman"/>
              </w:rPr>
              <w:t>Taliansko</w:t>
              <w:tab/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6C0E" w:rsidRPr="001F70E7" w:rsidP="00EC289B">
            <w:pPr>
              <w:tabs>
                <w:tab w:val="left" w:pos="2492"/>
              </w:tabs>
              <w:bidi w:val="0"/>
              <w:spacing w:before="120" w:after="120"/>
              <w:rPr>
                <w:rFonts w:ascii="Times New Roman" w:hAnsi="Times New Roman"/>
              </w:rPr>
            </w:pPr>
            <w:r w:rsidRPr="001F70E7">
              <w:rPr>
                <w:rFonts w:ascii="Times New Roman" w:hAnsi="Times New Roman"/>
              </w:rPr>
              <w:t>Slovinsko</w:t>
              <w:tab/>
              <w:t>1</w:t>
            </w:r>
          </w:p>
        </w:tc>
      </w:tr>
      <w:tr>
        <w:tblPrEx>
          <w:tblW w:w="0" w:type="auto"/>
          <w:tblInd w:w="948" w:type="dxa"/>
          <w:tblLayout w:type="fixed"/>
          <w:tblLook w:val="01E0"/>
        </w:tblPrEx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6C0E" w:rsidRPr="001F70E7" w:rsidP="00EC289B">
            <w:pPr>
              <w:tabs>
                <w:tab w:val="left" w:pos="1732"/>
              </w:tabs>
              <w:bidi w:val="0"/>
              <w:spacing w:before="120" w:after="120"/>
              <w:rPr>
                <w:rFonts w:ascii="Times New Roman" w:hAnsi="Times New Roman"/>
              </w:rPr>
            </w:pPr>
            <w:r w:rsidRPr="001F70E7">
              <w:rPr>
                <w:rFonts w:ascii="Times New Roman" w:hAnsi="Times New Roman"/>
              </w:rPr>
              <w:t>Lotyšsko</w:t>
              <w:tab/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6C0E" w:rsidRPr="001F70E7" w:rsidP="00EC289B">
            <w:pPr>
              <w:tabs>
                <w:tab w:val="left" w:pos="2492"/>
              </w:tabs>
              <w:bidi w:val="0"/>
              <w:spacing w:before="120" w:after="120"/>
              <w:rPr>
                <w:rFonts w:ascii="Times New Roman" w:hAnsi="Times New Roman"/>
              </w:rPr>
            </w:pPr>
            <w:r w:rsidRPr="001F70E7">
              <w:rPr>
                <w:rFonts w:ascii="Times New Roman" w:hAnsi="Times New Roman"/>
              </w:rPr>
              <w:t>Švédsko</w:t>
              <w:tab/>
              <w:t>2</w:t>
            </w:r>
          </w:p>
        </w:tc>
      </w:tr>
      <w:tr>
        <w:tblPrEx>
          <w:tblW w:w="0" w:type="auto"/>
          <w:tblInd w:w="948" w:type="dxa"/>
          <w:tblLayout w:type="fixed"/>
          <w:tblLook w:val="01E0"/>
        </w:tblPrEx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6C0E" w:rsidRPr="00854C9C" w:rsidP="00EC289B">
            <w:pPr>
              <w:tabs>
                <w:tab w:val="left" w:pos="1732"/>
              </w:tabs>
              <w:bidi w:val="0"/>
              <w:spacing w:before="120" w:after="120"/>
              <w:rPr>
                <w:rFonts w:ascii="Times New Roman" w:hAnsi="Times New Roman"/>
                <w:highlight w:val="yellow"/>
              </w:rPr>
            </w:pPr>
            <w:r w:rsidRPr="00854C9C">
              <w:rPr>
                <w:rFonts w:ascii="Times New Roman" w:hAnsi="Times New Roman"/>
              </w:rPr>
              <w:t>Malta</w:t>
              <w:tab/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6C0E" w:rsidRPr="001F70E7" w:rsidP="00EC289B">
            <w:pPr>
              <w:tabs>
                <w:tab w:val="left" w:pos="2492"/>
              </w:tabs>
              <w:bidi w:val="0"/>
              <w:spacing w:before="120" w:after="120"/>
              <w:rPr>
                <w:rFonts w:ascii="Times New Roman" w:hAnsi="Times New Roman"/>
              </w:rPr>
            </w:pPr>
            <w:r w:rsidRPr="001F70E7">
              <w:rPr>
                <w:rFonts w:ascii="Times New Roman" w:hAnsi="Times New Roman"/>
              </w:rPr>
              <w:t>Spojené kráľovstvo</w:t>
              <w:tab/>
              <w:t>1</w:t>
            </w:r>
          </w:p>
        </w:tc>
      </w:tr>
    </w:tbl>
    <w:p w:rsidR="00006C0E" w:rsidRPr="001F70E7" w:rsidP="00006C0E">
      <w:pPr>
        <w:bidi w:val="0"/>
        <w:spacing w:before="120" w:after="120"/>
        <w:ind w:left="567" w:hanging="567"/>
        <w:rPr>
          <w:rFonts w:ascii="Times New Roman" w:hAnsi="Times New Roman"/>
        </w:rPr>
      </w:pPr>
      <w:r w:rsidRPr="001F70E7">
        <w:rPr>
          <w:rFonts w:ascii="Times New Roman" w:hAnsi="Times New Roman"/>
        </w:rPr>
        <w:br w:type="page"/>
        <w:t>2.</w:t>
        <w:tab/>
        <w:t>Odchylne od článku 14 ods. 3 Zmluvy o Európskej únii určia dotknuté členské štáty osoby, ktoré obsadia dodatočné kreslá uvedené v odseku 1, v súlade so svojimi vnútroštátnymi právnymi predpismi a za predpokladu, že príslušné osoby boli zvolené vo všeobecných, priamych voľbách, a to:</w:t>
      </w:r>
    </w:p>
    <w:p w:rsidR="00006C0E" w:rsidRPr="001F70E7" w:rsidP="00006C0E">
      <w:pPr>
        <w:bidi w:val="0"/>
        <w:spacing w:before="120" w:after="120"/>
        <w:ind w:left="1134" w:hanging="567"/>
        <w:rPr>
          <w:rFonts w:ascii="Times New Roman" w:hAnsi="Times New Roman"/>
        </w:rPr>
      </w:pPr>
      <w:r w:rsidRPr="001F70E7">
        <w:rPr>
          <w:rFonts w:ascii="Times New Roman" w:hAnsi="Times New Roman"/>
        </w:rPr>
        <w:t>a)</w:t>
        <w:tab/>
        <w:t xml:space="preserve">všeobecným a priamym hlasovaním </w:t>
      </w:r>
      <w:r w:rsidRPr="001F70E7">
        <w:rPr>
          <w:rFonts w:ascii="Times New Roman" w:hAnsi="Times New Roman"/>
          <w:i/>
          <w:iCs/>
        </w:rPr>
        <w:t>ad hoc</w:t>
      </w:r>
      <w:r w:rsidRPr="001F70E7">
        <w:rPr>
          <w:rFonts w:ascii="Times New Roman" w:hAnsi="Times New Roman"/>
        </w:rPr>
        <w:t xml:space="preserve"> v dotknutom členskom štáte v súlade s ustanoveniami platnými pre voľby do Európskeho parlamentu;</w:t>
      </w:r>
    </w:p>
    <w:p w:rsidR="00006C0E" w:rsidRPr="001F70E7" w:rsidP="00006C0E">
      <w:pPr>
        <w:bidi w:val="0"/>
        <w:spacing w:before="120" w:after="120"/>
        <w:ind w:left="1134" w:hanging="567"/>
        <w:rPr>
          <w:rFonts w:ascii="Times New Roman" w:hAnsi="Times New Roman"/>
        </w:rPr>
      </w:pPr>
      <w:r w:rsidRPr="001F70E7">
        <w:rPr>
          <w:rFonts w:ascii="Times New Roman" w:hAnsi="Times New Roman"/>
        </w:rPr>
        <w:t>b)</w:t>
        <w:tab/>
        <w:t>na základe výsledkov volieb do Európskeho parlamentu 4. až 7. júna 2009;</w:t>
      </w:r>
      <w:r>
        <w:rPr>
          <w:rFonts w:ascii="Times New Roman" w:hAnsi="Times New Roman"/>
        </w:rPr>
        <w:t xml:space="preserve"> alebo</w:t>
      </w:r>
    </w:p>
    <w:p w:rsidR="00006C0E" w:rsidRPr="001F70E7" w:rsidP="00006C0E">
      <w:pPr>
        <w:bidi w:val="0"/>
        <w:spacing w:before="120" w:after="120"/>
        <w:ind w:left="1134" w:hanging="567"/>
        <w:rPr>
          <w:rFonts w:ascii="Times New Roman" w:hAnsi="Times New Roman"/>
        </w:rPr>
      </w:pPr>
      <w:r w:rsidRPr="001F70E7">
        <w:rPr>
          <w:rFonts w:ascii="Times New Roman" w:hAnsi="Times New Roman"/>
        </w:rPr>
        <w:t>c)</w:t>
        <w:tab/>
        <w:t>tak, že národný parlament dotknutého členského štátu spomedzi svojich členov vymenuje požadovaný počet poslancov, a to podľa postupu stanoveného každým z týchto členských štátov.</w:t>
      </w:r>
    </w:p>
    <w:p w:rsidR="00006C0E" w:rsidP="00006C0E">
      <w:pPr>
        <w:bidi w:val="0"/>
        <w:spacing w:before="120" w:after="120"/>
        <w:ind w:left="567" w:hanging="567"/>
        <w:rPr>
          <w:rFonts w:ascii="Times New Roman" w:hAnsi="Times New Roman"/>
        </w:rPr>
      </w:pPr>
      <w:r w:rsidRPr="001F70E7">
        <w:rPr>
          <w:rFonts w:ascii="Times New Roman" w:hAnsi="Times New Roman"/>
        </w:rPr>
        <w:t>3.</w:t>
        <w:tab/>
        <w:t>V dostatočnom predstihu pred voľbami do Európskeho parlamentu v roku 2014 prijme Európska rada v súlade s článkom 14 ods. 2 druhým pododsekom Zmluvy o Európskej únii rozhodnutie, ktorým určí zloženie Európskeho parlamentu.“</w:t>
      </w:r>
    </w:p>
    <w:p w:rsidR="002A4AD6" w:rsidRPr="001F70E7" w:rsidP="00006C0E">
      <w:pPr>
        <w:bidi w:val="0"/>
        <w:spacing w:before="120" w:after="120"/>
        <w:ind w:left="567" w:hanging="567"/>
        <w:rPr>
          <w:rFonts w:ascii="Times New Roman" w:hAnsi="Times New Roman"/>
        </w:rPr>
      </w:pPr>
    </w:p>
    <w:p w:rsidR="00006C0E" w:rsidRPr="002A4AD6" w:rsidP="00006C0E">
      <w:pPr>
        <w:bidi w:val="0"/>
        <w:spacing w:before="120" w:after="120"/>
        <w:jc w:val="center"/>
        <w:outlineLvl w:val="0"/>
        <w:rPr>
          <w:rFonts w:ascii="Times New Roman" w:hAnsi="Times New Roman"/>
          <w:iCs/>
        </w:rPr>
      </w:pPr>
      <w:r w:rsidRPr="002A4AD6" w:rsidR="002A4AD6">
        <w:rPr>
          <w:rFonts w:ascii="Times New Roman" w:hAnsi="Times New Roman"/>
          <w:iCs/>
        </w:rPr>
        <w:t>ČLÁNOK 2</w:t>
      </w:r>
    </w:p>
    <w:p w:rsidR="00006C0E" w:rsidP="00006C0E">
      <w:pPr>
        <w:bidi w:val="0"/>
        <w:spacing w:before="120" w:after="120"/>
        <w:rPr>
          <w:rFonts w:ascii="Times New Roman" w:hAnsi="Times New Roman"/>
        </w:rPr>
      </w:pPr>
      <w:r w:rsidRPr="001F70E7">
        <w:rPr>
          <w:rFonts w:ascii="Times New Roman" w:hAnsi="Times New Roman"/>
        </w:rPr>
        <w:t>Vysoké zmluvné strany ratifikujú tento protokol v súlade so svojimi príslušnými ústavnými požiadavkami. Ratifikačné listiny sa uložia u vlády Talianskej republiky.</w:t>
      </w:r>
    </w:p>
    <w:p w:rsidR="00006C0E" w:rsidP="00006C0E">
      <w:pPr>
        <w:bidi w:val="0"/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  <w:t>T</w:t>
      </w:r>
      <w:r w:rsidRPr="001F70E7">
        <w:rPr>
          <w:rFonts w:ascii="Times New Roman" w:hAnsi="Times New Roman"/>
        </w:rPr>
        <w:t>ento protokol nadobúda platnosť</w:t>
      </w:r>
      <w:r>
        <w:rPr>
          <w:rFonts w:ascii="Times New Roman" w:hAnsi="Times New Roman"/>
        </w:rPr>
        <w:t>, pokiaľ je to možné,</w:t>
      </w:r>
      <w:r w:rsidRPr="001F70E7">
        <w:rPr>
          <w:rFonts w:ascii="Times New Roman" w:hAnsi="Times New Roman"/>
        </w:rPr>
        <w:t xml:space="preserve"> 1. decembra 2010 </w:t>
      </w:r>
      <w:r>
        <w:rPr>
          <w:rFonts w:ascii="Times New Roman" w:hAnsi="Times New Roman"/>
        </w:rPr>
        <w:t>za predpokladu</w:t>
      </w:r>
      <w:r w:rsidRPr="001F70E7">
        <w:rPr>
          <w:rFonts w:ascii="Times New Roman" w:hAnsi="Times New Roman"/>
        </w:rPr>
        <w:t xml:space="preserve">, že boli uložené všetky ratifikačné listiny, alebo </w:t>
      </w:r>
      <w:r>
        <w:rPr>
          <w:rFonts w:ascii="Times New Roman" w:hAnsi="Times New Roman"/>
        </w:rPr>
        <w:t>ak sa tak nestane</w:t>
      </w:r>
      <w:r w:rsidRPr="001F70E7">
        <w:rPr>
          <w:rFonts w:ascii="Times New Roman" w:hAnsi="Times New Roman"/>
        </w:rPr>
        <w:t>, prvým dňom mesiaca nasledujúceho po vykonaní tohto úkonu posledným signatárskym štátom.</w:t>
      </w:r>
    </w:p>
    <w:p w:rsidR="002A4AD6" w:rsidRPr="001F70E7" w:rsidP="00006C0E">
      <w:pPr>
        <w:bidi w:val="0"/>
        <w:spacing w:before="120" w:after="120"/>
        <w:rPr>
          <w:rFonts w:ascii="Times New Roman" w:hAnsi="Times New Roman"/>
        </w:rPr>
      </w:pPr>
    </w:p>
    <w:p w:rsidR="00006C0E" w:rsidRPr="002A4AD6" w:rsidP="00006C0E">
      <w:pPr>
        <w:bidi w:val="0"/>
        <w:spacing w:before="120" w:after="120"/>
        <w:jc w:val="center"/>
        <w:outlineLvl w:val="0"/>
        <w:rPr>
          <w:rFonts w:ascii="Times New Roman" w:hAnsi="Times New Roman"/>
          <w:iCs/>
        </w:rPr>
      </w:pPr>
      <w:r w:rsidRPr="002A4AD6" w:rsidR="002A4AD6">
        <w:rPr>
          <w:rFonts w:ascii="Times New Roman" w:hAnsi="Times New Roman"/>
          <w:iCs/>
        </w:rPr>
        <w:t>ČLÁNOK 3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</w:rPr>
      </w:pPr>
      <w:r w:rsidRPr="001F70E7">
        <w:rPr>
          <w:rFonts w:ascii="Times New Roman" w:hAnsi="Times New Roman"/>
        </w:rPr>
        <w:t xml:space="preserve">Tento protokol, vyhotovený v jedinom </w:t>
      </w:r>
      <w:r>
        <w:rPr>
          <w:rFonts w:ascii="Times New Roman" w:hAnsi="Times New Roman"/>
        </w:rPr>
        <w:t>origináli</w:t>
      </w:r>
      <w:r w:rsidRPr="001F70E7">
        <w:rPr>
          <w:rFonts w:ascii="Times New Roman" w:hAnsi="Times New Roman"/>
        </w:rPr>
        <w:t xml:space="preserve"> v anglickom, bulharskom, českom, dánskom, estónskom, fínskom, francúzskom, gréckom, holandskom, írskom, litovskom, lotyšskom, maďarskom, maltskom, nemeckom, poľskom, portugalskom, rumunskom, slovenskom, slovinskom, španielskom, švédskom a talianskom jazyku, pričom každé znenie je rovnako autentické, sa uloží v archívoch vlády Talianskej republiky, ktorá odovzdá overenú kópiu vláde všetkých ostatných signatárskych štátov.</w:t>
      </w:r>
    </w:p>
    <w:p w:rsidR="00006C0E" w:rsidRPr="001F70E7" w:rsidP="00006C0E">
      <w:pPr>
        <w:bidi w:val="0"/>
        <w:spacing w:before="120" w:after="120"/>
        <w:rPr>
          <w:rFonts w:ascii="Times New Roman" w:hAnsi="Times New Roman"/>
        </w:rPr>
      </w:pPr>
      <w:r w:rsidRPr="001F70E7">
        <w:rPr>
          <w:rFonts w:ascii="Times New Roman" w:hAnsi="Times New Roman"/>
        </w:rPr>
        <w:t>NA DÔKAZ TOHO dolupodpísaní splnomocnení zástupcovia podpísali tento protokol.</w:t>
      </w:r>
    </w:p>
    <w:sectPr w:rsidSect="002A4AD6">
      <w:footerReference w:type="default" r:id="rId4"/>
      <w:footnotePr>
        <w:numRestart w:val="eachPage"/>
      </w:footnotePr>
      <w:pgSz w:w="11907" w:h="16839"/>
      <w:pgMar w:top="1134" w:right="1134" w:bottom="1134" w:left="1134" w:header="567" w:footer="1134" w:gutter="0"/>
      <w:lnNumType w:distance="0"/>
      <w:pgNumType w:start="1"/>
      <w:cols w:space="708"/>
      <w:noEndnote w:val="0"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89B" w:rsidRPr="001F70E7" w:rsidP="002A4AD6">
    <w:pPr>
      <w:pStyle w:val="Footer"/>
      <w:bidi w:val="0"/>
      <w:jc w:val="center"/>
      <w:rPr>
        <w:rFonts w:ascii="Times New Roman" w:hAnsi="Times New Roman"/>
      </w:rPr>
    </w:pPr>
    <w:r w:rsidR="002A4AD6">
      <w:rPr>
        <w:rFonts w:ascii="Times New Roman" w:hAnsi="Times New Roman"/>
        <w:noProof/>
        <w:lang w:val="nl-NL"/>
      </w:rPr>
      <w:t xml:space="preserve">P/AMD/TREATIES/sk </w:t>
    </w:r>
    <w:r w:rsidR="002A4AD6">
      <w:rPr>
        <w:rStyle w:val="PageNumber"/>
        <w:rFonts w:ascii="Times New Roman" w:hAnsi="Times New Roman"/>
      </w:rPr>
      <w:fldChar w:fldCharType="begin"/>
    </w:r>
    <w:r w:rsidR="002A4AD6">
      <w:rPr>
        <w:rStyle w:val="PageNumber"/>
        <w:rFonts w:ascii="Times New Roman" w:hAnsi="Times New Roman"/>
      </w:rPr>
      <w:instrText xml:space="preserve"> PAGE </w:instrText>
    </w:r>
    <w:r w:rsidR="002A4AD6">
      <w:rPr>
        <w:rStyle w:val="PageNumber"/>
        <w:rFonts w:ascii="Times New Roman" w:hAnsi="Times New Roman"/>
      </w:rPr>
      <w:fldChar w:fldCharType="separate"/>
    </w:r>
    <w:r w:rsidR="003114DA">
      <w:rPr>
        <w:rStyle w:val="PageNumber"/>
        <w:rFonts w:ascii="Times New Roman" w:hAnsi="Times New Roman"/>
        <w:noProof/>
      </w:rPr>
      <w:t>1</w:t>
    </w:r>
    <w:r w:rsidR="002A4AD6">
      <w:rPr>
        <w:rStyle w:val="PageNumber"/>
        <w:rFonts w:ascii="Times New Roman" w:hAnsi="Times New Roman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4273"/>
    <w:multiLevelType w:val="singleLevel"/>
    <w:tmpl w:val="6276CDDE"/>
    <w:lvl w:ilvl="0">
      <w:start w:val="1"/>
      <w:numFmt w:val="upperRoman"/>
      <w:pStyle w:val="Par-dash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1">
    <w:nsid w:val="22CA659A"/>
    <w:multiLevelType w:val="singleLevel"/>
    <w:tmpl w:val="7B9C897A"/>
    <w:lvl w:ilvl="0">
      <w:start w:val="1"/>
      <w:numFmt w:val="bullet"/>
      <w:pStyle w:val="EntLogo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2">
    <w:nsid w:val="22D918D1"/>
    <w:multiLevelType w:val="multilevel"/>
    <w:tmpl w:val="DE2606C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  <w:rPr>
        <w:rFonts w:cs="Times New Roman"/>
        <w:rtl w:val="0"/>
        <w:cs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  <w:rPr>
        <w:rFonts w:cs="Times New Roman"/>
        <w:rtl w:val="0"/>
        <w:cs w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  <w:rtl w:val="0"/>
        <w:cs w:val="0"/>
      </w:rPr>
    </w:lvl>
    <w:lvl w:ilvl="4">
      <w:start w:val="1"/>
      <w:numFmt w:val="none"/>
      <w:lvlJc w:val="left"/>
      <w:pPr>
        <w:tabs>
          <w:tab w:val="num" w:pos="360"/>
        </w:tabs>
        <w:ind w:left="0" w:firstLine="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</w:abstractNum>
  <w:abstractNum w:abstractNumId="3">
    <w:nsid w:val="2D2D468B"/>
    <w:multiLevelType w:val="singleLevel"/>
    <w:tmpl w:val="A18042A8"/>
    <w:lvl w:ilvl="0">
      <w:start w:val="1"/>
      <w:numFmt w:val="upperLetter"/>
      <w:pStyle w:val="TOC3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4">
    <w:nsid w:val="2DB37182"/>
    <w:multiLevelType w:val="singleLevel"/>
    <w:tmpl w:val="F612DBDC"/>
    <w:lvl w:ilvl="0">
      <w:start w:val="1"/>
      <w:numFmt w:val="lowerRoman"/>
      <w:lvlText w:val="(%1)"/>
      <w:lvlJc w:val="left"/>
      <w:pPr>
        <w:tabs>
          <w:tab w:val="num" w:pos="720"/>
        </w:tabs>
        <w:ind w:left="567" w:hanging="567"/>
      </w:pPr>
      <w:rPr>
        <w:rFonts w:cs="Times New Roman"/>
        <w:rtl w:val="0"/>
        <w:cs w:val="0"/>
      </w:rPr>
    </w:lvl>
  </w:abstractNum>
  <w:abstractNum w:abstractNumId="5">
    <w:nsid w:val="394F5925"/>
    <w:multiLevelType w:val="singleLevel"/>
    <w:tmpl w:val="395C08BE"/>
    <w:lvl w:ilvl="0">
      <w:start w:val="1"/>
      <w:numFmt w:val="decimal"/>
      <w:pStyle w:val="Par-number11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6">
    <w:nsid w:val="3DD66C9D"/>
    <w:multiLevelType w:val="singleLevel"/>
    <w:tmpl w:val="E5905DC2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7">
    <w:nsid w:val="3FC80B1B"/>
    <w:multiLevelType w:val="singleLevel"/>
    <w:tmpl w:val="C11CD6E2"/>
    <w:lvl w:ilvl="0">
      <w:start w:val="1"/>
      <w:numFmt w:val="decimal"/>
      <w:pStyle w:val="EntEmet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8">
    <w:nsid w:val="436E0A5D"/>
    <w:multiLevelType w:val="singleLevel"/>
    <w:tmpl w:val="9C807126"/>
    <w:lvl w:ilvl="0">
      <w:start w:val="1"/>
      <w:numFmt w:val="bullet"/>
      <w:pStyle w:val="TOC1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9">
    <w:nsid w:val="6E4E71E4"/>
    <w:multiLevelType w:val="singleLevel"/>
    <w:tmpl w:val="21145626"/>
    <w:lvl w:ilvl="0">
      <w:start w:val="1"/>
      <w:numFmt w:val="decimal"/>
      <w:pStyle w:val="Par-numberI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10">
    <w:nsid w:val="79FA34D6"/>
    <w:multiLevelType w:val="singleLevel"/>
    <w:tmpl w:val="41326E50"/>
    <w:lvl w:ilvl="0">
      <w:start w:val="1"/>
      <w:numFmt w:val="bullet"/>
      <w:pStyle w:val="Par-equal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567"/>
  <w:displayHorizontalDrawingGridEvery w:val="0"/>
  <w:displayVerticalDrawingGridEvery w:val="0"/>
  <w:noPunctuationKerning/>
  <w:characterSpacingControl w:val="doNotCompress"/>
  <w:footnotePr>
    <w:numRestart w:val="eachPage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543C7"/>
    <w:rsid w:val="00006C0E"/>
    <w:rsid w:val="00023166"/>
    <w:rsid w:val="0007104E"/>
    <w:rsid w:val="000F7A4B"/>
    <w:rsid w:val="0015674F"/>
    <w:rsid w:val="001D6AC9"/>
    <w:rsid w:val="001F70E7"/>
    <w:rsid w:val="0021429E"/>
    <w:rsid w:val="00250080"/>
    <w:rsid w:val="002634E2"/>
    <w:rsid w:val="00293F61"/>
    <w:rsid w:val="002A3686"/>
    <w:rsid w:val="002A4AD6"/>
    <w:rsid w:val="002B77F9"/>
    <w:rsid w:val="002E5515"/>
    <w:rsid w:val="003114DA"/>
    <w:rsid w:val="003327A2"/>
    <w:rsid w:val="003805C8"/>
    <w:rsid w:val="003A2248"/>
    <w:rsid w:val="003A4C0D"/>
    <w:rsid w:val="003A6F3C"/>
    <w:rsid w:val="003F7E6C"/>
    <w:rsid w:val="00494021"/>
    <w:rsid w:val="0049672E"/>
    <w:rsid w:val="00551EA9"/>
    <w:rsid w:val="00555E9C"/>
    <w:rsid w:val="005661F3"/>
    <w:rsid w:val="00641F6D"/>
    <w:rsid w:val="00686361"/>
    <w:rsid w:val="0072590D"/>
    <w:rsid w:val="007534E2"/>
    <w:rsid w:val="007C4874"/>
    <w:rsid w:val="008063A1"/>
    <w:rsid w:val="008506EB"/>
    <w:rsid w:val="008543C7"/>
    <w:rsid w:val="00854C9C"/>
    <w:rsid w:val="00930C01"/>
    <w:rsid w:val="009403F7"/>
    <w:rsid w:val="00997758"/>
    <w:rsid w:val="009D428B"/>
    <w:rsid w:val="00AA44C0"/>
    <w:rsid w:val="00B204CF"/>
    <w:rsid w:val="00B3332D"/>
    <w:rsid w:val="00C171FA"/>
    <w:rsid w:val="00C2009A"/>
    <w:rsid w:val="00CA4323"/>
    <w:rsid w:val="00CC2FC1"/>
    <w:rsid w:val="00D10467"/>
    <w:rsid w:val="00D13D17"/>
    <w:rsid w:val="00DD2615"/>
    <w:rsid w:val="00DE3320"/>
    <w:rsid w:val="00DE6B95"/>
    <w:rsid w:val="00E129E8"/>
    <w:rsid w:val="00E20721"/>
    <w:rsid w:val="00EC289B"/>
    <w:rsid w:val="00F13D33"/>
    <w:rsid w:val="00F51D91"/>
    <w:rsid w:val="00F76EC5"/>
    <w:rsid w:val="00F91711"/>
    <w:rsid w:val="00FE4484"/>
  </w:rsids>
  <w:docVars>
    <w:docVar w:name="LW_DocType" w:val="_GENSK"/>
  </w:docVar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874"/>
    <w:pPr>
      <w:framePr w:wrap="auto"/>
      <w:widowControl w:val="0"/>
      <w:autoSpaceDE/>
      <w:autoSpaceDN/>
      <w:adjustRightInd/>
      <w:spacing w:line="360" w:lineRule="auto"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fr-BE" w:bidi="ar-SA"/>
    </w:rPr>
  </w:style>
  <w:style w:type="paragraph" w:styleId="Heading1">
    <w:name w:val="heading 1"/>
    <w:basedOn w:val="Normal"/>
    <w:next w:val="Normal"/>
    <w:qFormat/>
    <w:pPr>
      <w:keepNext/>
      <w:widowControl/>
      <w:numPr>
        <w:numId w:val="11"/>
      </w:numPr>
      <w:tabs>
        <w:tab w:val="num" w:pos="851"/>
      </w:tabs>
      <w:spacing w:before="360" w:after="120" w:line="240" w:lineRule="auto"/>
      <w:ind w:left="851" w:hanging="851"/>
      <w:jc w:val="both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pPr>
      <w:keepNext/>
      <w:widowControl/>
      <w:numPr>
        <w:ilvl w:val="1"/>
        <w:numId w:val="12"/>
      </w:numPr>
      <w:tabs>
        <w:tab w:val="num" w:pos="851"/>
      </w:tabs>
      <w:spacing w:before="120" w:after="120" w:line="240" w:lineRule="auto"/>
      <w:ind w:left="851" w:hanging="851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widowControl/>
      <w:numPr>
        <w:ilvl w:val="2"/>
        <w:numId w:val="13"/>
      </w:numPr>
      <w:tabs>
        <w:tab w:val="num" w:pos="851"/>
      </w:tabs>
      <w:spacing w:before="120" w:after="120" w:line="240" w:lineRule="auto"/>
      <w:ind w:left="851" w:hanging="851"/>
      <w:jc w:val="both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14"/>
      </w:numPr>
      <w:tabs>
        <w:tab w:val="num" w:pos="851"/>
      </w:tabs>
      <w:spacing w:before="120" w:after="120" w:line="240" w:lineRule="auto"/>
      <w:ind w:left="851" w:hanging="851"/>
      <w:jc w:val="both"/>
      <w:outlineLvl w:val="3"/>
    </w:pPr>
  </w:style>
  <w:style w:type="paragraph" w:styleId="Heading5">
    <w:name w:val="heading 5"/>
    <w:basedOn w:val="Normal"/>
    <w:next w:val="Normal"/>
    <w:qFormat/>
    <w:pPr>
      <w:widowControl/>
      <w:spacing w:before="240" w:after="60" w:line="240" w:lineRule="auto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widowControl/>
      <w:spacing w:before="240" w:after="60" w:line="240" w:lineRule="auto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widowControl/>
      <w:spacing w:before="240" w:after="60" w:line="240" w:lineRule="auto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widowControl/>
      <w:spacing w:before="240" w:after="60" w:line="240" w:lineRule="auto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widowControl/>
      <w:spacing w:before="240" w:after="60" w:line="240" w:lineRule="auto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link w:val="CharCharCharCharChar"/>
    <w:lock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820"/>
        <w:tab w:val="center" w:pos="7371"/>
        <w:tab w:val="right" w:pos="9639"/>
      </w:tabs>
      <w:spacing w:line="240" w:lineRule="auto"/>
      <w:jc w:val="left"/>
    </w:pPr>
  </w:style>
  <w:style w:type="paragraph" w:customStyle="1" w:styleId="EntInstit">
    <w:name w:val="EntInstit"/>
    <w:basedOn w:val="Normal"/>
    <w:pPr>
      <w:spacing w:line="240" w:lineRule="auto"/>
      <w:jc w:val="right"/>
    </w:pPr>
    <w:rPr>
      <w:b/>
    </w:rPr>
  </w:style>
  <w:style w:type="paragraph" w:customStyle="1" w:styleId="EntRefer">
    <w:name w:val="EntRefer"/>
    <w:basedOn w:val="Normal"/>
    <w:pPr>
      <w:spacing w:line="240" w:lineRule="auto"/>
      <w:jc w:val="left"/>
    </w:pPr>
    <w:rPr>
      <w:b/>
    </w:rPr>
  </w:style>
  <w:style w:type="paragraph" w:customStyle="1" w:styleId="Par-number1">
    <w:name w:val="Par-number 1)"/>
    <w:basedOn w:val="Normal"/>
    <w:next w:val="Normal"/>
    <w:pPr>
      <w:numPr>
        <w:numId w:val="7"/>
      </w:numPr>
      <w:tabs>
        <w:tab w:val="num" w:pos="567"/>
      </w:tabs>
      <w:ind w:left="567" w:hanging="567"/>
      <w:jc w:val="left"/>
    </w:pPr>
  </w:style>
  <w:style w:type="paragraph" w:customStyle="1" w:styleId="EntEmet">
    <w:name w:val="EntEme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  <w:jc w:val="left"/>
    </w:pPr>
  </w:style>
  <w:style w:type="character" w:styleId="FootnoteReference">
    <w:name w:val="footnote reference"/>
    <w:basedOn w:val="DefaultParagraphFont"/>
    <w:rPr>
      <w:rFonts w:cs="Times New Roman"/>
      <w:b/>
      <w:vertAlign w:val="superscript"/>
      <w:rtl w:val="0"/>
      <w:cs w:val="0"/>
    </w:rPr>
  </w:style>
  <w:style w:type="paragraph" w:styleId="FootnoteText">
    <w:name w:val="footnote text"/>
    <w:basedOn w:val="Normal"/>
    <w:pPr>
      <w:tabs>
        <w:tab w:val="left" w:pos="567"/>
      </w:tabs>
      <w:spacing w:line="240" w:lineRule="auto"/>
      <w:ind w:left="567" w:hanging="567"/>
      <w:jc w:val="left"/>
    </w:pPr>
  </w:style>
  <w:style w:type="paragraph" w:styleId="Header">
    <w:name w:val="header"/>
    <w:basedOn w:val="Normal"/>
    <w:pPr>
      <w:tabs>
        <w:tab w:val="center" w:pos="4820"/>
        <w:tab w:val="right" w:pos="7371"/>
        <w:tab w:val="right" w:pos="9639"/>
      </w:tabs>
      <w:spacing w:line="240" w:lineRule="auto"/>
      <w:jc w:val="left"/>
    </w:pPr>
  </w:style>
  <w:style w:type="paragraph" w:customStyle="1" w:styleId="Par-bullet">
    <w:name w:val="Par-bullet"/>
    <w:basedOn w:val="Normal"/>
    <w:next w:val="Normal"/>
    <w:pPr>
      <w:numPr>
        <w:numId w:val="3"/>
      </w:numPr>
      <w:tabs>
        <w:tab w:val="num" w:pos="567"/>
      </w:tabs>
      <w:ind w:left="567" w:hanging="567"/>
      <w:jc w:val="left"/>
    </w:pPr>
  </w:style>
  <w:style w:type="paragraph" w:customStyle="1" w:styleId="Par-equal">
    <w:name w:val="Par-equal"/>
    <w:basedOn w:val="Normal"/>
    <w:next w:val="Normal"/>
    <w:pPr>
      <w:numPr>
        <w:numId w:val="5"/>
      </w:numPr>
      <w:tabs>
        <w:tab w:val="num" w:pos="567"/>
      </w:tabs>
      <w:ind w:left="567" w:hanging="567"/>
      <w:jc w:val="left"/>
    </w:pPr>
  </w:style>
  <w:style w:type="paragraph" w:styleId="TOC1">
    <w:name w:val="toc 1"/>
    <w:basedOn w:val="Normal"/>
    <w:next w:val="Normal"/>
    <w:pPr>
      <w:tabs>
        <w:tab w:val="left" w:pos="567"/>
        <w:tab w:val="right" w:leader="dot" w:pos="9639"/>
      </w:tabs>
      <w:ind w:left="567" w:right="567" w:hanging="567"/>
      <w:jc w:val="left"/>
    </w:pPr>
  </w:style>
  <w:style w:type="paragraph" w:customStyle="1" w:styleId="Par-number10">
    <w:name w:val="Par-number (1)"/>
    <w:basedOn w:val="Normal"/>
    <w:next w:val="Normal"/>
    <w:pPr>
      <w:numPr>
        <w:numId w:val="6"/>
      </w:numPr>
      <w:tabs>
        <w:tab w:val="num" w:pos="567"/>
      </w:tabs>
      <w:ind w:left="567" w:hanging="567"/>
      <w:jc w:val="left"/>
    </w:pPr>
  </w:style>
  <w:style w:type="paragraph" w:customStyle="1" w:styleId="Par-number11">
    <w:name w:val="Par-number 1."/>
    <w:basedOn w:val="Normal"/>
    <w:next w:val="Normal"/>
    <w:pPr>
      <w:numPr>
        <w:numId w:val="8"/>
      </w:numPr>
      <w:tabs>
        <w:tab w:val="num" w:pos="567"/>
      </w:tabs>
      <w:ind w:left="567" w:hanging="567"/>
      <w:jc w:val="left"/>
    </w:pPr>
  </w:style>
  <w:style w:type="paragraph" w:customStyle="1" w:styleId="Par-numberI">
    <w:name w:val="Par-number I."/>
    <w:basedOn w:val="Normal"/>
    <w:next w:val="Normal"/>
    <w:pPr>
      <w:numPr>
        <w:numId w:val="10"/>
      </w:numPr>
      <w:tabs>
        <w:tab w:val="num" w:pos="567"/>
      </w:tabs>
      <w:ind w:left="567" w:hanging="567"/>
      <w:jc w:val="left"/>
    </w:pPr>
  </w:style>
  <w:style w:type="paragraph" w:customStyle="1" w:styleId="Par-dash">
    <w:name w:val="Par-dash"/>
    <w:basedOn w:val="Normal"/>
    <w:next w:val="Normal"/>
    <w:pPr>
      <w:numPr>
        <w:numId w:val="4"/>
      </w:numPr>
      <w:tabs>
        <w:tab w:val="num" w:pos="567"/>
      </w:tabs>
      <w:ind w:left="567" w:hanging="567"/>
      <w:jc w:val="left"/>
    </w:pPr>
  </w:style>
  <w:style w:type="paragraph" w:customStyle="1" w:styleId="EntLogo">
    <w:name w:val="EntLogo"/>
    <w:basedOn w:val="Normal"/>
    <w:next w:val="EntInstit"/>
    <w:pPr>
      <w:jc w:val="left"/>
    </w:pPr>
    <w:rPr>
      <w:b/>
    </w:rPr>
  </w:style>
  <w:style w:type="paragraph" w:customStyle="1" w:styleId="FooterLandscape">
    <w:name w:val="FooterLandscape"/>
    <w:basedOn w:val="Footer"/>
    <w:pPr>
      <w:tabs>
        <w:tab w:val="clear" w:pos="4820"/>
        <w:tab w:val="clear" w:pos="9639"/>
        <w:tab w:val="center" w:pos="11340"/>
        <w:tab w:val="right" w:pos="14572"/>
      </w:tabs>
      <w:spacing w:line="240" w:lineRule="auto"/>
      <w:jc w:val="left"/>
    </w:pPr>
  </w:style>
  <w:style w:type="paragraph" w:customStyle="1" w:styleId="Par-numberA">
    <w:name w:val="Par-number A."/>
    <w:basedOn w:val="Normal"/>
    <w:next w:val="Normal"/>
    <w:pPr>
      <w:numPr>
        <w:numId w:val="9"/>
      </w:numPr>
      <w:tabs>
        <w:tab w:val="num" w:pos="567"/>
      </w:tabs>
      <w:ind w:left="567" w:hanging="567"/>
      <w:jc w:val="left"/>
    </w:pPr>
  </w:style>
  <w:style w:type="paragraph" w:styleId="TOC2">
    <w:name w:val="toc 2"/>
    <w:basedOn w:val="Normal"/>
    <w:next w:val="Normal"/>
    <w:pPr>
      <w:tabs>
        <w:tab w:val="left" w:pos="1134"/>
        <w:tab w:val="right" w:leader="dot" w:pos="9639"/>
      </w:tabs>
      <w:ind w:left="1134" w:right="567" w:hanging="567"/>
      <w:jc w:val="left"/>
    </w:pPr>
  </w:style>
  <w:style w:type="paragraph" w:styleId="TOC3">
    <w:name w:val="toc 3"/>
    <w:basedOn w:val="Normal"/>
    <w:next w:val="Normal"/>
    <w:pPr>
      <w:tabs>
        <w:tab w:val="left" w:pos="1701"/>
        <w:tab w:val="right" w:leader="dot" w:pos="9639"/>
      </w:tabs>
      <w:ind w:left="1701" w:right="567" w:hanging="567"/>
      <w:jc w:val="left"/>
    </w:pPr>
  </w:style>
  <w:style w:type="paragraph" w:styleId="TOC4">
    <w:name w:val="toc 4"/>
    <w:basedOn w:val="Normal"/>
    <w:next w:val="Normal"/>
    <w:pPr>
      <w:tabs>
        <w:tab w:val="left" w:pos="2268"/>
        <w:tab w:val="right" w:pos="9639"/>
      </w:tabs>
      <w:ind w:left="2268" w:right="567" w:hanging="567"/>
      <w:jc w:val="left"/>
    </w:pPr>
  </w:style>
  <w:style w:type="paragraph" w:styleId="TOC5">
    <w:name w:val="toc 5"/>
    <w:basedOn w:val="Normal"/>
    <w:next w:val="Normal"/>
    <w:pPr>
      <w:tabs>
        <w:tab w:val="left" w:pos="2835"/>
        <w:tab w:val="right" w:leader="dot" w:pos="9639"/>
      </w:tabs>
      <w:ind w:left="2835" w:right="567" w:hanging="567"/>
      <w:jc w:val="left"/>
    </w:pPr>
  </w:style>
  <w:style w:type="paragraph" w:styleId="TOC6">
    <w:name w:val="toc 6"/>
    <w:basedOn w:val="Normal"/>
    <w:next w:val="Normal"/>
    <w:pPr>
      <w:tabs>
        <w:tab w:val="left" w:pos="3402"/>
        <w:tab w:val="right" w:leader="dot" w:pos="9639"/>
      </w:tabs>
      <w:ind w:left="3402" w:right="567" w:hanging="567"/>
      <w:jc w:val="left"/>
    </w:pPr>
  </w:style>
  <w:style w:type="paragraph" w:styleId="TOC7">
    <w:name w:val="toc 7"/>
    <w:basedOn w:val="Normal"/>
    <w:next w:val="Normal"/>
    <w:pPr>
      <w:tabs>
        <w:tab w:val="left" w:pos="3969"/>
        <w:tab w:val="right" w:leader="dot" w:pos="9639"/>
      </w:tabs>
      <w:ind w:left="3969" w:right="567" w:hanging="567"/>
      <w:jc w:val="left"/>
    </w:pPr>
  </w:style>
  <w:style w:type="paragraph" w:styleId="TOC8">
    <w:name w:val="toc 8"/>
    <w:basedOn w:val="Normal"/>
    <w:next w:val="Normal"/>
    <w:pPr>
      <w:tabs>
        <w:tab w:val="left" w:pos="4536"/>
        <w:tab w:val="right" w:leader="dot" w:pos="9639"/>
      </w:tabs>
      <w:ind w:left="4536" w:right="567" w:hanging="567"/>
      <w:jc w:val="left"/>
    </w:pPr>
  </w:style>
  <w:style w:type="paragraph" w:styleId="TOC9">
    <w:name w:val="toc 9"/>
    <w:basedOn w:val="Normal"/>
    <w:next w:val="Normal"/>
    <w:pPr>
      <w:tabs>
        <w:tab w:val="left" w:pos="5103"/>
        <w:tab w:val="right" w:leader="dot" w:pos="9639"/>
      </w:tabs>
      <w:ind w:left="5103" w:right="567" w:hanging="567"/>
      <w:jc w:val="left"/>
    </w:pPr>
  </w:style>
  <w:style w:type="paragraph" w:styleId="EndnoteText">
    <w:name w:val="endnote text"/>
    <w:basedOn w:val="Normal"/>
    <w:pPr>
      <w:tabs>
        <w:tab w:val="left" w:pos="567"/>
      </w:tabs>
      <w:spacing w:line="240" w:lineRule="auto"/>
      <w:ind w:left="567" w:hanging="567"/>
      <w:jc w:val="left"/>
    </w:pPr>
  </w:style>
  <w:style w:type="character" w:styleId="EndnoteReference">
    <w:name w:val="endnote reference"/>
    <w:basedOn w:val="DefaultParagraphFont"/>
    <w:rPr>
      <w:rFonts w:cs="Times New Roman"/>
      <w:b/>
      <w:vertAlign w:val="superscript"/>
      <w:rtl w:val="0"/>
      <w:cs w:val="0"/>
    </w:rPr>
  </w:style>
  <w:style w:type="paragraph" w:customStyle="1" w:styleId="AC">
    <w:name w:val="AC"/>
    <w:basedOn w:val="Normal"/>
    <w:next w:val="Normal"/>
    <w:pPr>
      <w:jc w:val="left"/>
    </w:pPr>
    <w:rPr>
      <w:b/>
      <w:sz w:val="40"/>
    </w:r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customStyle="1" w:styleId="Par-numberi0">
    <w:name w:val="Par-number (i)"/>
    <w:basedOn w:val="Normal"/>
    <w:next w:val="Normal"/>
    <w:pPr>
      <w:numPr>
        <w:numId w:val="1"/>
      </w:numPr>
      <w:tabs>
        <w:tab w:val="left" w:pos="567"/>
      </w:tabs>
      <w:ind w:left="567" w:hanging="567"/>
      <w:jc w:val="left"/>
    </w:pPr>
  </w:style>
  <w:style w:type="paragraph" w:customStyle="1" w:styleId="Par-numbera0">
    <w:name w:val="Par-number (a)"/>
    <w:basedOn w:val="Normal"/>
    <w:next w:val="Normal"/>
    <w:pPr>
      <w:numPr>
        <w:numId w:val="2"/>
      </w:numPr>
      <w:tabs>
        <w:tab w:val="num" w:pos="567"/>
      </w:tabs>
      <w:ind w:left="567" w:hanging="567"/>
      <w:jc w:val="left"/>
    </w:pPr>
  </w:style>
  <w:style w:type="paragraph" w:customStyle="1" w:styleId="AddReference">
    <w:name w:val="Add Reference"/>
    <w:basedOn w:val="Normal"/>
    <w:rsid w:val="003A4C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7655" w:right="-454"/>
      <w:jc w:val="left"/>
    </w:pPr>
    <w:rPr>
      <w:i/>
      <w:sz w:val="20"/>
      <w:lang w:val="en-GB" w:eastAsia="en-US"/>
    </w:rPr>
  </w:style>
  <w:style w:type="paragraph" w:customStyle="1" w:styleId="Point0">
    <w:name w:val="Point 0"/>
    <w:basedOn w:val="Normal"/>
    <w:rsid w:val="00DE3320"/>
    <w:pPr>
      <w:widowControl/>
      <w:spacing w:before="120" w:after="120"/>
      <w:ind w:left="850" w:hanging="850"/>
      <w:jc w:val="left"/>
    </w:pPr>
    <w:rPr>
      <w:szCs w:val="24"/>
      <w:lang w:val="en-GB"/>
    </w:rPr>
  </w:style>
  <w:style w:type="paragraph" w:customStyle="1" w:styleId="Point1">
    <w:name w:val="Point 1"/>
    <w:basedOn w:val="Normal"/>
    <w:rsid w:val="00DE3320"/>
    <w:pPr>
      <w:widowControl/>
      <w:spacing w:before="120" w:after="120"/>
      <w:ind w:left="1417" w:hanging="567"/>
      <w:jc w:val="left"/>
    </w:pPr>
    <w:rPr>
      <w:szCs w:val="24"/>
      <w:lang w:val="en-GB"/>
    </w:rPr>
  </w:style>
  <w:style w:type="paragraph" w:customStyle="1" w:styleId="Titrearticle">
    <w:name w:val="Titre article"/>
    <w:basedOn w:val="Normal"/>
    <w:next w:val="Normal"/>
    <w:rsid w:val="00DE3320"/>
    <w:pPr>
      <w:keepNext/>
      <w:widowControl/>
      <w:spacing w:before="360" w:after="120"/>
      <w:jc w:val="center"/>
    </w:pPr>
    <w:rPr>
      <w:i/>
      <w:iCs/>
      <w:szCs w:val="24"/>
      <w:lang w:val="en-GB"/>
    </w:rPr>
  </w:style>
  <w:style w:type="paragraph" w:customStyle="1" w:styleId="Lignefinal">
    <w:name w:val="Ligne final"/>
    <w:basedOn w:val="Normal"/>
    <w:next w:val="Normal"/>
    <w:rsid w:val="00DE3320"/>
    <w:pPr>
      <w:widowControl/>
      <w:pBdr>
        <w:bottom w:val="single" w:sz="4" w:space="0" w:color="000000"/>
      </w:pBdr>
      <w:spacing w:before="720" w:after="360"/>
      <w:ind w:left="3400" w:right="3400"/>
      <w:jc w:val="center"/>
    </w:pPr>
    <w:rPr>
      <w:b/>
      <w:bCs/>
      <w:szCs w:val="24"/>
      <w:lang w:val="en-GB"/>
    </w:rPr>
  </w:style>
  <w:style w:type="paragraph" w:customStyle="1" w:styleId="CharCharCharCharChar">
    <w:name w:val="Char Char Char Char Char"/>
    <w:basedOn w:val="Normal"/>
    <w:link w:val="DefaultParagraphFont"/>
    <w:rsid w:val="00006C0E"/>
    <w:pPr>
      <w:widowControl/>
      <w:spacing w:line="240" w:lineRule="auto"/>
      <w:jc w:val="left"/>
    </w:pPr>
    <w:rPr>
      <w:szCs w:val="24"/>
      <w:lang w:val="pl-PL" w:eastAsia="pl-PL"/>
    </w:rPr>
  </w:style>
  <w:style w:type="paragraph" w:styleId="DocumentMap">
    <w:name w:val="Document Map"/>
    <w:basedOn w:val="Normal"/>
    <w:semiHidden/>
    <w:rsid w:val="00023166"/>
    <w:pPr>
      <w:shd w:val="clear" w:color="auto" w:fill="000080"/>
      <w:jc w:val="left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Microsoft%20Office\TEMPLATES\_GenSK.dot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853</Words>
  <Characters>5155</Characters>
  <Application>Microsoft Office Word</Application>
  <DocSecurity>0</DocSecurity>
  <Lines>0</Lines>
  <Paragraphs>0</Paragraphs>
  <ScaleCrop>false</ScaleCrop>
  <Company>DTI</Company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</dc:title>
  <dc:creator>UKROPSL</dc:creator>
  <cp:lastModifiedBy>GaspJarm</cp:lastModifiedBy>
  <cp:revision>2</cp:revision>
  <cp:lastPrinted>2004-06-01T11:02:00Z</cp:lastPrinted>
  <dcterms:created xsi:type="dcterms:W3CDTF">2010-11-23T11:51:00Z</dcterms:created>
  <dcterms:modified xsi:type="dcterms:W3CDTF">2010-11-23T11:51:00Z</dcterms:modified>
</cp:coreProperties>
</file>