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39C2" w:rsidP="008439C2">
      <w:pPr>
        <w:jc w:val="both"/>
        <w:rPr>
          <w:rFonts w:ascii="Arial" w:hAnsi="Arial" w:cs="Times New Roman"/>
          <w:b/>
          <w:caps/>
          <w:sz w:val="20"/>
        </w:rPr>
      </w:pPr>
      <w:r>
        <w:rPr>
          <w:rFonts w:ascii="Arial" w:hAnsi="Arial" w:cs="Times New Roman"/>
          <w:b/>
          <w:caps/>
          <w:sz w:val="20"/>
        </w:rPr>
        <w:t>Výbor Národnej rady Slovenskej republiky</w:t>
      </w:r>
    </w:p>
    <w:p w:rsidR="008439C2" w:rsidP="008439C2">
      <w:pPr>
        <w:jc w:val="both"/>
        <w:rPr>
          <w:rFonts w:ascii="Arial" w:hAnsi="Arial" w:cs="Times New Roman"/>
          <w:b/>
          <w:caps/>
          <w:sz w:val="20"/>
        </w:rPr>
      </w:pPr>
      <w:r>
        <w:rPr>
          <w:rFonts w:ascii="Arial" w:hAnsi="Arial" w:cs="Times New Roman"/>
          <w:b/>
          <w:caps/>
          <w:sz w:val="20"/>
        </w:rPr>
        <w:t>pre ľudské práva a národnostné menšiny</w:t>
      </w:r>
    </w:p>
    <w:p w:rsidR="008439C2" w:rsidP="008439C2">
      <w:pPr>
        <w:jc w:val="both"/>
        <w:rPr>
          <w:rFonts w:ascii="Arial" w:hAnsi="Arial" w:cs="Times New Roman"/>
          <w:b/>
          <w:i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ab/>
        <w:tab/>
        <w:tab/>
        <w:tab/>
        <w:tab/>
        <w:tab/>
        <w:tab/>
        <w:tab/>
        <w:tab/>
        <w:tab/>
        <w:t xml:space="preserve">3. schôdza výboru                                                                                                           </w:t>
      </w:r>
    </w:p>
    <w:p w:rsidR="008439C2" w:rsidP="008439C2">
      <w:pPr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ab/>
        <w:tab/>
        <w:tab/>
        <w:tab/>
        <w:tab/>
        <w:tab/>
        <w:tab/>
        <w:tab/>
        <w:tab/>
        <w:tab/>
        <w:t>Č. CRD-</w:t>
      </w:r>
      <w:r w:rsidR="007F183A">
        <w:rPr>
          <w:rFonts w:ascii="Arial" w:hAnsi="Arial" w:cs="Times New Roman"/>
          <w:sz w:val="20"/>
        </w:rPr>
        <w:t>1827</w:t>
      </w:r>
      <w:r>
        <w:rPr>
          <w:rFonts w:ascii="Arial" w:hAnsi="Arial" w:cs="Times New Roman"/>
          <w:sz w:val="20"/>
        </w:rPr>
        <w:t>/2010</w:t>
      </w: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RPr="00081059" w:rsidP="008439C2">
      <w:pPr>
        <w:jc w:val="center"/>
        <w:rPr>
          <w:rFonts w:ascii="Arial" w:hAnsi="Arial" w:cs="Times New Roman"/>
          <w:b/>
          <w:sz w:val="20"/>
        </w:rPr>
      </w:pPr>
      <w:r w:rsidR="002E16EE">
        <w:rPr>
          <w:rFonts w:ascii="Arial" w:hAnsi="Arial" w:cs="Times New Roman"/>
          <w:b/>
          <w:sz w:val="20"/>
        </w:rPr>
        <w:t>11</w:t>
      </w:r>
    </w:p>
    <w:p w:rsidR="008439C2" w:rsidP="008439C2">
      <w:pPr>
        <w:jc w:val="center"/>
        <w:rPr>
          <w:rFonts w:ascii="Arial" w:hAnsi="Arial" w:cs="Times New Roman"/>
          <w:b/>
          <w:spacing w:val="110"/>
          <w:sz w:val="20"/>
          <w:szCs w:val="28"/>
        </w:rPr>
      </w:pPr>
      <w:r>
        <w:rPr>
          <w:rFonts w:ascii="Arial" w:hAnsi="Arial" w:cs="Times New Roman"/>
          <w:b/>
          <w:spacing w:val="110"/>
          <w:sz w:val="20"/>
          <w:szCs w:val="28"/>
        </w:rPr>
        <w:t>Uznes</w:t>
      </w:r>
      <w:r>
        <w:rPr>
          <w:rFonts w:ascii="Arial" w:hAnsi="Arial" w:cs="Times New Roman"/>
          <w:b/>
          <w:spacing w:val="110"/>
          <w:sz w:val="20"/>
          <w:szCs w:val="28"/>
        </w:rPr>
        <w:t>enie</w:t>
      </w:r>
    </w:p>
    <w:p w:rsidR="008439C2" w:rsidP="008439C2">
      <w:pPr>
        <w:jc w:val="center"/>
        <w:rPr>
          <w:rFonts w:ascii="Arial" w:hAnsi="Arial" w:cs="Times New Roman"/>
          <w:b/>
          <w:sz w:val="20"/>
        </w:rPr>
      </w:pPr>
      <w:r>
        <w:rPr>
          <w:rFonts w:ascii="Arial" w:hAnsi="Arial" w:cs="Times New Roman"/>
          <w:b/>
          <w:sz w:val="20"/>
        </w:rPr>
        <w:t>Výboru Národnej rady Slovenskej republiky</w:t>
      </w:r>
    </w:p>
    <w:p w:rsidR="008439C2" w:rsidP="008439C2">
      <w:pPr>
        <w:jc w:val="center"/>
        <w:rPr>
          <w:rFonts w:ascii="Arial" w:hAnsi="Arial" w:cs="Times New Roman"/>
          <w:b/>
          <w:sz w:val="20"/>
        </w:rPr>
      </w:pPr>
      <w:r>
        <w:rPr>
          <w:rFonts w:ascii="Arial" w:hAnsi="Arial" w:cs="Times New Roman"/>
          <w:b/>
          <w:sz w:val="20"/>
        </w:rPr>
        <w:t>pre  ľudské práva a národnostné menšiny</w:t>
      </w:r>
    </w:p>
    <w:p w:rsidR="008439C2" w:rsidP="008439C2">
      <w:pPr>
        <w:jc w:val="center"/>
        <w:rPr>
          <w:rFonts w:ascii="Arial" w:hAnsi="Arial" w:cs="Times New Roman"/>
          <w:b/>
          <w:sz w:val="20"/>
        </w:rPr>
      </w:pPr>
    </w:p>
    <w:p w:rsidR="008439C2" w:rsidP="008439C2">
      <w:pPr>
        <w:jc w:val="center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z 26. augusta 2010</w:t>
      </w: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k vládnemu návrhu zákona, ktorým sa mení zákon č. 301/2005 Z. z. Trestný poriadok v znení neskorších predpisov a ktorým sa mení zákon Slovenskej národnej rady č. 372/1990 Zb. o priestupkoch v znení neskorších predpisov (tlač 28) </w:t>
      </w: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b/>
          <w:sz w:val="20"/>
        </w:rPr>
      </w:pPr>
      <w:r>
        <w:rPr>
          <w:rFonts w:ascii="Arial" w:hAnsi="Arial" w:cs="Times New Roman"/>
          <w:b/>
          <w:i/>
          <w:sz w:val="20"/>
        </w:rPr>
        <w:tab/>
      </w:r>
      <w:r>
        <w:rPr>
          <w:rFonts w:ascii="Arial" w:hAnsi="Arial" w:cs="Times New Roman"/>
          <w:b/>
          <w:sz w:val="20"/>
        </w:rPr>
        <w:t>Výbor Národnej rady Slovenskej republiky</w:t>
      </w:r>
    </w:p>
    <w:p w:rsidR="008439C2" w:rsidP="008439C2">
      <w:pPr>
        <w:jc w:val="both"/>
        <w:rPr>
          <w:rFonts w:ascii="Arial" w:hAnsi="Arial" w:cs="Times New Roman"/>
          <w:b/>
          <w:sz w:val="20"/>
        </w:rPr>
      </w:pPr>
      <w:r>
        <w:rPr>
          <w:rFonts w:ascii="Arial" w:hAnsi="Arial" w:cs="Times New Roman"/>
          <w:b/>
          <w:sz w:val="20"/>
        </w:rPr>
        <w:tab/>
        <w:t>pre ľudské práva a národnostné menšiny</w:t>
      </w:r>
    </w:p>
    <w:p w:rsidR="008439C2" w:rsidP="008439C2">
      <w:pPr>
        <w:jc w:val="both"/>
        <w:rPr>
          <w:rFonts w:ascii="Arial" w:hAnsi="Arial" w:cs="Times New Roman"/>
          <w:b/>
          <w:sz w:val="20"/>
        </w:rPr>
      </w:pPr>
    </w:p>
    <w:p w:rsidR="008439C2" w:rsidP="008439C2">
      <w:pPr>
        <w:jc w:val="center"/>
        <w:rPr>
          <w:rFonts w:ascii="Arial" w:hAnsi="Arial" w:cs="Times New Roman"/>
          <w:b/>
          <w:sz w:val="20"/>
        </w:rPr>
      </w:pPr>
    </w:p>
    <w:p w:rsidR="008439C2" w:rsidP="008439C2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Times New Roman"/>
          <w:b/>
          <w:spacing w:val="110"/>
          <w:sz w:val="20"/>
        </w:rPr>
      </w:pPr>
      <w:r w:rsidR="002E16EE">
        <w:rPr>
          <w:rFonts w:ascii="Arial" w:hAnsi="Arial" w:cs="Times New Roman"/>
          <w:b/>
          <w:spacing w:val="110"/>
          <w:sz w:val="20"/>
        </w:rPr>
        <w:t>súhlasí</w:t>
      </w:r>
    </w:p>
    <w:p w:rsidR="008439C2" w:rsidP="008439C2">
      <w:pPr>
        <w:ind w:left="705"/>
        <w:jc w:val="both"/>
        <w:rPr>
          <w:rFonts w:ascii="Arial" w:hAnsi="Arial" w:cs="Times New Roman"/>
          <w:b/>
          <w:spacing w:val="110"/>
          <w:sz w:val="20"/>
        </w:rPr>
      </w:pPr>
    </w:p>
    <w:p w:rsidR="008439C2" w:rsidP="008439C2">
      <w:pPr>
        <w:ind w:firstLine="705"/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s vládnym návrhom zákona, ktorým sa mení </w:t>
      </w:r>
      <w:r>
        <w:rPr>
          <w:rFonts w:ascii="Arial" w:hAnsi="Arial" w:cs="Times New Roman"/>
          <w:sz w:val="20"/>
        </w:rPr>
        <w:t>zákon č. 301/2005 Z. z. Trestný poriadok v znení neskorších predpisov a ktorým sa mení zákon Slovenskej národnej rady č. 372/1990 Zb. o priestupkoch v znení neskorších predpisov (tlač 28),</w:t>
      </w:r>
    </w:p>
    <w:p w:rsidR="008439C2" w:rsidP="008439C2">
      <w:pPr>
        <w:ind w:left="705"/>
        <w:jc w:val="both"/>
        <w:rPr>
          <w:rFonts w:ascii="Arial" w:hAnsi="Arial" w:cs="Times New Roman"/>
          <w:sz w:val="20"/>
        </w:rPr>
      </w:pPr>
    </w:p>
    <w:p w:rsidR="008439C2" w:rsidP="008439C2">
      <w:pPr>
        <w:tabs>
          <w:tab w:val="left" w:pos="0"/>
          <w:tab w:val="left" w:pos="900"/>
        </w:tabs>
        <w:jc w:val="both"/>
        <w:rPr>
          <w:rFonts w:ascii="Arial" w:hAnsi="Arial" w:cs="Times New Roman"/>
          <w:sz w:val="20"/>
        </w:rPr>
      </w:pPr>
    </w:p>
    <w:p w:rsidR="008439C2" w:rsidP="008439C2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Times New Roman"/>
          <w:b/>
          <w:spacing w:val="110"/>
          <w:sz w:val="20"/>
        </w:rPr>
      </w:pPr>
      <w:r>
        <w:rPr>
          <w:rFonts w:ascii="Arial" w:hAnsi="Arial" w:cs="Times New Roman"/>
          <w:b/>
          <w:spacing w:val="110"/>
          <w:sz w:val="20"/>
        </w:rPr>
        <w:t>odporúča</w:t>
      </w:r>
    </w:p>
    <w:p w:rsidR="008439C2" w:rsidP="008439C2">
      <w:pPr>
        <w:ind w:left="705"/>
        <w:jc w:val="both"/>
        <w:rPr>
          <w:rFonts w:ascii="Arial" w:hAnsi="Arial" w:cs="Times New Roman"/>
          <w:b/>
          <w:spacing w:val="110"/>
          <w:sz w:val="20"/>
        </w:rPr>
      </w:pPr>
    </w:p>
    <w:p w:rsidR="002E16EE" w:rsidP="008439C2">
      <w:pPr>
        <w:ind w:firstLine="705"/>
        <w:jc w:val="both"/>
        <w:rPr>
          <w:rFonts w:ascii="Arial" w:hAnsi="Arial" w:cs="Times New Roman"/>
          <w:b/>
          <w:sz w:val="20"/>
        </w:rPr>
      </w:pPr>
      <w:r w:rsidR="008439C2">
        <w:rPr>
          <w:rFonts w:ascii="Arial" w:hAnsi="Arial" w:cs="Times New Roman"/>
          <w:b/>
          <w:sz w:val="20"/>
        </w:rPr>
        <w:t xml:space="preserve">Národnej rade Slovenskej republiky schváliť </w:t>
      </w:r>
    </w:p>
    <w:p w:rsidR="008439C2" w:rsidP="008439C2">
      <w:pPr>
        <w:ind w:firstLine="705"/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vládny návrh zákona, ktorým sa mení zákon č. 301/2005 Z. z. Trestný poriadok v znení neskorších predpisov a ktorým sa mení zákon Slovenskej národnej rady č. 372/1990 Zb. o priestupkoch v znení neskorších predpisov (tlač 28),</w:t>
      </w: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Times New Roman"/>
          <w:b/>
          <w:spacing w:val="110"/>
          <w:sz w:val="20"/>
        </w:rPr>
      </w:pPr>
      <w:r>
        <w:rPr>
          <w:rFonts w:ascii="Arial" w:hAnsi="Arial" w:cs="Times New Roman"/>
          <w:b/>
          <w:spacing w:val="110"/>
          <w:sz w:val="20"/>
        </w:rPr>
        <w:t>ukladá</w:t>
      </w:r>
    </w:p>
    <w:p w:rsidR="008439C2" w:rsidP="008439C2">
      <w:pPr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 </w:t>
      </w:r>
    </w:p>
    <w:p w:rsidR="008439C2" w:rsidP="008439C2">
      <w:pPr>
        <w:ind w:firstLine="705"/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predsedníčke výboru informovať gestorský Ústavnoprávny výbor Národnej rady Slovenskej republiky o prijatom uznesení. </w:t>
      </w:r>
    </w:p>
    <w:p w:rsidR="008439C2" w:rsidP="008439C2">
      <w:pPr>
        <w:ind w:left="708"/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b/>
          <w:i/>
          <w:sz w:val="20"/>
        </w:rPr>
        <w:tab/>
      </w:r>
      <w:r>
        <w:rPr>
          <w:rFonts w:ascii="Arial" w:hAnsi="Arial" w:cs="Times New Roman"/>
          <w:sz w:val="20"/>
        </w:rPr>
        <w:t xml:space="preserve"> </w:t>
      </w:r>
    </w:p>
    <w:p w:rsidR="008439C2" w:rsidP="008439C2">
      <w:pPr>
        <w:ind w:firstLine="705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 </w:t>
      </w: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</w:p>
    <w:p w:rsidR="008439C2" w:rsidP="008439C2">
      <w:pPr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Jana Žitňanská </w:t>
        <w:tab/>
        <w:tab/>
        <w:tab/>
        <w:tab/>
        <w:tab/>
        <w:tab/>
        <w:tab/>
        <w:tab/>
        <w:tab/>
        <w:t>Anna Belousovová</w:t>
      </w:r>
    </w:p>
    <w:p w:rsidR="008439C2" w:rsidP="008439C2">
      <w:pPr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</w:rPr>
        <w:t xml:space="preserve">overovateľka výboru </w:t>
        <w:tab/>
        <w:tab/>
        <w:tab/>
        <w:tab/>
        <w:tab/>
        <w:tab/>
        <w:tab/>
        <w:tab/>
        <w:t>predsedníčka výboru</w:t>
      </w:r>
    </w:p>
    <w:p w:rsidR="0026396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345"/>
    <w:multiLevelType w:val="hybridMultilevel"/>
    <w:tmpl w:val="84FAFF56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1059"/>
    <w:rsid w:val="00263964"/>
    <w:rsid w:val="002E16EE"/>
    <w:rsid w:val="007F183A"/>
    <w:rsid w:val="008439C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C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113F7"/>
    <w:pPr>
      <w:keepNext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3">
    <w:name w:val="heading 3"/>
    <w:basedOn w:val="Normal"/>
    <w:next w:val="Normal"/>
    <w:qFormat/>
    <w:rsid w:val="003113F7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214</Words>
  <Characters>1220</Characters>
  <Application>Microsoft Office Word</Application>
  <DocSecurity>0</DocSecurity>
  <Lines>0</Lines>
  <Paragraphs>0</Paragraphs>
  <ScaleCrop>false</ScaleCrop>
  <Company>Kancelaria NR SR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sandeleo</dc:creator>
  <cp:lastModifiedBy>MatuOlga</cp:lastModifiedBy>
  <cp:revision>2</cp:revision>
  <cp:lastPrinted>2010-08-26T14:07:00Z</cp:lastPrinted>
  <dcterms:created xsi:type="dcterms:W3CDTF">2010-08-27T08:43:00Z</dcterms:created>
  <dcterms:modified xsi:type="dcterms:W3CDTF">2010-08-27T08:43:00Z</dcterms:modified>
</cp:coreProperties>
</file>