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  <w:p w:rsidR="00D90808" w:rsidP="008F685E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Identifikujte vplyv na hospodárenie domácností a špecifikujte ovplyvnené skupiny domácností, ktoré budú pozitívne/negatívne ovplyvnené.</w:t>
            </w:r>
            <w:r>
              <w:rPr>
                <w:rFonts w:ascii="Times New Roman" w:hAnsi="Times New Roman"/>
                <w:lang w:val="sk-SK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D1325A" w:rsidP="00A32BF1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 w:rsidR="00FC23D3">
              <w:rPr>
                <w:rFonts w:ascii="Times New Roman" w:hAnsi="Times New Roman"/>
                <w:sz w:val="22"/>
                <w:szCs w:val="22"/>
                <w:lang w:val="sk-SK"/>
              </w:rPr>
              <w:t>Návrh bude mať pozitívny vplyv na hospodárenie domácností, resp. na ich príjmy.</w:t>
            </w:r>
          </w:p>
          <w:p w:rsidR="00D1325A" w:rsidP="00D1325A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A.</w:t>
            </w:r>
            <w:r w:rsidR="007421B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Predĺženie účinnosti poskytovania príspevku na podporu zamestnanosti bude mať priaznivý vplyv na udržanie príjmov domácností, ktorých členovia sú ohrozený prepúšťaním.</w:t>
            </w:r>
          </w:p>
          <w:p w:rsidR="00D1325A" w:rsidP="00D1325A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B. Zavedenie nového príspevku bude mať pozitívny vplyv na </w:t>
            </w:r>
            <w:r w:rsidR="007421B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príjem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domácnost</w:t>
            </w:r>
            <w:r w:rsidR="00AE5C79">
              <w:rPr>
                <w:rFonts w:ascii="Times New Roman" w:hAnsi="Times New Roman"/>
                <w:sz w:val="22"/>
                <w:szCs w:val="22"/>
                <w:lang w:val="sk-SK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 nezamestnaným členom a podporí sociálnu inklúziu.</w:t>
            </w:r>
          </w:p>
          <w:p w:rsidR="00D1325A" w:rsidP="00D1325A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C.  Ustanovenie minimálneho rozsahu trvania výkonu absolventskej praxe pozitívne ovplyvní </w:t>
            </w:r>
            <w:r w:rsidR="00AE5C79">
              <w:rPr>
                <w:rFonts w:ascii="Times New Roman" w:hAnsi="Times New Roman"/>
                <w:sz w:val="22"/>
                <w:szCs w:val="22"/>
                <w:lang w:val="sk-SK"/>
              </w:rPr>
              <w:t>dĺžku poberania príspevku a tým z</w:t>
            </w:r>
            <w:r w:rsidR="00121F9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abezpečí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príj</w:t>
            </w:r>
            <w:r w:rsidR="00121F9B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m domácností s členom, ktorý je absolvent školy.</w:t>
            </w:r>
          </w:p>
          <w:p w:rsidR="00D1325A" w:rsidP="00D1325A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D. Vypustenie príspevkov nebude mať výrazný negatívny vplyv, pretože v predchádzajúcich rokoch využilo možnosť požiadať o príspevok iba cca. 40 osôb.</w:t>
            </w:r>
          </w:p>
          <w:p w:rsidR="00D90808" w:rsidRPr="008F685E" w:rsidP="007421B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AA0C7B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7421B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- H</w:t>
            </w:r>
            <w:r w:rsidR="00D1325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</w:t>
            </w:r>
            <w:r w:rsidR="007421BE">
              <w:rPr>
                <w:rFonts w:ascii="Times New Roman" w:hAnsi="Times New Roman"/>
                <w:sz w:val="22"/>
                <w:szCs w:val="22"/>
                <w:lang w:val="sk-SK"/>
              </w:rPr>
              <w:t>Úpravou</w:t>
            </w:r>
            <w:r w:rsidR="00D1325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AA0C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navrhovaných </w:t>
            </w:r>
            <w:r w:rsidR="00D1325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podmienok </w:t>
            </w:r>
            <w:r w:rsidR="007421BE">
              <w:rPr>
                <w:rFonts w:ascii="Times New Roman" w:hAnsi="Times New Roman"/>
                <w:sz w:val="22"/>
                <w:szCs w:val="22"/>
                <w:lang w:val="sk-SK"/>
              </w:rPr>
              <w:t>nepredpokladáme výrazný negatívny</w:t>
            </w:r>
            <w:r w:rsidR="007D098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vplyv na hospodárenie domácností.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819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8F685E" w:rsidRPr="00080D30" w:rsidP="008F685E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080D30">
              <w:rPr>
                <w:rFonts w:ascii="Times New Roman" w:hAnsi="Times New Roman"/>
                <w:b/>
                <w:lang w:val="sk-SK"/>
              </w:rPr>
              <w:t xml:space="preserve">Kvantifikujte: </w:t>
            </w:r>
          </w:p>
          <w:p w:rsidR="008F685E" w:rsidRPr="008F685E" w:rsidP="008F685E">
            <w:pPr>
              <w:numPr>
                <w:ilvl w:val="1"/>
                <w:numId w:val="10"/>
              </w:num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Rast alebo pokles príjmov/výdavkov na priemerného obyvateľa</w:t>
            </w:r>
          </w:p>
          <w:p w:rsidR="008F685E" w:rsidRPr="008F685E" w:rsidP="008F685E">
            <w:pPr>
              <w:numPr>
                <w:ilvl w:val="1"/>
                <w:numId w:val="10"/>
              </w:num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Rast alebo pokles príjmov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výdavkov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za jednotlivé ovplyvnené  skupiny domácností</w:t>
            </w:r>
          </w:p>
          <w:p w:rsidR="008F685E" w:rsidRPr="00080D30" w:rsidP="008F685E">
            <w:pPr>
              <w:numPr>
                <w:ilvl w:val="1"/>
                <w:numId w:val="10"/>
              </w:num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Celkový počet obyvateľstva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domácností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ovplyvnených predkladaným materiálom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FC23D3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7421BE" w:rsidP="007421B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8F685E" w:rsidR="008F685E">
              <w:rPr>
                <w:rFonts w:ascii="Times New Roman" w:hAnsi="Times New Roman"/>
                <w:sz w:val="22"/>
                <w:szCs w:val="22"/>
                <w:lang w:val="sk-SK"/>
              </w:rPr>
              <w:t>Počet obyvateľov ovplyvnených predkladaným materiálom sa predpokladá</w:t>
            </w:r>
            <w:r w:rsidR="00367B3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každoročne</w:t>
            </w:r>
            <w:r w:rsidRPr="008F685E"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367B3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do </w:t>
            </w:r>
            <w:r w:rsidRPr="000B61A7" w:rsidR="00367B30">
              <w:rPr>
                <w:rFonts w:ascii="Times New Roman" w:hAnsi="Times New Roman"/>
                <w:sz w:val="22"/>
                <w:szCs w:val="22"/>
                <w:lang w:val="sk-SK"/>
              </w:rPr>
              <w:t>cca</w:t>
            </w:r>
            <w:r w:rsidRPr="000B61A7"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</w:t>
            </w:r>
            <w:r w:rsidRPr="000B61A7" w:rsidR="000B61A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20 </w:t>
            </w:r>
            <w:r w:rsidR="000B61A7">
              <w:rPr>
                <w:rFonts w:ascii="Times New Roman" w:hAnsi="Times New Roman"/>
                <w:sz w:val="22"/>
                <w:szCs w:val="22"/>
                <w:lang w:val="sk-SK"/>
              </w:rPr>
              <w:t>až</w:t>
            </w:r>
            <w:r w:rsidRPr="000B61A7" w:rsidR="000B61A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0B61A7" w:rsidR="00367B30">
              <w:rPr>
                <w:rFonts w:ascii="Times New Roman" w:hAnsi="Times New Roman"/>
                <w:sz w:val="22"/>
                <w:szCs w:val="22"/>
                <w:lang w:val="sk-SK"/>
              </w:rPr>
              <w:t>3</w:t>
            </w:r>
            <w:r w:rsidRPr="000B61A7" w:rsidR="000C38E4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Pr="000B61A7"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tis. osôb</w:t>
            </w:r>
            <w:r w:rsidRPr="000B61A7" w:rsidR="000B61A7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Počty ovplyvnených osôb sú vyčíslené podľa </w:t>
            </w:r>
            <w:r w:rsidR="00121F9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jednotlivých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rokov v prílohe č. 2 v kapitole 2.3.3.</w:t>
            </w:r>
          </w:p>
          <w:p w:rsidR="009A4D87" w:rsidP="000B61A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 w:rsidP="00BF700C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D90808" w:rsidP="008F685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8F685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4.2.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6A7603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D90808" w:rsidP="00121F9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8F685E" w:rsidR="00845A7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Navrhované zmeny napomôžu predísť sociálnemu vylúčeniu napr.  zamestnancom ohrozeným </w:t>
            </w:r>
            <w:r w:rsidR="00121F9B">
              <w:rPr>
                <w:rFonts w:ascii="Times New Roman" w:hAnsi="Times New Roman"/>
                <w:sz w:val="22"/>
                <w:szCs w:val="22"/>
                <w:lang w:val="sk-SK"/>
              </w:rPr>
              <w:t>stratou zamestnania</w:t>
            </w:r>
            <w:r w:rsidRPr="008F685E" w:rsidR="00845A74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0C38E4">
              <w:rPr>
                <w:rFonts w:ascii="Times New Roman" w:hAnsi="Times New Roman"/>
                <w:sz w:val="22"/>
                <w:szCs w:val="22"/>
                <w:lang w:val="sk-SK"/>
              </w:rPr>
              <w:t>O</w:t>
            </w:r>
            <w:r w:rsidRPr="008F685E" w:rsidR="006A7603">
              <w:rPr>
                <w:rFonts w:ascii="Times New Roman" w:hAnsi="Times New Roman"/>
                <w:sz w:val="22"/>
                <w:szCs w:val="22"/>
                <w:lang w:val="sk-SK"/>
              </w:rPr>
              <w:t>vplyvnia</w:t>
            </w:r>
            <w:r w:rsidR="00367B3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najmä z</w:t>
            </w:r>
            <w:r w:rsidRPr="008F685E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amestnancov, ktorých príjmy </w:t>
            </w:r>
            <w:r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zo zamestnania </w:t>
            </w:r>
            <w:r w:rsidRPr="008F685E" w:rsidR="006A7603">
              <w:rPr>
                <w:rFonts w:ascii="Times New Roman" w:hAnsi="Times New Roman"/>
                <w:sz w:val="22"/>
                <w:szCs w:val="22"/>
                <w:lang w:val="sk-SK"/>
              </w:rPr>
              <w:t>sa udržia  prostredníctvom poskytovania príspevku na podporu udržania zamestnanosti (§ 50d),</w:t>
            </w:r>
            <w:r w:rsidR="00A03A8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0C38E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uchádzačom o zamestnanie sa zvýšia príjmy v dôsledku zamestnania sa prostredníctvom príspevku </w:t>
            </w:r>
            <w:r w:rsidR="005A390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 podporu zamestnanosti </w:t>
            </w:r>
            <w:r w:rsidR="000C38E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 </w:t>
            </w:r>
            <w:r w:rsidR="005A3905">
              <w:rPr>
                <w:rFonts w:ascii="Times New Roman" w:hAnsi="Times New Roman"/>
                <w:sz w:val="22"/>
                <w:szCs w:val="22"/>
                <w:lang w:val="sk-SK"/>
              </w:rPr>
              <w:t>realizáciu opatrení na ochranu pred povodňami a </w:t>
            </w:r>
            <w:r w:rsidR="000C38E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na riešenie následkov mimoriadnej situácie</w:t>
            </w:r>
            <w:r w:rsidR="005A390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</w:t>
            </w:r>
            <w:r w:rsidR="000C38E4">
              <w:rPr>
                <w:rFonts w:ascii="Times New Roman" w:hAnsi="Times New Roman"/>
                <w:sz w:val="22"/>
                <w:szCs w:val="22"/>
                <w:lang w:val="sk-SK"/>
              </w:rPr>
              <w:t>(§ 50 j)</w:t>
            </w:r>
            <w:r w:rsidR="00650DE8">
              <w:rPr>
                <w:rFonts w:ascii="Times New Roman" w:hAnsi="Times New Roman"/>
                <w:sz w:val="22"/>
                <w:szCs w:val="22"/>
                <w:lang w:val="sk-SK"/>
              </w:rPr>
              <w:t>, ustanovením minimálneho rozsahu trvania absolventskej pra</w:t>
            </w:r>
            <w:r w:rsidR="00121F9B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  <w:r w:rsidR="00650DE8">
              <w:rPr>
                <w:rFonts w:ascii="Times New Roman" w:hAnsi="Times New Roman"/>
                <w:sz w:val="22"/>
                <w:szCs w:val="22"/>
                <w:lang w:val="sk-SK"/>
              </w:rPr>
              <w:t>e predpokladáme predĺženie doby poberania príjmu absolventov škôl. Úpravou podmienok poskytovania príspevkov podľa §56, §56a, §57 nepredpokladáme výrazný negatívny vplyv na zamestnancov/SZČO so ZP.</w:t>
            </w:r>
            <w:r w:rsidR="00E1365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D90808" w:rsidRPr="008F685E" w:rsidP="008F68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4.3.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Zhodnoťt</w:t>
            </w:r>
            <w:r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 vplyv na rovnosť príležitostí.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Zhodnoťte vplyv na rodovú rovnosť.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 w:rsidR="00D90808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  <w:p w:rsidR="00D90808" w:rsidRPr="008F68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Predkladaný návrh nepredpokladá negatívny vplyv na rovnosť príležitostí a na </w:t>
            </w:r>
            <w:r w:rsidRPr="008F685E" w:rsidR="00450781">
              <w:rPr>
                <w:rFonts w:ascii="Times New Roman" w:hAnsi="Times New Roman"/>
                <w:sz w:val="22"/>
                <w:szCs w:val="22"/>
                <w:lang w:val="sk-SK"/>
              </w:rPr>
              <w:t>rodovú rovnosť</w:t>
            </w:r>
            <w:r w:rsidRPr="008F685E" w:rsidR="0081716F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4.4.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Zhodnoťte vplyvy na zamestnanosť.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D90808" w:rsidRPr="008F685E" w:rsidP="008F685E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Aké sú  vplyvy na zamestnanosť?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Ktoré skupiny zamestnancov budú ohrozené schválením predkladaného materiálu?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Hrozí v prípade schválenia predkladaného materiálu hromadné prepúšťanie?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2366" w:rsidP="006A760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90808" w:rsidRPr="00582366" w:rsidP="001A69A1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>Navrhovan</w:t>
            </w:r>
            <w:r w:rsidRPr="00582366" w:rsidR="008F685E">
              <w:rPr>
                <w:rFonts w:ascii="Times New Roman" w:hAnsi="Times New Roman"/>
                <w:sz w:val="22"/>
                <w:szCs w:val="22"/>
                <w:lang w:val="sk-SK"/>
              </w:rPr>
              <w:t>ými</w:t>
            </w: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zmen</w:t>
            </w:r>
            <w:r w:rsidRPr="00582366" w:rsidR="008F685E">
              <w:rPr>
                <w:rFonts w:ascii="Times New Roman" w:hAnsi="Times New Roman"/>
                <w:sz w:val="22"/>
                <w:szCs w:val="22"/>
                <w:lang w:val="sk-SK"/>
              </w:rPr>
              <w:t>ami sa predpokladá</w:t>
            </w: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celkovo pozitívny vplyv na zamestnanosť, najmä predĺžením účinnosti poskytovania príspevku na podporu udržania zamestnanosti až do konca roku 2011</w:t>
            </w:r>
            <w:r w:rsidR="000C38E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zavedením nového príspevku na podporu zamestnanosti na </w:t>
            </w:r>
            <w:r w:rsidR="005A390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realizáciu opatrení na ochranu pred povodňami a na </w:t>
            </w:r>
            <w:r w:rsidR="000C38E4">
              <w:rPr>
                <w:rFonts w:ascii="Times New Roman" w:hAnsi="Times New Roman"/>
                <w:sz w:val="22"/>
                <w:szCs w:val="22"/>
                <w:lang w:val="sk-SK"/>
              </w:rPr>
              <w:t>riešenie následkov mimoriadnej situácie</w:t>
            </w: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Mierny negatívny vplyv na zamestnanosť </w:t>
            </w:r>
            <w:r w:rsidRPr="00582366"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môže mať </w:t>
            </w: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iba </w:t>
            </w:r>
            <w:r w:rsidRPr="00582366"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zrušenie </w:t>
            </w: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príspevku na presťahovanie za prácou, </w:t>
            </w:r>
            <w:r w:rsidRPr="00453509" w:rsidR="00453509">
              <w:rPr>
                <w:rFonts w:ascii="Times New Roman" w:hAnsi="Times New Roman"/>
                <w:sz w:val="22"/>
                <w:szCs w:val="22"/>
                <w:lang w:val="sk-SK"/>
              </w:rPr>
              <w:t>ktorý ročne využilo v priemere 40 žiadateľov</w:t>
            </w:r>
            <w:r w:rsidR="00367B30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</w:tr>
    </w:tbl>
    <w:p w:rsidR="00D90808" w:rsidP="006A7603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sectPr w:rsidSect="001E6B9F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66" w:rsidP="001E6B9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8236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66" w:rsidP="001E6B9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F700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58236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6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  <w:p w:rsidR="00582366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6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1F9"/>
    <w:multiLevelType w:val="multilevel"/>
    <w:tmpl w:val="7CDECDC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97"/>
        </w:tabs>
        <w:ind w:left="1497" w:hanging="357"/>
      </w:pPr>
      <w:rPr>
        <w:rFonts w:ascii="Candara" w:eastAsia="Candara" w:hAnsi="Candara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D71E76"/>
    <w:multiLevelType w:val="hybridMultilevel"/>
    <w:tmpl w:val="A348955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ndara" w:eastAsia="Candara" w:hAnsi="Candara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5D5589"/>
    <w:multiLevelType w:val="hybridMultilevel"/>
    <w:tmpl w:val="7B3297E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4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E35C12"/>
    <w:multiLevelType w:val="hybridMultilevel"/>
    <w:tmpl w:val="98C4114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>
      <w:start w:val="0"/>
      <w:numFmt w:val="bullet"/>
      <w:lvlText w:val="-"/>
      <w:lvlJc w:val="left"/>
      <w:pPr>
        <w:tabs>
          <w:tab w:val="num" w:pos="1497"/>
        </w:tabs>
        <w:ind w:left="1497" w:hanging="357"/>
      </w:pPr>
      <w:rPr>
        <w:rFonts w:ascii="Candara" w:eastAsia="Candara" w:hAnsi="Candara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6F38B6"/>
    <w:multiLevelType w:val="hybridMultilevel"/>
    <w:tmpl w:val="F014EDA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25C5F"/>
    <w:rsid w:val="00067A8A"/>
    <w:rsid w:val="00080D30"/>
    <w:rsid w:val="00095ECD"/>
    <w:rsid w:val="000978E2"/>
    <w:rsid w:val="000B61A7"/>
    <w:rsid w:val="000C38E4"/>
    <w:rsid w:val="000F0583"/>
    <w:rsid w:val="00121F9B"/>
    <w:rsid w:val="00157AFC"/>
    <w:rsid w:val="001A69A1"/>
    <w:rsid w:val="001E6B9F"/>
    <w:rsid w:val="002160D4"/>
    <w:rsid w:val="0030358C"/>
    <w:rsid w:val="0030588D"/>
    <w:rsid w:val="003173CA"/>
    <w:rsid w:val="00367B30"/>
    <w:rsid w:val="00411659"/>
    <w:rsid w:val="00450781"/>
    <w:rsid w:val="00453509"/>
    <w:rsid w:val="00467028"/>
    <w:rsid w:val="004A132F"/>
    <w:rsid w:val="004C224C"/>
    <w:rsid w:val="00502DAC"/>
    <w:rsid w:val="00514930"/>
    <w:rsid w:val="00537D94"/>
    <w:rsid w:val="005409A7"/>
    <w:rsid w:val="00582366"/>
    <w:rsid w:val="005A3905"/>
    <w:rsid w:val="00612275"/>
    <w:rsid w:val="00650DE8"/>
    <w:rsid w:val="006A7603"/>
    <w:rsid w:val="006F7F7E"/>
    <w:rsid w:val="007421BE"/>
    <w:rsid w:val="0076740E"/>
    <w:rsid w:val="0079649F"/>
    <w:rsid w:val="007970B7"/>
    <w:rsid w:val="007D098C"/>
    <w:rsid w:val="0081716F"/>
    <w:rsid w:val="00822C4E"/>
    <w:rsid w:val="00822F36"/>
    <w:rsid w:val="00845A74"/>
    <w:rsid w:val="008962D3"/>
    <w:rsid w:val="008A3D2A"/>
    <w:rsid w:val="008C3A69"/>
    <w:rsid w:val="008C6ECD"/>
    <w:rsid w:val="008F685E"/>
    <w:rsid w:val="009A4D87"/>
    <w:rsid w:val="009A6F38"/>
    <w:rsid w:val="00A03A8B"/>
    <w:rsid w:val="00A11652"/>
    <w:rsid w:val="00A32BF1"/>
    <w:rsid w:val="00A56252"/>
    <w:rsid w:val="00AA0C7B"/>
    <w:rsid w:val="00AB6F90"/>
    <w:rsid w:val="00AE5C79"/>
    <w:rsid w:val="00B81D3A"/>
    <w:rsid w:val="00BF700C"/>
    <w:rsid w:val="00C20F90"/>
    <w:rsid w:val="00D1325A"/>
    <w:rsid w:val="00D17453"/>
    <w:rsid w:val="00D51DDE"/>
    <w:rsid w:val="00D5235B"/>
    <w:rsid w:val="00D90808"/>
    <w:rsid w:val="00DE2946"/>
    <w:rsid w:val="00E13655"/>
    <w:rsid w:val="00E42093"/>
    <w:rsid w:val="00F03C03"/>
    <w:rsid w:val="00F13D72"/>
    <w:rsid w:val="00F577F3"/>
    <w:rsid w:val="00F610BA"/>
    <w:rsid w:val="00F906B8"/>
    <w:rsid w:val="00FC23D3"/>
    <w:rsid w:val="00FD075A"/>
    <w:rsid w:val="00FD75C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pPr>
      <w:jc w:val="left"/>
    </w:pPr>
    <w:rPr>
      <w:b/>
      <w:szCs w:val="20"/>
      <w:lang w:val="sk-SK"/>
    </w:rPr>
  </w:style>
  <w:style w:type="character" w:styleId="FootnoteReference">
    <w:name w:val="footnote reference"/>
    <w:aliases w:val="Footnote reference number,Footnote symbol"/>
    <w:basedOn w:val="DefaultParagraphFont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footnote text,single space"/>
    <w:basedOn w:val="Normal"/>
    <w:semiHidden/>
    <w:pPr>
      <w:jc w:val="left"/>
    </w:pPr>
    <w:rPr>
      <w:sz w:val="20"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locked/>
    <w:rsid w:val="006A7603"/>
    <w:rPr>
      <w:rFonts w:cs="Times New Roman"/>
      <w:b/>
      <w:sz w:val="24"/>
      <w:rtl w:val="0"/>
      <w:cs w:val="0"/>
    </w:rPr>
  </w:style>
  <w:style w:type="paragraph" w:styleId="BalloonText">
    <w:name w:val="Balloon Text"/>
    <w:basedOn w:val="Normal"/>
    <w:link w:val="TextbublinyChar"/>
    <w:rsid w:val="008A3D2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A3D2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442</Words>
  <Characters>3054</Characters>
  <Application>Microsoft Office Word</Application>
  <DocSecurity>0</DocSecurity>
  <Lines>0</Lines>
  <Paragraphs>0</Paragraphs>
  <ScaleCrop>false</ScaleCrop>
  <Company>mhsr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GaspJarm</cp:lastModifiedBy>
  <cp:revision>2</cp:revision>
  <cp:lastPrinted>2010-08-03T11:40:00Z</cp:lastPrinted>
  <dcterms:created xsi:type="dcterms:W3CDTF">2010-11-24T14:01:00Z</dcterms:created>
  <dcterms:modified xsi:type="dcterms:W3CDTF">2010-11-24T14:01:00Z</dcterms:modified>
</cp:coreProperties>
</file>