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3.1</w:t>
            </w:r>
            <w:r w:rsidRPr="00EB7C20">
              <w:rPr>
                <w:rFonts w:ascii="Times New Roman" w:hAnsi="Times New Roman"/>
                <w:sz w:val="22"/>
                <w:szCs w:val="22"/>
                <w:lang w:val="sk-SK"/>
              </w:rPr>
              <w:t>. Ktoré podnikateľské subjekty budú predkladaným návrhom ovplyvnené a aký je ich počet?</w:t>
            </w: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3398E" w:rsidRPr="00EB7C20" w:rsidP="00C3398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 w:rsidR="00B90380">
              <w:rPr>
                <w:rFonts w:ascii="Times New Roman" w:hAnsi="Times New Roman"/>
                <w:sz w:val="22"/>
                <w:szCs w:val="22"/>
                <w:lang w:val="sk-SK"/>
              </w:rPr>
              <w:t>Návrh bude mať pozitívny vplyv najmä na</w:t>
            </w:r>
            <w:r w:rsidRPr="00EB7C20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</w:p>
          <w:p w:rsidR="00C3398E" w:rsidRPr="00EB7C20" w:rsidP="00EB7C20">
            <w:pPr>
              <w:numPr>
                <w:numId w:val="12"/>
              </w:num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 w:rsidR="00B90380">
              <w:rPr>
                <w:rFonts w:ascii="Times New Roman" w:hAnsi="Times New Roman"/>
                <w:sz w:val="22"/>
                <w:szCs w:val="22"/>
                <w:lang w:val="sk-SK"/>
              </w:rPr>
              <w:t>zamestnávateľov, ktorí budú môcť požiadať o príspevok na podporu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udržania</w:t>
            </w:r>
            <w:r w:rsidRPr="00EB7C20" w:rsidR="00B9038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zamestnanosti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podľa § 50d</w:t>
            </w:r>
            <w:r w:rsidRPr="00EB7C20" w:rsidR="00B9038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aj v roku 2011, </w:t>
            </w:r>
          </w:p>
          <w:p w:rsidR="003B0B8B" w:rsidP="00EB7C20">
            <w:pPr>
              <w:numPr>
                <w:numId w:val="12"/>
              </w:num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 w:rsidR="00B90380">
              <w:rPr>
                <w:rFonts w:ascii="Times New Roman" w:hAnsi="Times New Roman"/>
                <w:sz w:val="22"/>
                <w:szCs w:val="22"/>
                <w:lang w:val="sk-SK"/>
              </w:rPr>
              <w:t>obce</w:t>
            </w:r>
            <w:r w:rsidRPr="00EB7C20" w:rsidR="00C339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ďalšie </w:t>
            </w:r>
            <w:r w:rsidRPr="00EB7C20" w:rsidR="00C3398E">
              <w:rPr>
                <w:rFonts w:ascii="Times New Roman" w:hAnsi="Times New Roman"/>
                <w:sz w:val="22"/>
                <w:szCs w:val="22"/>
                <w:lang w:val="sk-SK"/>
              </w:rPr>
              <w:t>oprávnené subjekty,</w:t>
            </w:r>
            <w:r w:rsidRPr="00EB7C20" w:rsidR="00B9038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ktoré</w:t>
            </w:r>
            <w:r w:rsidRPr="00EB7C20" w:rsidR="00C339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budú môcť využívať príspevok na podporu zamestnanosti na realizáciu opatrení na ochranu pred povodňami na riešenie následkov mimoriadnej situácie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(§ 50j)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:rsidR="00EB7C20" w:rsidRPr="00EB7C20" w:rsidP="00EB7C20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3.2</w:t>
            </w:r>
            <w:r w:rsidRPr="00EB7C20">
              <w:rPr>
                <w:rFonts w:ascii="Times New Roman" w:hAnsi="Times New Roman"/>
                <w:sz w:val="22"/>
                <w:szCs w:val="22"/>
                <w:lang w:val="sk-SK"/>
              </w:rPr>
              <w:t>. Aký je predpokladaný charakter a rozsah nákladov a prínosov?</w:t>
            </w: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B7C20">
            <w:pPr>
              <w:bidi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B7C20" w:rsidR="00C3398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Prínosy z navrhovaných zmien 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pt-BR"/>
              </w:rPr>
              <w:t>sa prejavia v</w:t>
            </w:r>
            <w:r w:rsidRPr="00EB7C20" w:rsidR="00C3398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znížení nákladov na úhradu preddavku na poistné na zdravotné poistenie a sociálne poistenie platených zamestnávateľo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pt-BR"/>
              </w:rPr>
              <w:t>m</w:t>
            </w:r>
            <w:r w:rsidRPr="00EB7C20" w:rsidR="00C3398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a zamestnancom aj v roku </w:t>
            </w:r>
            <w:smartTag w:uri="urn:schemas-microsoft-com:office:smarttags" w:element="metricconverter">
              <w:smartTagPr>
                <w:attr w:name="ProductID" w:val="2011, a"/>
              </w:smartTagPr>
              <w:r w:rsidRPr="00EB7C20" w:rsidR="00C3398E">
                <w:rPr>
                  <w:rFonts w:ascii="Times New Roman" w:hAnsi="Times New Roman"/>
                  <w:sz w:val="22"/>
                  <w:szCs w:val="22"/>
                  <w:lang w:val="pt-BR"/>
                </w:rPr>
                <w:t>2011</w:t>
              </w:r>
              <w:r w:rsidR="00EB7C20">
                <w:rPr>
                  <w:rFonts w:ascii="Times New Roman" w:hAnsi="Times New Roman"/>
                  <w:sz w:val="22"/>
                  <w:szCs w:val="22"/>
                  <w:lang w:val="pt-BR"/>
                </w:rPr>
                <w:t>,</w:t>
              </w:r>
              <w:r w:rsidRPr="00EB7C20" w:rsidR="00C3398E">
                <w:rPr>
                  <w:rFonts w:ascii="Times New Roman" w:hAnsi="Times New Roman"/>
                  <w:sz w:val="22"/>
                  <w:szCs w:val="22"/>
                  <w:lang w:val="pt-BR"/>
                </w:rPr>
                <w:t xml:space="preserve"> a</w:t>
              </w:r>
            </w:smartTag>
            <w:r w:rsidRPr="00EB7C20" w:rsidR="00C3398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to predĺžením účinnosti príspevku na podporu zamestnanosti</w:t>
            </w:r>
            <w:r w:rsidR="00EB7C2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podľa § 50d</w:t>
            </w:r>
            <w:r w:rsidRPr="00EB7C20" w:rsidR="00C3398E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  <w:p w:rsidR="00C3398E" w:rsidRPr="00EB7C20" w:rsidP="003D71D3">
            <w:pPr>
              <w:bidi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="00EB7C20">
              <w:rPr>
                <w:rFonts w:ascii="Times New Roman" w:hAnsi="Times New Roman"/>
                <w:sz w:val="22"/>
                <w:szCs w:val="22"/>
                <w:lang w:val="pt-BR"/>
              </w:rPr>
              <w:t>Prostredníctvom príspevku podľa § 50j</w:t>
            </w:r>
            <w:r w:rsidRPr="00EB7C2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bude </w:t>
            </w:r>
            <w:r w:rsidR="00EB7C2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zamestnávateľom </w:t>
            </w:r>
            <w:r w:rsidRPr="00EB7C20">
              <w:rPr>
                <w:rFonts w:ascii="Times New Roman" w:hAnsi="Times New Roman"/>
                <w:sz w:val="22"/>
                <w:szCs w:val="22"/>
                <w:lang w:val="pt-BR"/>
              </w:rPr>
              <w:t>poskytovan</w:t>
            </w:r>
            <w:r w:rsidR="00EB7C20">
              <w:rPr>
                <w:rFonts w:ascii="Times New Roman" w:hAnsi="Times New Roman"/>
                <w:sz w:val="22"/>
                <w:szCs w:val="22"/>
                <w:lang w:val="pt-BR"/>
              </w:rPr>
              <w:t>á</w:t>
            </w:r>
            <w:r w:rsidRPr="00EB7C2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EB7C20" w:rsidR="003D71D3">
              <w:rPr>
                <w:rFonts w:ascii="Times New Roman" w:hAnsi="Times New Roman"/>
                <w:sz w:val="22"/>
                <w:szCs w:val="22"/>
                <w:lang w:val="pt-BR"/>
              </w:rPr>
              <w:t>úhrad</w:t>
            </w:r>
            <w:r w:rsidR="00EB7C20">
              <w:rPr>
                <w:rFonts w:ascii="Times New Roman" w:hAnsi="Times New Roman"/>
                <w:sz w:val="22"/>
                <w:szCs w:val="22"/>
                <w:lang w:val="pt-BR"/>
              </w:rPr>
              <w:t>a</w:t>
            </w:r>
            <w:r w:rsidRPr="00EB7C20" w:rsidR="003D71D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časti mzdových nákladov </w:t>
            </w:r>
            <w:r w:rsidR="00EB7C2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zamestnanca, prijatého z evidencie uchádzačov o zamestnanie a obciam aj </w:t>
            </w:r>
            <w:r w:rsidRPr="00EB7C20" w:rsidR="003D71D3">
              <w:rPr>
                <w:rFonts w:ascii="Times New Roman" w:hAnsi="Times New Roman"/>
                <w:sz w:val="22"/>
                <w:szCs w:val="22"/>
                <w:lang w:val="pt-BR"/>
              </w:rPr>
              <w:t>úhrad</w:t>
            </w:r>
            <w:r w:rsidR="00EB7C20">
              <w:rPr>
                <w:rFonts w:ascii="Times New Roman" w:hAnsi="Times New Roman"/>
                <w:sz w:val="22"/>
                <w:szCs w:val="22"/>
                <w:lang w:val="pt-BR"/>
              </w:rPr>
              <w:t>a</w:t>
            </w:r>
            <w:r w:rsidRPr="00EB7C20" w:rsidR="003D71D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časti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EB7C20" w:rsidR="003D71D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nákladov </w:t>
            </w:r>
            <w:r w:rsidRPr="00EB7C20">
              <w:rPr>
                <w:rFonts w:ascii="Times New Roman" w:hAnsi="Times New Roman"/>
                <w:sz w:val="22"/>
                <w:szCs w:val="22"/>
                <w:lang w:val="pt-BR"/>
              </w:rPr>
              <w:t>na pracovné náradie.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3.3</w:t>
            </w:r>
            <w:r w:rsidRPr="00EB7C20">
              <w:rPr>
                <w:rFonts w:ascii="Times New Roman" w:hAnsi="Times New Roman"/>
                <w:sz w:val="22"/>
                <w:szCs w:val="22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 w:rsidRPr="00EB7C20">
            <w:pPr>
              <w:bidi w:val="0"/>
              <w:ind w:left="360" w:hanging="36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B7C20" w:rsidP="003D71D3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 w:rsidR="003D71D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Návrh nezavádza 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nové </w:t>
            </w:r>
            <w:r w:rsidRPr="00EB7C20" w:rsidR="003D71D3">
              <w:rPr>
                <w:rFonts w:ascii="Times New Roman" w:hAnsi="Times New Roman"/>
                <w:sz w:val="22"/>
                <w:szCs w:val="22"/>
                <w:lang w:val="sk-SK"/>
              </w:rPr>
              <w:t>povinnosti pre zamestnávateľov, ktoré priamo ovplyvňujú zvýšenie administratívnych nákladov a ktoré musia podnikateľské subjekty znášať v dôsledku zavedenia navrhovaných zmien.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3.4</w:t>
            </w:r>
            <w:r w:rsidRPr="00EB7C20">
              <w:rPr>
                <w:rFonts w:ascii="Times New Roman" w:hAnsi="Times New Roman"/>
                <w:sz w:val="22"/>
                <w:szCs w:val="22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 w:rsidRPr="00EB7C20">
            <w:pPr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B7C20" w:rsidP="00317C3B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 w:rsidR="003D71D3">
              <w:rPr>
                <w:rFonts w:ascii="Times New Roman" w:hAnsi="Times New Roman"/>
                <w:sz w:val="22"/>
                <w:szCs w:val="22"/>
                <w:lang w:val="sk-SK"/>
              </w:rPr>
              <w:t>Dôsledky pripravovaného návrhu majú pozitívny vplyv na</w:t>
            </w:r>
            <w:r w:rsidRPr="00EB7C20" w:rsidR="006351A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fungovanie podnikateľských subjektov a udržanie sa na trhu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EB7C20" w:rsidR="006351A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to znížením mzdových nákladov a zároveň udržaním zamestnanosti najmä prostredníctvom príspevku na 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podporu </w:t>
            </w:r>
            <w:r w:rsidRPr="00EB7C20" w:rsidR="006351A6">
              <w:rPr>
                <w:rFonts w:ascii="Times New Roman" w:hAnsi="Times New Roman"/>
                <w:sz w:val="22"/>
                <w:szCs w:val="22"/>
                <w:lang w:val="sk-SK"/>
              </w:rPr>
              <w:t>udržani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Pr="00EB7C20" w:rsidR="006351A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zamestnanosti</w:t>
            </w:r>
            <w:r w:rsidR="00EB7C2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(§ 50d)</w:t>
            </w:r>
            <w:r w:rsidRPr="00EB7C20" w:rsidR="006351A6">
              <w:rPr>
                <w:rFonts w:ascii="Times New Roman" w:hAnsi="Times New Roman"/>
                <w:sz w:val="22"/>
                <w:szCs w:val="22"/>
                <w:lang w:val="sk-SK"/>
              </w:rPr>
              <w:t>. Zároveň návrh zavádza úpravu podmienok na opätovné poskytnutie príspevku občanovi so ZP na prevádzkovanie alebo vykonávanie SZČ, ktorá môže mať oproti stavu pred zavedením opatrenia čiastočne negatívny vplyv v súvislosti s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EB7C20" w:rsidR="006351A6">
              <w:rPr>
                <w:rFonts w:ascii="Times New Roman" w:hAnsi="Times New Roman"/>
                <w:sz w:val="22"/>
                <w:szCs w:val="22"/>
                <w:lang w:val="sk-SK"/>
              </w:rPr>
              <w:t>možnosťou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opätovného</w:t>
            </w:r>
            <w:r w:rsidRPr="00EB7C20" w:rsidR="006351A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poskytnutia príspevku až po 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uplynutí troch rokov odo dňa nasledujúceho po uplynutí dvoch rokov od začatia prevádzkovania alebo vykonávania SZČ, na ktorú bol príspevok poskytnutý.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3.5</w:t>
            </w:r>
            <w:r w:rsidRPr="00EB7C20">
              <w:rPr>
                <w:rFonts w:ascii="Times New Roman" w:hAnsi="Times New Roman"/>
                <w:sz w:val="22"/>
                <w:szCs w:val="22"/>
                <w:lang w:val="sk-SK"/>
              </w:rPr>
              <w:t>. Aké sú predpokladané spoločensko – ekonomické dôsledky pripravovaných regulácií?</w:t>
            </w:r>
          </w:p>
          <w:p w:rsidR="003B0B8B" w:rsidRPr="00EB7C2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EB7C20" w:rsidP="00317C3B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>V návrhu prevažuje pozitívny vplyv na možnosti podnikania a</w:t>
            </w:r>
            <w:r w:rsidRPr="00EB7C20" w:rsidR="00317C3B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>zv</w:t>
            </w:r>
            <w:r w:rsidRPr="00EB7C20" w:rsidR="00317C3B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>š</w:t>
            </w:r>
            <w:r w:rsidRPr="00EB7C20" w:rsidR="00317C3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ovania </w:t>
            </w:r>
            <w:r w:rsidRPr="00EB7C20" w:rsidR="001D7560">
              <w:rPr>
                <w:rFonts w:ascii="Times New Roman" w:hAnsi="Times New Roman"/>
                <w:sz w:val="22"/>
                <w:szCs w:val="22"/>
                <w:lang w:val="sk-SK"/>
              </w:rPr>
              <w:t>zamestnanosti.</w:t>
            </w:r>
          </w:p>
        </w:tc>
      </w:tr>
    </w:tbl>
    <w:p w:rsidR="003B0B8B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0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č.3</w:t>
    </w:r>
  </w:p>
  <w:p w:rsidR="00ED360F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0CF66C72"/>
    <w:multiLevelType w:val="hybridMultilevel"/>
    <w:tmpl w:val="041284B6"/>
    <w:lvl w:ilvl="0">
      <w:start w:val="0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2C6668C"/>
    <w:multiLevelType w:val="hybridMultilevel"/>
    <w:tmpl w:val="C5D29630"/>
    <w:lvl w:ilvl="0">
      <w:start w:val="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ndara" w:eastAsia="Candara" w:hAnsi="Canda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8503F"/>
    <w:rsid w:val="000D416F"/>
    <w:rsid w:val="000E4A1C"/>
    <w:rsid w:val="001C471C"/>
    <w:rsid w:val="001D7560"/>
    <w:rsid w:val="00317C3B"/>
    <w:rsid w:val="003B0B8B"/>
    <w:rsid w:val="003D71D3"/>
    <w:rsid w:val="004768DE"/>
    <w:rsid w:val="005304D5"/>
    <w:rsid w:val="005B5E16"/>
    <w:rsid w:val="006215D4"/>
    <w:rsid w:val="006351A6"/>
    <w:rsid w:val="007C0242"/>
    <w:rsid w:val="008D7589"/>
    <w:rsid w:val="009C1982"/>
    <w:rsid w:val="00A92630"/>
    <w:rsid w:val="00B338F1"/>
    <w:rsid w:val="00B90380"/>
    <w:rsid w:val="00BA211E"/>
    <w:rsid w:val="00C3398E"/>
    <w:rsid w:val="00DF579D"/>
    <w:rsid w:val="00EB7C20"/>
    <w:rsid w:val="00ED360F"/>
    <w:rsid w:val="00F52B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szCs w:val="20"/>
      <w:lang w:val="sk-SK"/>
    </w:rPr>
  </w:style>
  <w:style w:type="paragraph" w:styleId="ListNumber">
    <w:name w:val="List Number"/>
    <w:basedOn w:val="Normal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,Footnote Text Char Char,Footnote Text Char1,fn"/>
    <w:basedOn w:val="Normal"/>
    <w:semiHidden/>
    <w:pPr>
      <w:jc w:val="left"/>
    </w:pPr>
    <w:rPr>
      <w:sz w:val="20"/>
      <w:szCs w:val="20"/>
      <w:lang w:val="sk-SK" w:eastAsia="en-US"/>
    </w:rPr>
  </w:style>
  <w:style w:type="character" w:styleId="FootnoteReference">
    <w:name w:val="footnote reference"/>
    <w:aliases w:val="Footnote symbol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qFormat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link w:val="ZarkazkladnhotextuChar"/>
    <w:rsid w:val="001D756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locked/>
    <w:rsid w:val="001D7560"/>
    <w:rPr>
      <w:rFonts w:cs="Times New Roman"/>
      <w:sz w:val="24"/>
      <w:szCs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320</Words>
  <Characters>2071</Characters>
  <Application>Microsoft Office Word</Application>
  <DocSecurity>0</DocSecurity>
  <Lines>0</Lines>
  <Paragraphs>0</Paragraphs>
  <ScaleCrop>false</ScaleCrop>
  <Company>mhsr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GaspJarm</cp:lastModifiedBy>
  <cp:revision>2</cp:revision>
  <cp:lastPrinted>2010-07-26T10:07:00Z</cp:lastPrinted>
  <dcterms:created xsi:type="dcterms:W3CDTF">2010-11-24T14:01:00Z</dcterms:created>
  <dcterms:modified xsi:type="dcterms:W3CDTF">2010-11-24T14:01:00Z</dcterms:modified>
</cp:coreProperties>
</file>