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532C" w:rsidRPr="00125276" w:rsidP="00B3532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125276">
        <w:rPr>
          <w:rFonts w:ascii="Times New Roman" w:hAnsi="Times New Roman"/>
          <w:b/>
          <w:sz w:val="28"/>
          <w:szCs w:val="28"/>
        </w:rPr>
        <w:t>Dôvodová správa</w:t>
      </w:r>
    </w:p>
    <w:p w:rsidR="00B3532C" w:rsidRPr="00E55678" w:rsidP="00B3532C">
      <w:pPr>
        <w:bidi w:val="0"/>
        <w:jc w:val="center"/>
        <w:rPr>
          <w:rFonts w:ascii="Times New Roman" w:hAnsi="Times New Roman"/>
          <w:b/>
        </w:rPr>
      </w:pPr>
    </w:p>
    <w:p w:rsidR="00B3532C" w:rsidRPr="00125276" w:rsidP="00B3532C">
      <w:pPr>
        <w:bidi w:val="0"/>
        <w:rPr>
          <w:rFonts w:ascii="Times New Roman" w:hAnsi="Times New Roman"/>
          <w:b/>
          <w:sz w:val="28"/>
          <w:szCs w:val="28"/>
        </w:rPr>
      </w:pPr>
      <w:r w:rsidRPr="00125276">
        <w:rPr>
          <w:rFonts w:ascii="Times New Roman" w:hAnsi="Times New Roman"/>
          <w:b/>
          <w:sz w:val="28"/>
          <w:szCs w:val="28"/>
        </w:rPr>
        <w:t>A. Všeobecná časť</w:t>
      </w: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zákona, ktorým sa mení a dopĺňa zákon č. 575/2001 Z. z. o organizácii činnosti vlády a organizácii ústrednej štátnej správy v znení neskorších predpisov predkladá na rokovanie vlády Slovenskej republiky predsedníčka vlády Slovenskej republiky ako iniciatívny návrh.</w:t>
      </w:r>
    </w:p>
    <w:p w:rsidR="00B3532C" w:rsidP="00B3532C">
      <w:pPr>
        <w:bidi w:val="0"/>
        <w:ind w:firstLine="708"/>
        <w:jc w:val="both"/>
        <w:rPr>
          <w:rFonts w:ascii="Times New Roman" w:hAnsi="Times New Roman"/>
        </w:rPr>
      </w:pPr>
    </w:p>
    <w:p w:rsidR="00B3532C" w:rsidP="00B3532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Cieľom predkladanej novely zákona č. 575/2001 Z. z. o organizácii činnosti vlády a organizácii ústrednej štátnej správy v znení neskorších predpisov je opätovné zriadenie Ministerstva životného prostredia Slovenskej republiky ako samostatného ústredného orgánu štátnej správy.</w:t>
      </w:r>
      <w:r w:rsidRPr="004C14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Ministerstvo životného prostredia SR bolo v januári 2010 s účinnosťou od 1. júla 2010 zrušené zákonom č. 37/2010 Z. z., ktorým sa mení a dopĺňa zákon č. 575/2001 Z. z. o organizácii činnosti vlády a organizácii ústrednej štátnej správy v znení neskorších predpisov.</w:t>
      </w:r>
      <w:r w:rsidRPr="008B6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Zriadenie samostatného ústredného orgánu štátnej správy pre oblasť životného prostredia je pre plnenie úloh v tak širokej oblasti, ako je tvorba a ochrana životného prostredia, nesmierne dôležité. V rámci zabezpečenia týchto úloh je potrebné mať k dispozícii odborný a funkčný aparát, ktorý dokáže reflektovať na dôležité podnety v tak dôležitej a prierezovej oblasti, ako je oblasť tvorby a ochrany životného prostredia. 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P="00B3532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závažné okolnosti týkajúce sa extrémnych povodní z posledného obdobia, ktoré </w:t>
      </w:r>
      <w:r w:rsidRPr="008C7DCF">
        <w:rPr>
          <w:rFonts w:ascii="Times New Roman" w:hAnsi="Times New Roman"/>
        </w:rPr>
        <w:t>zasiahli celé územie Slovenskej republiky koncom mája a začiatkom júna 2010</w:t>
      </w:r>
      <w:r>
        <w:rPr>
          <w:rFonts w:ascii="Times New Roman" w:hAnsi="Times New Roman"/>
        </w:rPr>
        <w:t xml:space="preserve"> a ktoré spôsobili značné hospodárske škody </w:t>
      </w:r>
      <w:r w:rsidRPr="008C7DCF">
        <w:rPr>
          <w:rFonts w:ascii="Times New Roman" w:hAnsi="Times New Roman"/>
        </w:rPr>
        <w:t>občanom Slovenskej republiky</w:t>
      </w:r>
      <w:r>
        <w:rPr>
          <w:rFonts w:ascii="Times New Roman" w:hAnsi="Times New Roman"/>
        </w:rPr>
        <w:t>, obciam a štátu</w:t>
      </w:r>
      <w:r w:rsidRPr="008C7DC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existuje naliehavý spoločenský záujem na opätovnom zriadení samostatného ministerstva pôsobiaceho v tejto oblasti. </w:t>
      </w:r>
      <w:r w:rsidRPr="002C7303">
        <w:rPr>
          <w:rFonts w:ascii="Times New Roman" w:hAnsi="Times New Roman"/>
        </w:rPr>
        <w:t xml:space="preserve">Kvalitné plnenie úloh samostatného ústredného orgánu štátnej správy pre oblasť životného prostredia je </w:t>
      </w:r>
      <w:r>
        <w:rPr>
          <w:rFonts w:ascii="Times New Roman" w:hAnsi="Times New Roman"/>
        </w:rPr>
        <w:t xml:space="preserve">teda </w:t>
      </w:r>
      <w:r w:rsidRPr="002C7303">
        <w:rPr>
          <w:rFonts w:ascii="Times New Roman" w:hAnsi="Times New Roman"/>
        </w:rPr>
        <w:t xml:space="preserve">nevyhnutné pre zabezpečenie rýchlej a účinnej pomoci občanom Slovenskej republiky postihnutým povodňami. </w:t>
      </w:r>
      <w:r>
        <w:rPr>
          <w:rFonts w:ascii="Times New Roman" w:hAnsi="Times New Roman"/>
        </w:rPr>
        <w:t>Cieľom navrhovanej zmeny</w:t>
      </w:r>
      <w:r w:rsidRPr="002C7303">
        <w:rPr>
          <w:rFonts w:ascii="Times New Roman" w:hAnsi="Times New Roman"/>
        </w:rPr>
        <w:t xml:space="preserve"> v organizácii ústrednej štátnej správy </w:t>
      </w:r>
      <w:r>
        <w:rPr>
          <w:rFonts w:ascii="Times New Roman" w:hAnsi="Times New Roman"/>
        </w:rPr>
        <w:t>je prijatie účinných</w:t>
      </w:r>
      <w:r w:rsidRPr="002C73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riešení</w:t>
      </w:r>
      <w:r w:rsidRPr="002C7303">
        <w:rPr>
          <w:rFonts w:ascii="Times New Roman" w:hAnsi="Times New Roman"/>
        </w:rPr>
        <w:t xml:space="preserve">, ktorými sa zabráni vzniku ešte väčšej škody na majetku občanov Slovenskej republiky. </w:t>
      </w:r>
      <w:r w:rsidRPr="008C7DCF">
        <w:rPr>
          <w:rFonts w:ascii="Times New Roman" w:hAnsi="Times New Roman"/>
        </w:rPr>
        <w:t xml:space="preserve">Vzhľadom na tieto mimoriadne okolnosti je nevyhnutné urýchlene umožniť </w:t>
      </w:r>
      <w:r>
        <w:rPr>
          <w:rFonts w:ascii="Times New Roman" w:hAnsi="Times New Roman"/>
        </w:rPr>
        <w:t>prostredníctvom novely</w:t>
      </w:r>
      <w:r w:rsidRPr="008C7DCF">
        <w:rPr>
          <w:rFonts w:ascii="Times New Roman" w:hAnsi="Times New Roman"/>
        </w:rPr>
        <w:t xml:space="preserve"> zákona č. </w:t>
      </w:r>
      <w:r>
        <w:rPr>
          <w:rFonts w:ascii="Times New Roman" w:hAnsi="Times New Roman"/>
        </w:rPr>
        <w:t>575/2001</w:t>
      </w:r>
      <w:r w:rsidRPr="008C7DCF">
        <w:rPr>
          <w:rFonts w:ascii="Times New Roman" w:hAnsi="Times New Roman"/>
        </w:rPr>
        <w:t xml:space="preserve"> Z.</w:t>
      </w:r>
      <w:r>
        <w:rPr>
          <w:rFonts w:ascii="Times New Roman" w:hAnsi="Times New Roman"/>
        </w:rPr>
        <w:t xml:space="preserve"> </w:t>
      </w:r>
      <w:r w:rsidRPr="008C7DCF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o organizácii činnosti vlády a organizácii ústrednej štátnej správy v znení neskorších predpisov </w:t>
      </w:r>
      <w:r w:rsidRPr="008C7DCF">
        <w:rPr>
          <w:rFonts w:ascii="Times New Roman" w:hAnsi="Times New Roman"/>
        </w:rPr>
        <w:t xml:space="preserve">vytvorenie legislatívnych podmienok pre vznik </w:t>
      </w:r>
      <w:r>
        <w:rPr>
          <w:rFonts w:ascii="Times New Roman" w:hAnsi="Times New Roman"/>
        </w:rPr>
        <w:t>samostatného ústredného orgánu štátnej správy – Ministerstva životného prostredia Slovenskej republiky.</w:t>
      </w:r>
    </w:p>
    <w:p w:rsidR="00B3532C" w:rsidRPr="008C7DCF" w:rsidP="00B3532C">
      <w:pPr>
        <w:bidi w:val="0"/>
        <w:ind w:firstLine="708"/>
        <w:jc w:val="both"/>
        <w:rPr>
          <w:rFonts w:ascii="Times New Roman" w:hAnsi="Times New Roman"/>
        </w:rPr>
      </w:pPr>
    </w:p>
    <w:p w:rsidR="00B3532C" w:rsidP="00B3532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ústavnými zákonmi a medzinárodnými zmluvami, ktorými je Slovenská republika viazaná, ako aj ostatnými všeobecne záväznými právnymi predpismi.</w:t>
      </w:r>
    </w:p>
    <w:p w:rsidR="00B3532C" w:rsidP="00B3532C">
      <w:pPr>
        <w:bidi w:val="0"/>
        <w:ind w:firstLine="708"/>
        <w:jc w:val="both"/>
        <w:rPr>
          <w:rFonts w:ascii="Times New Roman" w:hAnsi="Times New Roman"/>
        </w:rPr>
      </w:pPr>
    </w:p>
    <w:p w:rsidR="00B3532C" w:rsidP="00B3532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5971A7">
        <w:rPr>
          <w:rFonts w:ascii="Times New Roman" w:hAnsi="Times New Roman"/>
        </w:rPr>
        <w:t>Predpokladaný dopad návrhu zákona na rozpočet verejnej správy, na životné prostredie, na zamestnanosť, na podnikateľské prostredie a na informatizáciu spoločnosti je uvedený v doložke vybraných vplyvov.</w:t>
      </w:r>
    </w:p>
    <w:p w:rsidR="00B3532C" w:rsidP="00B3532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  <w:b/>
          <w:bCs/>
        </w:rPr>
      </w:pPr>
    </w:p>
    <w:p w:rsidR="00B3532C" w:rsidP="00B3532C">
      <w:pPr>
        <w:bidi w:val="0"/>
        <w:jc w:val="center"/>
        <w:rPr>
          <w:rFonts w:ascii="Times New Roman" w:hAnsi="Times New Roman"/>
          <w:b/>
          <w:bCs/>
        </w:rPr>
      </w:pPr>
    </w:p>
    <w:p w:rsidR="00B3532C" w:rsidP="00B3532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  ZLUČITEĽNOSTI</w:t>
      </w:r>
    </w:p>
    <w:p w:rsidR="00B3532C" w:rsidP="00B3532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právneho predpisu s právom Európskej únie</w:t>
      </w:r>
    </w:p>
    <w:p w:rsidR="00B3532C" w:rsidP="00B3532C">
      <w:pPr>
        <w:bidi w:val="0"/>
        <w:jc w:val="center"/>
        <w:rPr>
          <w:rFonts w:ascii="Times New Roman" w:hAnsi="Times New Roman"/>
        </w:rPr>
      </w:pP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Predkladateľ právneho predpisu: vláda Slovenskej republiky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Názov návrhu právneho predpisu: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zákona, ktorým sa mení a dopĺňa zákon č. 575/2001 Z. z. o organizácii činnosti vlády a organizácii ústrednej štátnej správy v znení neskorších predpisov.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Problematika návrhu právneho predpisu:</w:t>
      </w:r>
    </w:p>
    <w:p w:rsidR="00B3532C" w:rsidP="00B3532C">
      <w:pPr>
        <w:pStyle w:val="listparagraph"/>
        <w:numPr>
          <w:ilvl w:val="1"/>
          <w:numId w:val="1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 v práve Európskej únie.</w:t>
      </w:r>
    </w:p>
    <w:p w:rsidR="00B3532C" w:rsidP="00B3532C">
      <w:pPr>
        <w:numPr>
          <w:ilvl w:val="1"/>
          <w:numId w:val="1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obsiahnutá v judikatúre Súdneho dvora Európskej únie.</w:t>
      </w:r>
    </w:p>
    <w:p w:rsidR="00B3532C" w:rsidP="00B3532C">
      <w:pPr>
        <w:bidi w:val="0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  <w:b/>
            <w:bCs/>
          </w:rPr>
          <w:t>5. a</w:t>
        </w:r>
      </w:smartTag>
      <w:r>
        <w:rPr>
          <w:rFonts w:ascii="Times New Roman" w:hAnsi="Times New Roman"/>
          <w:b/>
          <w:bCs/>
        </w:rPr>
        <w:t xml:space="preserve"> 6.</w:t>
      </w:r>
    </w:p>
    <w:p w:rsidR="00B3532C" w:rsidP="00B3532C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B3532C" w:rsidRPr="00236676" w:rsidP="00B3532C">
      <w:pPr>
        <w:bidi w:val="0"/>
        <w:jc w:val="both"/>
        <w:rPr>
          <w:rFonts w:ascii="Times New Roman" w:hAnsi="Times New Roman"/>
        </w:rPr>
      </w:pPr>
    </w:p>
    <w:p w:rsidR="00B3532C" w:rsidP="00B3532C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B3532C" w:rsidRPr="007370C7" w:rsidP="00B3532C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B3532C" w:rsidP="00B3532C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B3532C" w:rsidP="00B3532C">
      <w:pPr>
        <w:bidi w:val="0"/>
        <w:rPr>
          <w:rFonts w:ascii="Times New Roman" w:hAnsi="Times New Roman"/>
          <w:b/>
          <w:bCs/>
        </w:rPr>
      </w:pPr>
    </w:p>
    <w:p w:rsidR="00B3532C" w:rsidP="00B3532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A.1. Názov materiálu:</w:t>
      </w:r>
      <w:r w:rsidRPr="00382101">
        <w:rPr>
          <w:rFonts w:ascii="Times New Roman" w:hAnsi="Times New Roman"/>
          <w:b/>
        </w:rPr>
        <w:t xml:space="preserve"> </w:t>
      </w:r>
    </w:p>
    <w:p w:rsidR="00B3532C" w:rsidRPr="00382101" w:rsidP="00B3532C">
      <w:pPr>
        <w:bidi w:val="0"/>
        <w:jc w:val="both"/>
        <w:rPr>
          <w:rFonts w:ascii="Times New Roman" w:hAnsi="Times New Roman"/>
        </w:rPr>
      </w:pPr>
      <w:r w:rsidRPr="00382101">
        <w:rPr>
          <w:rFonts w:ascii="Times New Roman" w:hAnsi="Times New Roman"/>
        </w:rPr>
        <w:t>Návrh zákona, ktorým sa mení a dopĺňa zákon č. 575/2001 Z. z. o organizácii činnosti vlády a organizácii ústrednej štátnej správy v znení neskorších predpisov</w:t>
      </w:r>
    </w:p>
    <w:p w:rsidR="00B3532C" w:rsidP="00B3532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B3532C" w:rsidP="00B353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B3532C" w:rsidP="00B3532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B3532C" w:rsidP="00B3532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3532C" w:rsidP="00F652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B3532C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3532C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B3532C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3532C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  <w:bCs/>
        </w:rPr>
        <w:t>A.3. Poznámky</w:t>
      </w:r>
    </w:p>
    <w:p w:rsidR="00B3532C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B3532C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B3532C" w:rsidP="00B3532C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B3532C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B3532C" w:rsidP="00B3532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3532C" w:rsidRPr="00272564" w:rsidP="00B3532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Pr="00125276">
        <w:rPr>
          <w:rFonts w:ascii="Times New Roman" w:hAnsi="Times New Roman"/>
          <w:b/>
          <w:sz w:val="28"/>
          <w:szCs w:val="28"/>
        </w:rPr>
        <w:t>B. Osobitná časť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P="00B3532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Pr="003E4964">
        <w:rPr>
          <w:rFonts w:ascii="Times New Roman" w:hAnsi="Times New Roman"/>
          <w:b/>
        </w:rPr>
        <w:t>K bodu 1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zmenu názvu Ministerstva pôdohospodárstva, životného prostredia a regionálneho rozvoja Slovenskej republiky z dôvodu prechodu kompetencií v oblasti tvorby a ochrany životného prostredia vrátane </w:t>
      </w:r>
      <w:r w:rsidRPr="001B3B64">
        <w:rPr>
          <w:rFonts w:ascii="Times New Roman" w:hAnsi="Times New Roman"/>
        </w:rPr>
        <w:t>ochrany prírody a krajiny,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 xml:space="preserve">vodného hospodárstva, ochrany pred povodňami, ochrany akosti a množstva vôd a ich racionálneho využívania a rybárstva </w:t>
      </w:r>
      <w:r>
        <w:rPr>
          <w:rFonts w:ascii="Times New Roman" w:hAnsi="Times New Roman"/>
        </w:rPr>
        <w:t>okrem</w:t>
      </w:r>
      <w:r w:rsidRPr="001B3B64">
        <w:rPr>
          <w:rFonts w:ascii="Times New Roman" w:hAnsi="Times New Roman"/>
        </w:rPr>
        <w:t xml:space="preserve"> akvakultúry a morského rybolovu,</w:t>
      </w:r>
      <w:r>
        <w:rPr>
          <w:rFonts w:ascii="Times New Roman" w:hAnsi="Times New Roman"/>
        </w:rPr>
        <w:t xml:space="preserve"> v oblasti </w:t>
      </w:r>
      <w:r w:rsidRPr="001B3B64">
        <w:rPr>
          <w:rFonts w:ascii="Times New Roman" w:hAnsi="Times New Roman"/>
        </w:rPr>
        <w:t>ochrany ovzdušia, ozónovej vrstvy a klimatického systému Zeme,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ekologických aspektov územného plánovania,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odpadového hospodárstva,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posudzovania vplyvov na životné prostredie,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zabezpečovania jednotného informačného systému o životnom prostredí a plošného monitoringu,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geologického výskumu a prieskumu,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ochrany a regulácie obchodu s ohrozenými druhmi voľne žijúcich živočíchov a voľne rastúcich rastlín,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geneticky modifikovaných organizmov</w:t>
      </w:r>
      <w:r>
        <w:rPr>
          <w:rFonts w:ascii="Times New Roman" w:hAnsi="Times New Roman"/>
        </w:rPr>
        <w:t xml:space="preserve"> (ďalej len „v oblasti tvorby a ochrany životného prostredia“) na novo zriadené Ministerstvo životného prostredia Slovenskej republiky.</w:t>
      </w:r>
      <w:r w:rsidR="007501B5">
        <w:rPr>
          <w:rFonts w:ascii="Times New Roman" w:hAnsi="Times New Roman"/>
        </w:rPr>
        <w:t xml:space="preserve"> Navrhuje sa názov „Ministerstvo pôdohospodárstva a rozvoja vidieka Slovenskej republiky“, ktorý najlepšie zodpovedá novým úlohám tohto ministerstva. 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Pr="003E4964">
        <w:rPr>
          <w:rFonts w:ascii="Times New Roman" w:hAnsi="Times New Roman"/>
          <w:b/>
        </w:rPr>
        <w:t>K bodu 2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Zriaďuje sa Ministerstvo životného prostredia Slovenskej republiky. Dôvodom pre opätovné zriadenie samostatného Ministerstva životného prostredia Slovenskej republiky je naliehavý spoločenský záujem na skvalitnení tvorby a ochrany životného prostredia, vrátane naliehavej potreby efektívneho riešenia škôd spôsobených povodňami na Slovensku. Len samostatne pôsobiaci ústredný orgán štátnej správy má možnosti naplniť sledovaný cieľ.  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="007501B5">
        <w:rPr>
          <w:rFonts w:ascii="Times New Roman" w:hAnsi="Times New Roman"/>
          <w:b/>
        </w:rPr>
        <w:t>K bodom</w:t>
      </w:r>
      <w:r w:rsidRPr="003E4964">
        <w:rPr>
          <w:rFonts w:ascii="Times New Roman" w:hAnsi="Times New Roman"/>
          <w:b/>
        </w:rPr>
        <w:t xml:space="preserve"> 3 a 4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z dôvodu zmeny názvu Ministerstva pôdohospodárstva, životného prostredia a regionálneho rozvoja Slovenskej republiky</w:t>
      </w:r>
      <w:r w:rsidR="007501B5">
        <w:rPr>
          <w:rFonts w:ascii="Times New Roman" w:hAnsi="Times New Roman"/>
        </w:rPr>
        <w:t xml:space="preserve"> na Ministerstvo pôdohospodárstva a rozvoja vidieka Slovenskej republiky</w:t>
      </w:r>
      <w:r>
        <w:rPr>
          <w:rFonts w:ascii="Times New Roman" w:hAnsi="Times New Roman"/>
        </w:rPr>
        <w:t>.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Pr="003E4964">
        <w:rPr>
          <w:rFonts w:ascii="Times New Roman" w:hAnsi="Times New Roman"/>
          <w:b/>
        </w:rPr>
        <w:t>K bodu 5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Vypúšťajú sa písmená l) až u) z dôvodu presunu pôsobnosti v oblasti tvorby a ochrany životného prostredia z Ministerstva pôdohospodárstva, životného prostredia a regionálneho rozvoja Slovenskej republiky na</w:t>
      </w:r>
      <w:r w:rsidRPr="004A3A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Ministerstvo životného prostredia Slovenskej republiky.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Pr="003E4964">
        <w:rPr>
          <w:rFonts w:ascii="Times New Roman" w:hAnsi="Times New Roman"/>
          <w:b/>
        </w:rPr>
        <w:t>K bodu 6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vyplývajúcu z prijatia zákona č. 570/2009 Z. z., ktorým sa mení a dopĺňa zákon č. 275/2006 Z. z. o informačných systémoch verejnej správy.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Pr="003E4964">
        <w:rPr>
          <w:rFonts w:ascii="Times New Roman" w:hAnsi="Times New Roman"/>
          <w:b/>
        </w:rPr>
        <w:t>K bodu 7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Ustanovuje sa kompetencia Ministerstva životného prostredia Slovenskej republiky ako ústredného orgánu štátnej správy pre tvorbu a ochranu životného prostredia. 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Pr="003E4964">
        <w:rPr>
          <w:rFonts w:ascii="Times New Roman" w:hAnsi="Times New Roman"/>
          <w:b/>
        </w:rPr>
        <w:t>K bodu 8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Zabezpečuje sa prechod pôsobnosti v oblasti tvorby a ochrany životného prostredia z Ministerstva pôdohospodárstva, životného prostredia a regionálneho rozvoja Slovenskej republiky na</w:t>
      </w:r>
      <w:r w:rsidRPr="000A35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Ministerstvo životného prostredia Slovenskej republiky. V odseku 2 sa ustanovuje  nová terminológia vzhľadom na potreby navrhovaných zmien. V odseku 3 sa zabezpečuje prechod práv a povinností zo štátnozamestnaneckých vzťahov štátnych zamestnancov, z pracovnoprávnych vzťahov zamestnancov ako aj z iných právnych vzťahov zamestnancov z Ministerstva pôdohospodárstva, životného prostredia a regionálneho rozvoja Slovenskej republiky na</w:t>
      </w:r>
      <w:r w:rsidRPr="000A35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Ministerstvo životného prostredia Slovenskej republiky. Rovnako sa zabezpečuje prechod majetku súvisiaci s prechodom kompetencií v oblasti tvorby a ochrany životného prostredia. Podrobnosti o právach a povinnostiach vyplývajúcich z presunu týchto kompetencií, ako aj podrobnosti o prechode majetku sa upravia dohodou medzi Ministerstvom pôdohospodárstva a rozvoja vidieka Slovenskej republiky a opätovne zriadeným Ministerstvom životného prostredia Slovenskej republiky. V súvislosti s prechodom kompetencií v oblasti tvorby a ochrany životného prostredia prechádza zriaďovateľská aj zakladateľská pôsobnosť Ministerstva pôdohospodárstva, životného prostredia a regionálneho rozvoja Slovenskej republiky na</w:t>
      </w:r>
      <w:r w:rsidRPr="000A35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Ministerstvo životného prostredia Slovenskej republiky.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061ED5" w:rsidP="00B3532C">
      <w:pPr>
        <w:bidi w:val="0"/>
        <w:jc w:val="both"/>
        <w:rPr>
          <w:rFonts w:ascii="Times New Roman" w:hAnsi="Times New Roman"/>
          <w:b/>
        </w:rPr>
      </w:pPr>
      <w:r w:rsidRPr="00061ED5">
        <w:rPr>
          <w:rFonts w:ascii="Times New Roman" w:hAnsi="Times New Roman"/>
          <w:b/>
        </w:rPr>
        <w:t>K bodu 9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úpravu. Zákon </w:t>
      </w:r>
      <w:r w:rsidRPr="00061ED5">
        <w:rPr>
          <w:rFonts w:ascii="Times New Roman" w:hAnsi="Times New Roman"/>
        </w:rPr>
        <w:t>Národnej rady Slovenskej republiky č. 303/1995 Z. z. o rozpočtových pravidlách v znení neskorších predpisov</w:t>
      </w:r>
      <w:r>
        <w:rPr>
          <w:rFonts w:ascii="Times New Roman" w:hAnsi="Times New Roman"/>
        </w:rPr>
        <w:t xml:space="preserve"> bol zrušený zákonom</w:t>
      </w:r>
      <w:r w:rsidRPr="00061ED5">
        <w:rPr>
          <w:rFonts w:ascii="Times New Roman" w:hAnsi="Times New Roman"/>
        </w:rPr>
        <w:t xml:space="preserve"> č. 523/2004 Z. z. o rozpočtových pravidlách verejnej správy a o zmene a doplnení niektorých zákonov</w:t>
      </w:r>
      <w:r>
        <w:rPr>
          <w:rFonts w:ascii="Times New Roman" w:hAnsi="Times New Roman"/>
        </w:rPr>
        <w:t>.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RPr="003E4964" w:rsidP="00B3532C">
      <w:pPr>
        <w:bidi w:val="0"/>
        <w:jc w:val="both"/>
        <w:rPr>
          <w:rFonts w:ascii="Times New Roman" w:hAnsi="Times New Roman"/>
          <w:b/>
        </w:rPr>
      </w:pPr>
      <w:r w:rsidRPr="003E4964">
        <w:rPr>
          <w:rFonts w:ascii="Times New Roman" w:hAnsi="Times New Roman"/>
          <w:b/>
        </w:rPr>
        <w:t>K Čl. II</w:t>
      </w:r>
    </w:p>
    <w:p w:rsidR="00B3532C" w:rsidP="00B353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zákona sa navrhuje od 1. septembra 2010.</w:t>
      </w: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P="00B3532C">
      <w:pPr>
        <w:bidi w:val="0"/>
        <w:jc w:val="both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Bratislava, 21. júla 2010</w:t>
      </w: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rPr>
          <w:rFonts w:ascii="Times New Roman" w:hAnsi="Times New Roman"/>
        </w:rPr>
      </w:pPr>
    </w:p>
    <w:p w:rsidR="00B3532C" w:rsidP="00B3532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Iveta R a d i č o v á  v. r.</w:t>
      </w:r>
    </w:p>
    <w:p w:rsidR="00125276" w:rsidRPr="00B3532C" w:rsidP="00B3532C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62" w:rsidP="00F6526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65262" w:rsidP="00F6526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62" w:rsidP="00F6526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53DF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65262" w:rsidP="00F6526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25276"/>
    <w:rsid w:val="000001D1"/>
    <w:rsid w:val="000005B2"/>
    <w:rsid w:val="00000961"/>
    <w:rsid w:val="000009BE"/>
    <w:rsid w:val="00000A21"/>
    <w:rsid w:val="00001054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ED5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53D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F13"/>
    <w:rsid w:val="001051A0"/>
    <w:rsid w:val="00105461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3B64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6676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9C4"/>
    <w:rsid w:val="002C30C0"/>
    <w:rsid w:val="002C3D8A"/>
    <w:rsid w:val="002C496B"/>
    <w:rsid w:val="002C4D1F"/>
    <w:rsid w:val="002C53C5"/>
    <w:rsid w:val="002C611C"/>
    <w:rsid w:val="002C6962"/>
    <w:rsid w:val="002C7303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D89"/>
    <w:rsid w:val="0030682A"/>
    <w:rsid w:val="00306965"/>
    <w:rsid w:val="003105EC"/>
    <w:rsid w:val="003126E0"/>
    <w:rsid w:val="00312AA9"/>
    <w:rsid w:val="00314026"/>
    <w:rsid w:val="003141C8"/>
    <w:rsid w:val="00314672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A8E"/>
    <w:rsid w:val="00364B02"/>
    <w:rsid w:val="003652F2"/>
    <w:rsid w:val="00365588"/>
    <w:rsid w:val="003655EB"/>
    <w:rsid w:val="003668DB"/>
    <w:rsid w:val="00366AE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113"/>
    <w:rsid w:val="003B5D5E"/>
    <w:rsid w:val="003B650A"/>
    <w:rsid w:val="003B70D8"/>
    <w:rsid w:val="003B7317"/>
    <w:rsid w:val="003B7799"/>
    <w:rsid w:val="003B7E32"/>
    <w:rsid w:val="003C04EE"/>
    <w:rsid w:val="003C0CC6"/>
    <w:rsid w:val="003C14E9"/>
    <w:rsid w:val="003C161D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E3194"/>
    <w:rsid w:val="003E33B0"/>
    <w:rsid w:val="003E366B"/>
    <w:rsid w:val="003E3BBB"/>
    <w:rsid w:val="003E4551"/>
    <w:rsid w:val="003E4934"/>
    <w:rsid w:val="003E496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DF6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5F68"/>
    <w:rsid w:val="004669D0"/>
    <w:rsid w:val="004670A8"/>
    <w:rsid w:val="00470C2C"/>
    <w:rsid w:val="00471B9D"/>
    <w:rsid w:val="004729F8"/>
    <w:rsid w:val="00473272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18B4"/>
    <w:rsid w:val="004A20F2"/>
    <w:rsid w:val="004A2625"/>
    <w:rsid w:val="004A297C"/>
    <w:rsid w:val="004A2E2E"/>
    <w:rsid w:val="004A3406"/>
    <w:rsid w:val="004A3A28"/>
    <w:rsid w:val="004A3A69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449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52"/>
    <w:rsid w:val="005538FE"/>
    <w:rsid w:val="005554B6"/>
    <w:rsid w:val="00556ACF"/>
    <w:rsid w:val="00557344"/>
    <w:rsid w:val="00557DF3"/>
    <w:rsid w:val="00560CDA"/>
    <w:rsid w:val="0056101C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020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18B"/>
    <w:rsid w:val="00705194"/>
    <w:rsid w:val="00705A27"/>
    <w:rsid w:val="007064AA"/>
    <w:rsid w:val="00706907"/>
    <w:rsid w:val="00707278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01B5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C12"/>
    <w:rsid w:val="00756F02"/>
    <w:rsid w:val="007570E6"/>
    <w:rsid w:val="0075750E"/>
    <w:rsid w:val="00757645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A07E7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5D1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C7DCF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865"/>
    <w:rsid w:val="00A03110"/>
    <w:rsid w:val="00A031EE"/>
    <w:rsid w:val="00A03334"/>
    <w:rsid w:val="00A03665"/>
    <w:rsid w:val="00A038DE"/>
    <w:rsid w:val="00A03B41"/>
    <w:rsid w:val="00A04A0A"/>
    <w:rsid w:val="00A052DE"/>
    <w:rsid w:val="00A058C3"/>
    <w:rsid w:val="00A070AC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679"/>
    <w:rsid w:val="00A1777C"/>
    <w:rsid w:val="00A17CEC"/>
    <w:rsid w:val="00A20F49"/>
    <w:rsid w:val="00A2146D"/>
    <w:rsid w:val="00A2232B"/>
    <w:rsid w:val="00A22B0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C24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32C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BF"/>
    <w:rsid w:val="00C8503A"/>
    <w:rsid w:val="00C855F6"/>
    <w:rsid w:val="00C863AB"/>
    <w:rsid w:val="00C86933"/>
    <w:rsid w:val="00C86E8F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8E"/>
    <w:rsid w:val="00CD1ED6"/>
    <w:rsid w:val="00CD402B"/>
    <w:rsid w:val="00CD5828"/>
    <w:rsid w:val="00CD67C6"/>
    <w:rsid w:val="00CE0864"/>
    <w:rsid w:val="00CE0CD9"/>
    <w:rsid w:val="00CE0E27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60B6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DE"/>
    <w:rsid w:val="00DD65D8"/>
    <w:rsid w:val="00DD6829"/>
    <w:rsid w:val="00DD6860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5678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C69"/>
    <w:rsid w:val="00E93F09"/>
    <w:rsid w:val="00E9464B"/>
    <w:rsid w:val="00E94A5E"/>
    <w:rsid w:val="00E95675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262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3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25276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rsid w:val="00125276"/>
    <w:pPr>
      <w:ind w:left="720"/>
      <w:jc w:val="left"/>
    </w:pPr>
  </w:style>
  <w:style w:type="paragraph" w:styleId="Footer">
    <w:name w:val="footer"/>
    <w:basedOn w:val="Normal"/>
    <w:rsid w:val="00B3532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3532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1174</Words>
  <Characters>7704</Characters>
  <Application>Microsoft Office Word</Application>
  <DocSecurity>0</DocSecurity>
  <Lines>0</Lines>
  <Paragraphs>0</Paragraphs>
  <ScaleCrop>false</ScaleCrop>
  <Company>UVSR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</dc:creator>
  <cp:lastModifiedBy>GaspJarm</cp:lastModifiedBy>
  <cp:revision>2</cp:revision>
  <cp:lastPrinted>2010-07-21T13:59:00Z</cp:lastPrinted>
  <dcterms:created xsi:type="dcterms:W3CDTF">2010-11-23T11:04:00Z</dcterms:created>
  <dcterms:modified xsi:type="dcterms:W3CDTF">2010-11-23T11:04:00Z</dcterms:modified>
</cp:coreProperties>
</file>