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DB333B">
      <w:pPr>
        <w:pStyle w:val="Heading1"/>
        <w:bidi w:val="0"/>
        <w:rPr>
          <w:rFonts w:ascii="Times New Roman" w:hAnsi="Times New Roman" w:cs="Times New Roman"/>
        </w:rPr>
      </w:pPr>
      <w:r w:rsidRPr="00DB333B">
        <w:rPr>
          <w:rFonts w:ascii="Times New Roman" w:hAnsi="Times New Roman" w:cs="Times New Roman"/>
          <w:b w:val="0"/>
          <w:bCs w:val="0"/>
        </w:rPr>
        <w:t> </w:t>
      </w:r>
    </w:p>
    <w:p w:rsidR="00DB333B" w:rsidRPr="00DB333B" w:rsidP="00DB333B">
      <w:pPr>
        <w:pStyle w:val="Heading1"/>
        <w:bidi w:val="0"/>
        <w:jc w:val="left"/>
        <w:rPr>
          <w:rFonts w:ascii="Times New Roman" w:hAnsi="Times New Roman" w:cs="Times New Roman"/>
        </w:rPr>
      </w:pPr>
      <w:r w:rsidRPr="00DB333B">
        <w:rPr>
          <w:rFonts w:ascii="Times New Roman" w:hAnsi="Times New Roman" w:cs="Times New Roman"/>
        </w:rPr>
        <w:t>A. Všeobecná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Predkladaný návrh novely Ústavy Slovenskej republiky mení platný ústavný stav v smere zúženia imunity poslancov Národnej rady Slovenskej republiky (ďalej len „národná rada“) a sudcov a taktiež odbúrava potrebu súhlasu národnej rady resp. Ústavného súdu Slovenskej republiky (ďalej „ústavný súd“) na trestné stíhanie poslancov národnej rady resp. sudcov.</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Doteraz platný stav vyžaduje pre trestné stíhanie poslancov národnej rady jej súhlas, obdobne u sudcov ústavného súdu i všeobecných súdov a generálneho prokurátora sa na trestné stíhanie vyžaduje súhlas ústavného súdu.</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národnej rade a u sudcov za ich rozhodovaciu činnosť. Takto sa lepšie zabezpečí obrana občianskej spoločnosti pred potenciálnym zneužívaním moci, pričom navrhovaná úprava bude aj ochranou pred neprimeraným zvýhodňovaním vyčlenených skupín. Naďalej pritom zostáva zakotvenie potreby súhlasu národnej rady, resp. ústavného súdu na vzatie poslanca, resp. sudcu a generálneho prokurátora do väzby.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Zúženie imunity poslancov a sudcov je v súlade s požiadavkami Rímskeho Štatútu medzinárodného trestného súdu, ktorého je Slovenská republika zmluvnou stranou, a ktorý nadobudol platnosť aj pre Slovenskú republiku dňom 1. júla 2002 (vyhlásený v Zbierke zákonov pod č. 333/2002).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Predkladaný návrh ústavného zákona nezakladá žiadne vplyvy na rozpočet verejnej správy a na podnikateľské prostredie, nevyvoláva sociálne vplyv</w:t>
      </w:r>
      <w:r w:rsidR="00A013BF">
        <w:rPr>
          <w:rFonts w:ascii="Times New Roman" w:hAnsi="Times New Roman"/>
        </w:rPr>
        <w:t>y</w:t>
      </w:r>
      <w:r w:rsidRPr="00DB333B">
        <w:rPr>
          <w:rFonts w:ascii="Times New Roman" w:hAnsi="Times New Roman"/>
        </w:rPr>
        <w:t xml:space="preserve">, ani vplyvy na životné prostredie a ani na informatizáciu spoločnosti. </w:t>
      </w: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DB333B" w:rsidRPr="00DB333B" w:rsidP="00DB333B">
      <w:pPr>
        <w:pStyle w:val="NormalWeb"/>
        <w:bidi w:val="0"/>
        <w:spacing w:before="0" w:beforeAutospacing="0" w:after="0" w:afterAutospacing="0"/>
        <w:jc w:val="center"/>
        <w:rPr>
          <w:rFonts w:ascii="Times New Roman" w:hAnsi="Times New Roman"/>
        </w:rPr>
      </w:pPr>
      <w:r>
        <w:rPr>
          <w:rFonts w:ascii="Times New Roman" w:hAnsi="Times New Roman"/>
          <w:b/>
          <w:bCs/>
          <w:caps/>
          <w:spacing w:val="30"/>
        </w:rPr>
        <w:t xml:space="preserve">DOLOŽKA </w:t>
      </w:r>
      <w:r w:rsidRPr="00DB333B">
        <w:rPr>
          <w:rFonts w:ascii="Times New Roman" w:hAnsi="Times New Roman"/>
          <w:b/>
          <w:bCs/>
          <w:caps/>
          <w:spacing w:val="30"/>
        </w:rPr>
        <w:t>ZLUČITEĽNOSTI</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rPr>
        <w:t>návrhu právneho predpisu</w:t>
      </w:r>
      <w:r>
        <w:rPr>
          <w:rFonts w:ascii="Times New Roman" w:hAnsi="Times New Roman"/>
        </w:rPr>
        <w:t xml:space="preserve"> </w:t>
      </w:r>
      <w:r w:rsidRPr="00DB333B">
        <w:rPr>
          <w:rFonts w:ascii="Times New Roman" w:hAnsi="Times New Roman"/>
          <w:b/>
          <w:bCs/>
        </w:rPr>
        <w:t>s právom Európskej únie</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1. Predkladateľ právneho predpisu:</w:t>
      </w:r>
      <w:r w:rsidRPr="00DB333B">
        <w:rPr>
          <w:rFonts w:ascii="Times New Roman" w:hAnsi="Times New Roman"/>
        </w:rPr>
        <w:t xml:space="preserve"> vláda Slovenskej republiky</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2. Názov návrhu právneho predpisu:</w:t>
      </w:r>
      <w:r w:rsidRPr="00DB333B">
        <w:rPr>
          <w:rFonts w:ascii="Times New Roman" w:hAnsi="Times New Roman"/>
        </w:rPr>
        <w:t xml:space="preserve"> n</w:t>
      </w:r>
      <w:r w:rsidRPr="00DB333B">
        <w:rPr>
          <w:rFonts w:ascii="Times New Roman" w:hAnsi="Times New Roman"/>
          <w:color w:val="000000"/>
        </w:rPr>
        <w:t xml:space="preserve">ávrh ústavného zákona, </w:t>
      </w:r>
      <w:r w:rsidRPr="00DB333B">
        <w:rPr>
          <w:rFonts w:ascii="Times New Roman" w:hAnsi="Times New Roman"/>
        </w:rPr>
        <w:t>ktorým sa mení Ústava Slovenskej republiky č. 460/1992 Zb. v znení neskorších predpisov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3. Problematika návrhu právneho predpisu:</w:t>
      </w:r>
    </w:p>
    <w:p w:rsidR="00DB333B" w:rsidRPr="00DB333B" w:rsidP="00DB333B">
      <w:pPr>
        <w:pStyle w:val="NormalWeb"/>
        <w:bidi w:val="0"/>
        <w:spacing w:before="0" w:beforeAutospacing="0" w:after="0" w:afterAutospacing="0"/>
        <w:ind w:left="720" w:hanging="360"/>
        <w:jc w:val="both"/>
        <w:rPr>
          <w:rFonts w:ascii="Times New Roman" w:hAnsi="Times New Roman"/>
        </w:rPr>
      </w:pPr>
      <w:r>
        <w:rPr>
          <w:rFonts w:ascii="Times New Roman" w:hAnsi="Times New Roman"/>
        </w:rPr>
        <w:t>a)     </w:t>
      </w:r>
      <w:r w:rsidRPr="00DB333B">
        <w:rPr>
          <w:rFonts w:ascii="Times New Roman" w:hAnsi="Times New Roman"/>
        </w:rPr>
        <w:t>nie je upravená v práve Európskej únie,</w:t>
      </w:r>
    </w:p>
    <w:p w:rsidR="00DB333B" w:rsidRPr="00DB333B" w:rsidP="00DB333B">
      <w:pPr>
        <w:pStyle w:val="NormalWeb"/>
        <w:bidi w:val="0"/>
        <w:spacing w:before="0" w:beforeAutospacing="0" w:after="0" w:afterAutospacing="0"/>
        <w:ind w:left="720" w:hanging="360"/>
        <w:jc w:val="both"/>
        <w:rPr>
          <w:rFonts w:ascii="Times New Roman" w:hAnsi="Times New Roman"/>
        </w:rPr>
      </w:pPr>
      <w:r w:rsidRPr="00DB333B">
        <w:rPr>
          <w:rFonts w:ascii="Times New Roman" w:hAnsi="Times New Roman"/>
        </w:rPr>
        <w:t>b)     nie je obsiahnutá v jud</w:t>
      </w:r>
      <w:r>
        <w:rPr>
          <w:rFonts w:ascii="Times New Roman" w:hAnsi="Times New Roman"/>
        </w:rPr>
        <w:t>ikatúre Súdneho dvora Európskej</w:t>
      </w:r>
      <w:r w:rsidRPr="00DB333B">
        <w:rPr>
          <w:rFonts w:ascii="Times New Roman" w:hAnsi="Times New Roman"/>
        </w:rPr>
        <w:t xml:space="preserve"> </w:t>
      </w:r>
      <w:r>
        <w:rPr>
          <w:rFonts w:ascii="Times New Roman" w:hAnsi="Times New Roman"/>
        </w:rPr>
        <w:t>únie</w:t>
      </w:r>
      <w:r w:rsidRPr="00DB333B">
        <w:rPr>
          <w:rFonts w:ascii="Times New Roman" w:hAnsi="Times New Roman"/>
        </w:rPr>
        <w:t>.</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b/>
          <w:bCs/>
        </w:rPr>
        <w:t>Vzhľadom na to, že problematika návrhu zákona nie je upravená v práve Európskej únie, je bezpredmetné vyjadrovať sa k bodom 4., 5. a 6.</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rPr>
        <w:br w:type="page"/>
      </w:r>
      <w:r w:rsidRPr="00DB333B">
        <w:rPr>
          <w:rFonts w:ascii="Times New Roman" w:hAnsi="Times New Roman"/>
          <w:b/>
          <w:bCs/>
          <w:caps/>
          <w:color w:val="000000"/>
          <w:spacing w:val="30"/>
        </w:rPr>
        <w:t>Doložka</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olor w:val="000000"/>
        </w:rPr>
        <w:t>vybraných vplyvov</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xml:space="preserve">A.1. Názov materiálu: </w:t>
      </w:r>
      <w:r w:rsidRPr="00DB333B">
        <w:rPr>
          <w:rFonts w:ascii="Times New Roman" w:hAnsi="Times New Roman"/>
          <w:color w:val="000000"/>
        </w:rPr>
        <w:t xml:space="preserve">návrh ústavného zákona, </w:t>
      </w:r>
      <w:r w:rsidRPr="00DB333B">
        <w:rPr>
          <w:rFonts w:ascii="Times New Roman" w:hAnsi="Times New Roman"/>
        </w:rPr>
        <w:t>ktorým sa mení Ústava Slovenskej republiky č. 460/1992 Zb. v znení neskorších predpisov</w:t>
      </w:r>
      <w:r w:rsidRPr="00DB333B">
        <w:rPr>
          <w:rFonts w:ascii="Times New Roman" w:hAnsi="Times New Roman"/>
          <w:color w:val="000000"/>
        </w:rPr>
        <w:t> </w:t>
      </w:r>
    </w:p>
    <w:p w:rsidR="00DB333B" w:rsidP="00DB333B">
      <w:pPr>
        <w:pStyle w:val="NormalWeb"/>
        <w:bidi w:val="0"/>
        <w:spacing w:before="0" w:beforeAutospacing="0" w:after="0" w:afterAutospacing="0"/>
        <w:jc w:val="both"/>
        <w:rPr>
          <w:rFonts w:ascii="Times New Roman" w:hAnsi="Times New Roman"/>
          <w:b/>
          <w:bCs/>
          <w:color w:val="000000"/>
        </w:rPr>
      </w:pP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Termín začatia a ukončenia PPK:</w:t>
      </w:r>
      <w:r w:rsidRPr="00DB333B">
        <w:rPr>
          <w:rFonts w:ascii="Times New Roman" w:hAnsi="Times New Roman"/>
          <w:color w:val="000000"/>
        </w:rPr>
        <w:t xml:space="preserve"> </w:t>
      </w: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bl>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A.3. Poznámky</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 xml:space="preserve">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A.4. Alternatívne riešenia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A.5. Stanovisko gestorov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br w:type="page"/>
      </w:r>
      <w:r w:rsidRPr="00DB333B">
        <w:rPr>
          <w:rFonts w:ascii="Times New Roman" w:hAnsi="Times New Roman"/>
          <w:b/>
          <w:bCs/>
        </w:rPr>
        <w:t>B. Osobitná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1</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Zakotvuje sa pravidlo, že ak bude poslanec pristihnutý a zadržaný pri trestnom čine, príslušný orgán musí tento fakt ihneď oznámiť predsedovi národnej rady (stav totožný </w:t>
        <w:br/>
        <w:t>s doteraz platným stavom) a predsedovi mandátového a imunitného výboru (pravidlo nové). Zároveň sa ustanovuje, že poslanca možno vziať do väzby len po tom, čo k tomuto dá predbežný súhlas mandátový a imunitný výbor. Tento predbež</w:t>
      </w:r>
      <w:r w:rsidR="00A013BF">
        <w:rPr>
          <w:rFonts w:ascii="Times New Roman" w:hAnsi="Times New Roman"/>
        </w:rPr>
        <w:t>ný súhlas musí schváliť národná rada</w:t>
      </w:r>
      <w:r w:rsidRPr="00DB333B">
        <w:rPr>
          <w:rFonts w:ascii="Times New Roman" w:hAnsi="Times New Roman"/>
        </w:rPr>
        <w:t xml:space="preserve"> na svojej najbližšej schôdzi. Ak sa tak neudeje, poslanec musí byť prepustený na slobodu.</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xml:space="preserve">   </w:t>
      </w:r>
      <w:r>
        <w:rPr>
          <w:rFonts w:ascii="Times New Roman" w:hAnsi="Times New Roman"/>
        </w:rPr>
        <w:tab/>
      </w:r>
      <w:r w:rsidRPr="00DB333B">
        <w:rPr>
          <w:rFonts w:ascii="Times New Roman" w:hAnsi="Times New Roman"/>
        </w:rPr>
        <w:t xml:space="preserve">Navrhovanou úpravou čl. 78 ods.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2</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júna 2002.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3</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r>
        <w:rPr>
          <w:rFonts w:ascii="Times New Roman" w:hAnsi="Times New Roman"/>
        </w:rPr>
        <w:tab/>
      </w:r>
      <w:r w:rsidRPr="00DB333B">
        <w:rPr>
          <w:rFonts w:ascii="Times New Roman" w:hAnsi="Times New Roman"/>
        </w:rPr>
        <w:t>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w:t>
      </w:r>
    </w:p>
    <w:p w:rsidR="00DB333B" w:rsidP="00DB333B">
      <w:pPr>
        <w:pStyle w:val="NormalWeb"/>
        <w:bidi w:val="0"/>
        <w:spacing w:before="0" w:beforeAutospacing="0" w:after="0" w:afterAutospacing="0"/>
        <w:jc w:val="both"/>
        <w:rPr>
          <w:rFonts w:ascii="Times New Roman" w:hAnsi="Times New Roman"/>
          <w:b/>
          <w:bCs/>
        </w:rPr>
      </w:pPr>
    </w:p>
    <w:p w:rsidR="00DB333B" w:rsidRPr="00DB333B" w:rsidP="00DB333B">
      <w:pPr>
        <w:pStyle w:val="NormalWeb"/>
        <w:bidi w:val="0"/>
        <w:spacing w:before="0" w:beforeAutospacing="0" w:after="0" w:afterAutospacing="0"/>
        <w:jc w:val="both"/>
        <w:rPr>
          <w:rFonts w:ascii="Times New Roman" w:hAnsi="Times New Roman"/>
          <w:b/>
          <w:bCs/>
        </w:rPr>
      </w:pPr>
      <w:r w:rsidRPr="00DB333B">
        <w:rPr>
          <w:rFonts w:ascii="Times New Roman" w:hAnsi="Times New Roman"/>
          <w:b/>
        </w:rPr>
        <w:t>K Čl. II</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ind w:firstLine="708"/>
        <w:rPr>
          <w:rFonts w:ascii="Times New Roman" w:hAnsi="Times New Roman"/>
        </w:rPr>
      </w:pPr>
      <w:r w:rsidRPr="00DB333B">
        <w:rPr>
          <w:rFonts w:ascii="Times New Roman" w:hAnsi="Times New Roman"/>
        </w:rPr>
        <w:t>Navrhuje sa účinnosť predkladaného ústavného zákona, a to od 1. novembra 2010.</w:t>
      </w:r>
    </w:p>
    <w:p w:rsidR="00DB333B" w:rsidRPr="00DB333B" w:rsidP="00DB333B">
      <w:pPr>
        <w:bidi w:val="0"/>
        <w:rPr>
          <w:rFonts w:ascii="Times New Roman" w:hAnsi="Times New Roman"/>
        </w:rPr>
      </w:pPr>
    </w:p>
    <w:p w:rsidR="00DB333B" w:rsidRPr="00DB333B" w:rsidP="00DB333B">
      <w:pPr>
        <w:bidi w:val="0"/>
        <w:spacing w:after="80"/>
        <w:jc w:val="both"/>
        <w:rPr>
          <w:rFonts w:ascii="Times New Roman" w:hAnsi="Times New Roman"/>
        </w:rPr>
      </w:pPr>
      <w:r>
        <w:rPr>
          <w:rFonts w:ascii="Times New Roman" w:hAnsi="Times New Roman"/>
        </w:rPr>
        <w:t>Bratislava 15. júla 2010</w:t>
      </w:r>
    </w:p>
    <w:p w:rsidR="00DB333B" w:rsidRPr="00DB333B" w:rsidP="00DB333B">
      <w:pPr>
        <w:bidi w:val="0"/>
        <w:spacing w:after="80"/>
        <w:jc w:val="both"/>
        <w:rPr>
          <w:rFonts w:ascii="Times New Roman" w:hAnsi="Times New Roman"/>
        </w:rPr>
      </w:pPr>
    </w:p>
    <w:p w:rsidR="00DB333B" w:rsidRPr="00DB333B" w:rsidP="00DB333B">
      <w:pPr>
        <w:bidi w:val="0"/>
        <w:spacing w:after="80"/>
        <w:jc w:val="both"/>
        <w:rPr>
          <w:rFonts w:ascii="Times New Roman" w:hAnsi="Times New Roman"/>
        </w:rPr>
      </w:pPr>
    </w:p>
    <w:p w:rsidR="00DB333B" w:rsidP="00DB333B">
      <w:pPr>
        <w:bidi w:val="0"/>
        <w:spacing w:after="80"/>
        <w:rPr>
          <w:rFonts w:ascii="Times New Roman" w:hAnsi="Times New Roman"/>
          <w:b/>
        </w:rPr>
      </w:pPr>
    </w:p>
    <w:p w:rsidR="00A013BF" w:rsidP="00DB333B">
      <w:pPr>
        <w:bidi w:val="0"/>
        <w:spacing w:after="80"/>
        <w:jc w:val="center"/>
        <w:rPr>
          <w:rFonts w:ascii="Times New Roman" w:hAnsi="Times New Roman"/>
          <w:b/>
        </w:rPr>
      </w:pPr>
    </w:p>
    <w:p w:rsidR="00DB333B" w:rsidP="00DB333B">
      <w:pPr>
        <w:bidi w:val="0"/>
        <w:spacing w:after="80"/>
        <w:jc w:val="center"/>
        <w:rPr>
          <w:rFonts w:ascii="Times New Roman" w:hAnsi="Times New Roman"/>
          <w:b/>
        </w:rPr>
      </w:pPr>
      <w:r w:rsidRPr="00DB333B">
        <w:rPr>
          <w:rFonts w:ascii="Times New Roman" w:hAnsi="Times New Roman"/>
          <w:b/>
        </w:rPr>
        <w:t>Iveta  R a d i č o v</w:t>
      </w:r>
      <w:r w:rsidR="00A013BF">
        <w:rPr>
          <w:rFonts w:ascii="Times New Roman" w:hAnsi="Times New Roman"/>
          <w:b/>
        </w:rPr>
        <w:t> </w:t>
      </w:r>
      <w:r w:rsidRPr="00DB333B">
        <w:rPr>
          <w:rFonts w:ascii="Times New Roman" w:hAnsi="Times New Roman"/>
          <w:b/>
        </w:rPr>
        <w:t>á</w:t>
      </w:r>
      <w:r w:rsidR="00A013BF">
        <w:rPr>
          <w:rFonts w:ascii="Times New Roman" w:hAnsi="Times New Roman"/>
          <w:b/>
        </w:rPr>
        <w:t>, v. r.</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30F0A">
      <w:rPr>
        <w:rStyle w:val="PageNumber"/>
        <w:rFonts w:ascii="Times New Roman" w:hAnsi="Times New Roman"/>
        <w:noProof/>
      </w:rPr>
      <w:t>1</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left="0"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621A"/>
    <w:rsid w:val="00096313"/>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D121E"/>
    <w:rsid w:val="000D3088"/>
    <w:rsid w:val="000D34B3"/>
    <w:rsid w:val="000D3AAF"/>
    <w:rsid w:val="000D44CB"/>
    <w:rsid w:val="000D4782"/>
    <w:rsid w:val="000E16DB"/>
    <w:rsid w:val="000E45B0"/>
    <w:rsid w:val="000E59B4"/>
    <w:rsid w:val="000E69F1"/>
    <w:rsid w:val="000E7383"/>
    <w:rsid w:val="000F3991"/>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23CE0"/>
    <w:rsid w:val="00224801"/>
    <w:rsid w:val="002267F3"/>
    <w:rsid w:val="00226E94"/>
    <w:rsid w:val="00231C2F"/>
    <w:rsid w:val="00231E87"/>
    <w:rsid w:val="002327D5"/>
    <w:rsid w:val="00234331"/>
    <w:rsid w:val="00240DC2"/>
    <w:rsid w:val="002415D2"/>
    <w:rsid w:val="002441C1"/>
    <w:rsid w:val="00246E89"/>
    <w:rsid w:val="00250AF0"/>
    <w:rsid w:val="00253581"/>
    <w:rsid w:val="002538F4"/>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2F1D"/>
    <w:rsid w:val="002A522B"/>
    <w:rsid w:val="002A59B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F0DCE"/>
    <w:rsid w:val="002F18FE"/>
    <w:rsid w:val="002F22CB"/>
    <w:rsid w:val="002F5AD1"/>
    <w:rsid w:val="002F6D80"/>
    <w:rsid w:val="003017FB"/>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3A25"/>
    <w:rsid w:val="00343F24"/>
    <w:rsid w:val="003449B3"/>
    <w:rsid w:val="003452A8"/>
    <w:rsid w:val="0034726E"/>
    <w:rsid w:val="003511E9"/>
    <w:rsid w:val="00353A05"/>
    <w:rsid w:val="00354D5E"/>
    <w:rsid w:val="00357882"/>
    <w:rsid w:val="003604B7"/>
    <w:rsid w:val="0036171B"/>
    <w:rsid w:val="003619C5"/>
    <w:rsid w:val="00363774"/>
    <w:rsid w:val="00364763"/>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AB0"/>
    <w:rsid w:val="00423520"/>
    <w:rsid w:val="004237E0"/>
    <w:rsid w:val="00426311"/>
    <w:rsid w:val="00427138"/>
    <w:rsid w:val="00427480"/>
    <w:rsid w:val="004315DC"/>
    <w:rsid w:val="00437E14"/>
    <w:rsid w:val="004447BE"/>
    <w:rsid w:val="00444D84"/>
    <w:rsid w:val="00445779"/>
    <w:rsid w:val="0044689A"/>
    <w:rsid w:val="00446F01"/>
    <w:rsid w:val="00450442"/>
    <w:rsid w:val="00451A6A"/>
    <w:rsid w:val="0045279D"/>
    <w:rsid w:val="00453175"/>
    <w:rsid w:val="00454A93"/>
    <w:rsid w:val="00454DA0"/>
    <w:rsid w:val="00460718"/>
    <w:rsid w:val="0046123B"/>
    <w:rsid w:val="00461E07"/>
    <w:rsid w:val="0046475D"/>
    <w:rsid w:val="00465DB5"/>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7809"/>
    <w:rsid w:val="004B31C7"/>
    <w:rsid w:val="004B4740"/>
    <w:rsid w:val="004B47EF"/>
    <w:rsid w:val="004B50C4"/>
    <w:rsid w:val="004B52C0"/>
    <w:rsid w:val="004B5F5F"/>
    <w:rsid w:val="004B6B70"/>
    <w:rsid w:val="004C1E67"/>
    <w:rsid w:val="004C455E"/>
    <w:rsid w:val="004C5FFF"/>
    <w:rsid w:val="004D2A2C"/>
    <w:rsid w:val="004D40FA"/>
    <w:rsid w:val="004D660D"/>
    <w:rsid w:val="004D71C9"/>
    <w:rsid w:val="004D7819"/>
    <w:rsid w:val="004E1CAD"/>
    <w:rsid w:val="004E361C"/>
    <w:rsid w:val="004E5504"/>
    <w:rsid w:val="004E55FB"/>
    <w:rsid w:val="004E5720"/>
    <w:rsid w:val="004E67D5"/>
    <w:rsid w:val="004E7CC6"/>
    <w:rsid w:val="004F2E15"/>
    <w:rsid w:val="004F3C5A"/>
    <w:rsid w:val="004F4A2D"/>
    <w:rsid w:val="00502EAA"/>
    <w:rsid w:val="005043E9"/>
    <w:rsid w:val="00506310"/>
    <w:rsid w:val="00507794"/>
    <w:rsid w:val="0050793D"/>
    <w:rsid w:val="00512DBE"/>
    <w:rsid w:val="00513E26"/>
    <w:rsid w:val="00515137"/>
    <w:rsid w:val="0051753F"/>
    <w:rsid w:val="00520223"/>
    <w:rsid w:val="00521F2F"/>
    <w:rsid w:val="00523734"/>
    <w:rsid w:val="00524A12"/>
    <w:rsid w:val="00526FDE"/>
    <w:rsid w:val="00531BD1"/>
    <w:rsid w:val="0053418B"/>
    <w:rsid w:val="005360F6"/>
    <w:rsid w:val="005364C2"/>
    <w:rsid w:val="005378B1"/>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B0C"/>
    <w:rsid w:val="005D0843"/>
    <w:rsid w:val="005D4908"/>
    <w:rsid w:val="005D55DC"/>
    <w:rsid w:val="005D6C75"/>
    <w:rsid w:val="005E2EBE"/>
    <w:rsid w:val="005E382C"/>
    <w:rsid w:val="005E3C49"/>
    <w:rsid w:val="005E4212"/>
    <w:rsid w:val="005E4567"/>
    <w:rsid w:val="005E4B4D"/>
    <w:rsid w:val="005E7B0E"/>
    <w:rsid w:val="005F332C"/>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4779"/>
    <w:rsid w:val="00624E1E"/>
    <w:rsid w:val="006253DD"/>
    <w:rsid w:val="00630D9A"/>
    <w:rsid w:val="006317A5"/>
    <w:rsid w:val="00632CF6"/>
    <w:rsid w:val="006343F2"/>
    <w:rsid w:val="006344CA"/>
    <w:rsid w:val="00635BFB"/>
    <w:rsid w:val="00636686"/>
    <w:rsid w:val="00636EEB"/>
    <w:rsid w:val="00640402"/>
    <w:rsid w:val="00641670"/>
    <w:rsid w:val="0064179F"/>
    <w:rsid w:val="00641CE2"/>
    <w:rsid w:val="00644CAD"/>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1281"/>
    <w:rsid w:val="00681395"/>
    <w:rsid w:val="0068454E"/>
    <w:rsid w:val="00685520"/>
    <w:rsid w:val="006858A3"/>
    <w:rsid w:val="00685903"/>
    <w:rsid w:val="006910CB"/>
    <w:rsid w:val="00693BCE"/>
    <w:rsid w:val="00695978"/>
    <w:rsid w:val="006A44CF"/>
    <w:rsid w:val="006A524F"/>
    <w:rsid w:val="006A52CC"/>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1DA2"/>
    <w:rsid w:val="0072235C"/>
    <w:rsid w:val="00722636"/>
    <w:rsid w:val="00726C6E"/>
    <w:rsid w:val="00730592"/>
    <w:rsid w:val="007305C1"/>
    <w:rsid w:val="00730C46"/>
    <w:rsid w:val="00731243"/>
    <w:rsid w:val="0073394E"/>
    <w:rsid w:val="0073423A"/>
    <w:rsid w:val="00737DAE"/>
    <w:rsid w:val="00740C32"/>
    <w:rsid w:val="00741448"/>
    <w:rsid w:val="00743A58"/>
    <w:rsid w:val="00745C3A"/>
    <w:rsid w:val="00746ED9"/>
    <w:rsid w:val="00747A64"/>
    <w:rsid w:val="0075552C"/>
    <w:rsid w:val="00755704"/>
    <w:rsid w:val="00765FF4"/>
    <w:rsid w:val="00776A54"/>
    <w:rsid w:val="00776F49"/>
    <w:rsid w:val="0077789F"/>
    <w:rsid w:val="007814D5"/>
    <w:rsid w:val="00783A2B"/>
    <w:rsid w:val="00783C72"/>
    <w:rsid w:val="007A211F"/>
    <w:rsid w:val="007A22A8"/>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278B"/>
    <w:rsid w:val="007D2F8E"/>
    <w:rsid w:val="007D4A0A"/>
    <w:rsid w:val="007D4AB4"/>
    <w:rsid w:val="007D5EA7"/>
    <w:rsid w:val="007D6ECF"/>
    <w:rsid w:val="007E0F03"/>
    <w:rsid w:val="007E40E5"/>
    <w:rsid w:val="007E4223"/>
    <w:rsid w:val="007E5961"/>
    <w:rsid w:val="007E5F24"/>
    <w:rsid w:val="007F0325"/>
    <w:rsid w:val="007F31DE"/>
    <w:rsid w:val="007F5FB7"/>
    <w:rsid w:val="007F6EE8"/>
    <w:rsid w:val="007F7C34"/>
    <w:rsid w:val="007F7E13"/>
    <w:rsid w:val="008003FB"/>
    <w:rsid w:val="008032BA"/>
    <w:rsid w:val="008074EE"/>
    <w:rsid w:val="00813E24"/>
    <w:rsid w:val="00814D4B"/>
    <w:rsid w:val="0081581B"/>
    <w:rsid w:val="00816D7A"/>
    <w:rsid w:val="0081704E"/>
    <w:rsid w:val="00817AD5"/>
    <w:rsid w:val="008244CA"/>
    <w:rsid w:val="00831734"/>
    <w:rsid w:val="008330DA"/>
    <w:rsid w:val="00833BD1"/>
    <w:rsid w:val="00835C63"/>
    <w:rsid w:val="00836C3D"/>
    <w:rsid w:val="0084123D"/>
    <w:rsid w:val="008431E0"/>
    <w:rsid w:val="00843556"/>
    <w:rsid w:val="00843831"/>
    <w:rsid w:val="00851EA3"/>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775"/>
    <w:rsid w:val="00967517"/>
    <w:rsid w:val="00967C00"/>
    <w:rsid w:val="0097120B"/>
    <w:rsid w:val="009721C9"/>
    <w:rsid w:val="00972F0F"/>
    <w:rsid w:val="00973D12"/>
    <w:rsid w:val="00981839"/>
    <w:rsid w:val="009826D7"/>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60ED"/>
    <w:rsid w:val="009C6182"/>
    <w:rsid w:val="009D1A1A"/>
    <w:rsid w:val="009D43E0"/>
    <w:rsid w:val="009D680E"/>
    <w:rsid w:val="009E083C"/>
    <w:rsid w:val="009E2142"/>
    <w:rsid w:val="009E4218"/>
    <w:rsid w:val="009E435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2B8E"/>
    <w:rsid w:val="00A14597"/>
    <w:rsid w:val="00A147D6"/>
    <w:rsid w:val="00A16725"/>
    <w:rsid w:val="00A1741B"/>
    <w:rsid w:val="00A23817"/>
    <w:rsid w:val="00A25FA0"/>
    <w:rsid w:val="00A26E34"/>
    <w:rsid w:val="00A27D3B"/>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7048D"/>
    <w:rsid w:val="00A71176"/>
    <w:rsid w:val="00A7418C"/>
    <w:rsid w:val="00A74FF0"/>
    <w:rsid w:val="00A77C87"/>
    <w:rsid w:val="00A77E5F"/>
    <w:rsid w:val="00A805E1"/>
    <w:rsid w:val="00A81F36"/>
    <w:rsid w:val="00A82CC8"/>
    <w:rsid w:val="00A855BE"/>
    <w:rsid w:val="00A85F1C"/>
    <w:rsid w:val="00A8661E"/>
    <w:rsid w:val="00A90049"/>
    <w:rsid w:val="00A90855"/>
    <w:rsid w:val="00A9234A"/>
    <w:rsid w:val="00A94050"/>
    <w:rsid w:val="00AA15FF"/>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3441"/>
    <w:rsid w:val="00AF4299"/>
    <w:rsid w:val="00AF4ED0"/>
    <w:rsid w:val="00AF5106"/>
    <w:rsid w:val="00AF770A"/>
    <w:rsid w:val="00B01CDE"/>
    <w:rsid w:val="00B03FDD"/>
    <w:rsid w:val="00B0731A"/>
    <w:rsid w:val="00B11F00"/>
    <w:rsid w:val="00B169E7"/>
    <w:rsid w:val="00B2088B"/>
    <w:rsid w:val="00B233CA"/>
    <w:rsid w:val="00B23C49"/>
    <w:rsid w:val="00B279FD"/>
    <w:rsid w:val="00B30359"/>
    <w:rsid w:val="00B30F8C"/>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F18"/>
    <w:rsid w:val="00B612F4"/>
    <w:rsid w:val="00B63A66"/>
    <w:rsid w:val="00B64106"/>
    <w:rsid w:val="00B64C34"/>
    <w:rsid w:val="00B709FE"/>
    <w:rsid w:val="00B733AD"/>
    <w:rsid w:val="00B73769"/>
    <w:rsid w:val="00B743F4"/>
    <w:rsid w:val="00B77055"/>
    <w:rsid w:val="00B776BE"/>
    <w:rsid w:val="00B80237"/>
    <w:rsid w:val="00B818F4"/>
    <w:rsid w:val="00B837BD"/>
    <w:rsid w:val="00B863AD"/>
    <w:rsid w:val="00B8735C"/>
    <w:rsid w:val="00B916BB"/>
    <w:rsid w:val="00B92F4F"/>
    <w:rsid w:val="00B94328"/>
    <w:rsid w:val="00B96853"/>
    <w:rsid w:val="00B96BDF"/>
    <w:rsid w:val="00BA0C6E"/>
    <w:rsid w:val="00BA1B5E"/>
    <w:rsid w:val="00BA2038"/>
    <w:rsid w:val="00BA647A"/>
    <w:rsid w:val="00BA68CD"/>
    <w:rsid w:val="00BB0433"/>
    <w:rsid w:val="00BB3DE4"/>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BDF"/>
    <w:rsid w:val="00BE3F07"/>
    <w:rsid w:val="00BE5A2B"/>
    <w:rsid w:val="00BE5F23"/>
    <w:rsid w:val="00BF0990"/>
    <w:rsid w:val="00BF7BF6"/>
    <w:rsid w:val="00C001E1"/>
    <w:rsid w:val="00C03CD3"/>
    <w:rsid w:val="00C04229"/>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4095B"/>
    <w:rsid w:val="00C437E2"/>
    <w:rsid w:val="00C43B39"/>
    <w:rsid w:val="00C45EE8"/>
    <w:rsid w:val="00C46F55"/>
    <w:rsid w:val="00C555CE"/>
    <w:rsid w:val="00C559B0"/>
    <w:rsid w:val="00C57EF1"/>
    <w:rsid w:val="00C62806"/>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3079"/>
    <w:rsid w:val="00C93760"/>
    <w:rsid w:val="00C950F1"/>
    <w:rsid w:val="00C9660D"/>
    <w:rsid w:val="00C969DF"/>
    <w:rsid w:val="00C96B00"/>
    <w:rsid w:val="00CA0215"/>
    <w:rsid w:val="00CA0962"/>
    <w:rsid w:val="00CA0E02"/>
    <w:rsid w:val="00CA0F59"/>
    <w:rsid w:val="00CA2960"/>
    <w:rsid w:val="00CA2ECB"/>
    <w:rsid w:val="00CA2F0A"/>
    <w:rsid w:val="00CA69DF"/>
    <w:rsid w:val="00CB1744"/>
    <w:rsid w:val="00CB6F5D"/>
    <w:rsid w:val="00CC00B4"/>
    <w:rsid w:val="00CC0E0E"/>
    <w:rsid w:val="00CC1FCD"/>
    <w:rsid w:val="00CC2D5D"/>
    <w:rsid w:val="00CC6863"/>
    <w:rsid w:val="00CD2FEE"/>
    <w:rsid w:val="00CD399C"/>
    <w:rsid w:val="00CD412A"/>
    <w:rsid w:val="00CD4C5B"/>
    <w:rsid w:val="00CD62AA"/>
    <w:rsid w:val="00CE06DD"/>
    <w:rsid w:val="00CE1B51"/>
    <w:rsid w:val="00CE2127"/>
    <w:rsid w:val="00CE4F0C"/>
    <w:rsid w:val="00CE6029"/>
    <w:rsid w:val="00CE62DD"/>
    <w:rsid w:val="00CE7D86"/>
    <w:rsid w:val="00CF5853"/>
    <w:rsid w:val="00CF60E9"/>
    <w:rsid w:val="00CF6102"/>
    <w:rsid w:val="00D00CE1"/>
    <w:rsid w:val="00D01F45"/>
    <w:rsid w:val="00D04796"/>
    <w:rsid w:val="00D05E61"/>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7C2"/>
    <w:rsid w:val="00D3391B"/>
    <w:rsid w:val="00D37007"/>
    <w:rsid w:val="00D40418"/>
    <w:rsid w:val="00D41F4F"/>
    <w:rsid w:val="00D42166"/>
    <w:rsid w:val="00D434FA"/>
    <w:rsid w:val="00D439B9"/>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399E"/>
    <w:rsid w:val="00D95122"/>
    <w:rsid w:val="00D96E95"/>
    <w:rsid w:val="00DA0276"/>
    <w:rsid w:val="00DA09C1"/>
    <w:rsid w:val="00DA2A51"/>
    <w:rsid w:val="00DA57D9"/>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4357"/>
    <w:rsid w:val="00DE492B"/>
    <w:rsid w:val="00DE58BF"/>
    <w:rsid w:val="00DE7480"/>
    <w:rsid w:val="00DF5492"/>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BDE"/>
    <w:rsid w:val="00E54100"/>
    <w:rsid w:val="00E55F1A"/>
    <w:rsid w:val="00E576F3"/>
    <w:rsid w:val="00E57E5A"/>
    <w:rsid w:val="00E60DE8"/>
    <w:rsid w:val="00E66877"/>
    <w:rsid w:val="00E677D1"/>
    <w:rsid w:val="00E67EF1"/>
    <w:rsid w:val="00E81B85"/>
    <w:rsid w:val="00E83C0B"/>
    <w:rsid w:val="00E85BCA"/>
    <w:rsid w:val="00E93938"/>
    <w:rsid w:val="00E94DB9"/>
    <w:rsid w:val="00E95858"/>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13052"/>
    <w:rsid w:val="00F20D09"/>
    <w:rsid w:val="00F21CD8"/>
    <w:rsid w:val="00F2481E"/>
    <w:rsid w:val="00F2647D"/>
    <w:rsid w:val="00F31275"/>
    <w:rsid w:val="00F31E02"/>
    <w:rsid w:val="00F34617"/>
    <w:rsid w:val="00F3599C"/>
    <w:rsid w:val="00F421CE"/>
    <w:rsid w:val="00F42A56"/>
    <w:rsid w:val="00F460BE"/>
    <w:rsid w:val="00F524B1"/>
    <w:rsid w:val="00F54317"/>
    <w:rsid w:val="00F562AF"/>
    <w:rsid w:val="00F576A8"/>
    <w:rsid w:val="00F6231A"/>
    <w:rsid w:val="00F62868"/>
    <w:rsid w:val="00F63701"/>
    <w:rsid w:val="00F64B90"/>
    <w:rsid w:val="00F65FDD"/>
    <w:rsid w:val="00F665B4"/>
    <w:rsid w:val="00F67BFF"/>
    <w:rsid w:val="00F701CF"/>
    <w:rsid w:val="00F72740"/>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794"/>
    <w:rsid w:val="00FC2777"/>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qFormat/>
    <w:rsid w:val="00DB333B"/>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semiHidden/>
    <w:rsid w:val="00E95858"/>
    <w:pPr>
      <w:jc w:val="left"/>
    </w:pPr>
    <w:rPr>
      <w:rFonts w:ascii="Tahoma" w:hAnsi="Tahoma" w:cs="Tahoma"/>
      <w:sz w:val="16"/>
      <w:szCs w:val="16"/>
    </w:rPr>
  </w:style>
  <w:style w:type="paragraph" w:styleId="Footer">
    <w:name w:val="footer"/>
    <w:basedOn w:val="Normal"/>
    <w:rsid w:val="00714570"/>
    <w:pPr>
      <w:tabs>
        <w:tab w:val="center" w:pos="4536"/>
        <w:tab w:val="right" w:pos="9072"/>
      </w:tabs>
      <w:jc w:val="left"/>
    </w:pPr>
  </w:style>
  <w:style w:type="character" w:styleId="PageNumber">
    <w:name w:val="page number"/>
    <w:basedOn w:val="DefaultParagraphFont"/>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rsid w:val="00DB333B"/>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832</Words>
  <Characters>5029</Characters>
  <Application>Microsoft Office Word</Application>
  <DocSecurity>0</DocSecurity>
  <Lines>0</Lines>
  <Paragraphs>0</Paragraphs>
  <ScaleCrop>false</ScaleCrop>
  <Company>UVSR</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GaspJarm</cp:lastModifiedBy>
  <cp:revision>2</cp:revision>
  <cp:lastPrinted>2010-07-15T14:22:00Z</cp:lastPrinted>
  <dcterms:created xsi:type="dcterms:W3CDTF">2010-11-23T10:46:00Z</dcterms:created>
  <dcterms:modified xsi:type="dcterms:W3CDTF">2010-11-23T10:46:00Z</dcterms:modified>
</cp:coreProperties>
</file>