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pre financie, rozpočet a menu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C66650">
      <w:pPr>
        <w:ind w:left="4248"/>
        <w:jc w:val="right"/>
        <w:rPr>
          <w:rFonts w:ascii="Times New Roman" w:hAnsi="Times New Roman" w:cs="Times New Roman"/>
        </w:rPr>
      </w:pPr>
      <w:r w:rsidRPr="00C66650">
        <w:rPr>
          <w:rFonts w:ascii="Times New Roman" w:hAnsi="Times New Roman" w:cs="Times New Roman"/>
        </w:rPr>
        <w:t xml:space="preserve">                                        </w:t>
      </w:r>
      <w:r w:rsidRPr="00C66650" w:rsidR="00C66650">
        <w:rPr>
          <w:rFonts w:ascii="Times New Roman" w:hAnsi="Times New Roman" w:cs="Times New Roman"/>
        </w:rPr>
        <w:t>96</w:t>
      </w:r>
      <w:r w:rsidRPr="00C66650" w:rsidR="00985280">
        <w:rPr>
          <w:rFonts w:ascii="Times New Roman" w:hAnsi="Times New Roman" w:cs="Times New Roman"/>
          <w:b/>
        </w:rPr>
        <w:t>.</w:t>
      </w:r>
      <w:r w:rsidRPr="00C66650">
        <w:rPr>
          <w:rFonts w:ascii="Times New Roman" w:hAnsi="Times New Roman" w:cs="Times New Roman"/>
        </w:rPr>
        <w:t xml:space="preserve"> schôdza</w:t>
      </w:r>
    </w:p>
    <w:p w:rsidR="00E20A99" w:rsidRPr="00B8677D" w:rsidP="00C66650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B8677D">
        <w:rPr>
          <w:rFonts w:ascii="Times New Roman" w:hAnsi="Times New Roman" w:cs="Times New Roman"/>
          <w:b/>
        </w:rPr>
        <w:tab/>
        <w:tab/>
      </w:r>
      <w:r w:rsidRPr="00B8677D" w:rsidR="00B8677D">
        <w:rPr>
          <w:rFonts w:ascii="Times New Roman" w:hAnsi="Times New Roman" w:cs="Times New Roman"/>
        </w:rPr>
        <w:t xml:space="preserve">                                 </w:t>
      </w:r>
      <w:r w:rsidR="00C66650">
        <w:rPr>
          <w:rFonts w:ascii="Times New Roman" w:hAnsi="Times New Roman" w:cs="Times New Roman"/>
        </w:rPr>
        <w:t>1566</w:t>
      </w:r>
      <w:r w:rsidRPr="00B8677D" w:rsidR="00B8677D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DA49A7" w:rsidP="00067F0B">
      <w:pPr>
        <w:ind w:left="3540" w:firstLine="708"/>
        <w:rPr>
          <w:rFonts w:ascii="Times New Roman" w:hAnsi="Times New Roman" w:cs="Times New Roman"/>
          <w:b/>
        </w:rPr>
      </w:pPr>
    </w:p>
    <w:p w:rsidR="009534E4" w:rsidP="00067F0B">
      <w:pPr>
        <w:ind w:left="3540" w:firstLine="708"/>
        <w:rPr>
          <w:rFonts w:ascii="Times New Roman" w:hAnsi="Times New Roman" w:cs="Times New Roman"/>
          <w:b/>
        </w:rPr>
      </w:pPr>
      <w:r w:rsidR="00C66650">
        <w:rPr>
          <w:rFonts w:ascii="Times New Roman" w:hAnsi="Times New Roman" w:cs="Times New Roman"/>
          <w:b/>
        </w:rPr>
        <w:t xml:space="preserve">   </w:t>
      </w:r>
      <w:r w:rsidR="00A40EE6">
        <w:rPr>
          <w:rFonts w:ascii="Times New Roman" w:hAnsi="Times New Roman" w:cs="Times New Roman"/>
          <w:b/>
        </w:rPr>
        <w:t xml:space="preserve">  </w:t>
      </w:r>
      <w:r w:rsidR="00C66650">
        <w:rPr>
          <w:rFonts w:ascii="Times New Roman" w:hAnsi="Times New Roman" w:cs="Times New Roman"/>
          <w:b/>
        </w:rPr>
        <w:t xml:space="preserve">     </w:t>
      </w:r>
      <w:r w:rsidR="00A40EE6">
        <w:rPr>
          <w:rFonts w:ascii="Times New Roman" w:hAnsi="Times New Roman" w:cs="Times New Roman"/>
          <w:b/>
        </w:rPr>
        <w:t>678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</w:t>
      </w:r>
      <w:r>
        <w:rPr>
          <w:rFonts w:ascii="Times New Roman" w:hAnsi="Times New Roman" w:cs="Times New Roman"/>
          <w:b/>
        </w:rPr>
        <w:t>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BD7172">
        <w:rPr>
          <w:rFonts w:ascii="Times New Roman" w:hAnsi="Times New Roman" w:cs="Times New Roman"/>
          <w:b/>
        </w:rPr>
        <w:t xml:space="preserve"> </w:t>
      </w:r>
      <w:r w:rsidR="00C66650">
        <w:rPr>
          <w:rFonts w:ascii="Times New Roman" w:hAnsi="Times New Roman" w:cs="Times New Roman"/>
          <w:b/>
        </w:rPr>
        <w:t>1</w:t>
      </w:r>
      <w:r w:rsidR="00CA6971">
        <w:rPr>
          <w:rFonts w:ascii="Times New Roman" w:hAnsi="Times New Roman" w:cs="Times New Roman"/>
          <w:b/>
        </w:rPr>
        <w:t>0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CA6971">
        <w:rPr>
          <w:rFonts w:ascii="Times New Roman" w:hAnsi="Times New Roman" w:cs="Times New Roman"/>
          <w:b/>
        </w:rPr>
        <w:t>j</w:t>
      </w:r>
      <w:r w:rsidR="00C66650">
        <w:rPr>
          <w:rFonts w:ascii="Times New Roman" w:hAnsi="Times New Roman" w:cs="Times New Roman"/>
          <w:b/>
        </w:rPr>
        <w:t>úna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CA6971">
        <w:rPr>
          <w:rFonts w:ascii="Times New Roman" w:hAnsi="Times New Roman" w:cs="Times New Roman"/>
          <w:b/>
        </w:rPr>
        <w:t>10</w:t>
      </w:r>
    </w:p>
    <w:p w:rsidR="00CA6971" w:rsidRPr="00CA6971" w:rsidP="00CA6971">
      <w:pPr>
        <w:rPr>
          <w:rFonts w:ascii="Times New Roman" w:hAnsi="Times New Roman" w:cs="Times New Roman"/>
        </w:rPr>
      </w:pPr>
    </w:p>
    <w:p w:rsidR="00EC5F3F" w:rsidRPr="00776A60" w:rsidP="00C66650">
      <w:pPr>
        <w:ind w:left="180"/>
        <w:jc w:val="both"/>
        <w:rPr>
          <w:rFonts w:ascii="Times New Roman" w:hAnsi="Times New Roman" w:cs="Times New Roman"/>
          <w:b/>
        </w:rPr>
      </w:pPr>
      <w:r w:rsidRPr="00776A60">
        <w:rPr>
          <w:rFonts w:ascii="Times New Roman" w:hAnsi="Times New Roman" w:cs="Times New Roman"/>
        </w:rPr>
        <w:t xml:space="preserve">Výbor Národnej rady Slovenskej republiky pre financie, rozpočet a menu </w:t>
      </w:r>
      <w:r w:rsidRPr="00776A60" w:rsidR="00F966EF">
        <w:rPr>
          <w:rFonts w:ascii="Times New Roman" w:hAnsi="Times New Roman" w:cs="Times New Roman"/>
        </w:rPr>
        <w:t>prerokoval</w:t>
      </w:r>
      <w:r w:rsidRPr="007451AB" w:rsidR="007451AB">
        <w:rPr>
          <w:rFonts w:ascii="Times New Roman" w:hAnsi="Times New Roman" w:cs="Times New Roman"/>
        </w:rPr>
        <w:t xml:space="preserve"> </w:t>
      </w:r>
      <w:r w:rsidR="00C66650">
        <w:rPr>
          <w:rFonts w:ascii="Times New Roman" w:hAnsi="Times New Roman" w:cs="Times New Roman"/>
        </w:rPr>
        <w:t>v</w:t>
      </w:r>
      <w:r w:rsidRPr="00381599" w:rsidR="00C66650">
        <w:rPr>
          <w:rFonts w:ascii="Times New Roman" w:hAnsi="Times New Roman" w:cs="Times New Roman"/>
        </w:rPr>
        <w:t>ládny návrh zákona, ktorým sa dopĺňa zákon č. 333/2004 Z. z. o voľbách do Národnej rady Slovenskej republiky v znení neskorších predpisov a zákon č. 85/2005 Z. z. o politických stranách a politických hnutiach v znení neskorších predpisov (tlač 1547)</w:t>
      </w:r>
      <w:r w:rsidR="00C66650">
        <w:rPr>
          <w:rFonts w:ascii="Times New Roman" w:hAnsi="Times New Roman" w:cs="Times New Roman"/>
        </w:rPr>
        <w:t xml:space="preserve"> </w:t>
      </w:r>
      <w:r w:rsidRPr="00776A60">
        <w:rPr>
          <w:rFonts w:ascii="Times New Roman" w:hAnsi="Times New Roman" w:cs="Times New Roman"/>
          <w:b/>
        </w:rPr>
        <w:t>a</w:t>
      </w:r>
      <w:r w:rsidRPr="00776A60" w:rsidR="00ED3C5E">
        <w:rPr>
          <w:rFonts w:ascii="Times New Roman" w:hAnsi="Times New Roman" w:cs="Times New Roman"/>
          <w:b/>
        </w:rPr>
        <w:t xml:space="preserve"> </w:t>
      </w:r>
      <w:r w:rsidRPr="00776A60" w:rsidR="008458BA">
        <w:rPr>
          <w:rFonts w:ascii="Times New Roman" w:hAnsi="Times New Roman" w:cs="Times New Roman"/>
          <w:b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0D14F9" w:rsidRPr="00BD7172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A6971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F15963" w:rsidRPr="00AF4CB1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C66650" w:rsidR="00C66650">
        <w:rPr>
          <w:rFonts w:ascii="Times New Roman" w:hAnsi="Times New Roman" w:cs="Times New Roman"/>
          <w:b w:val="0"/>
        </w:rPr>
        <w:t>vládnym návrhom zákona, ktorým sa dopĺňa zákon č. 333/2004 Z. z. o voľbách do Národnej rady Slovenskej republiky v znení neskorších predpisov a zákon č. 85/2005 Z. z. o politických stranách a politických hnutiach v znení neskorších predpisov (tlač 1547)</w:t>
      </w:r>
    </w:p>
    <w:p w:rsidR="00BD7172" w:rsidRPr="00776A60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AF4CB1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C66650" w:rsidR="00C66650">
        <w:rPr>
          <w:rFonts w:ascii="Times New Roman" w:hAnsi="Times New Roman" w:cs="Times New Roman"/>
          <w:b w:val="0"/>
        </w:rPr>
        <w:t>vládny návrh zákona, ktorým sa dopĺňa zákon č. 333/2004 Z. z. o voľbách do Národnej rady Slovenskej republiky v znení neskorších predpisov a zákon č. 85/2005 Z. z. o politických stranách a politických hnutiach v znení neskorších predpisov (tlač 1547)</w:t>
      </w:r>
      <w:r w:rsidR="00C66650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77337A">
        <w:rPr>
          <w:rFonts w:ascii="Times New Roman" w:hAnsi="Times New Roman" w:cs="Times New Roman"/>
        </w:rPr>
        <w:t>s pozmeňujúcim návrhom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9534E4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B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u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r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i</w:t>
      </w:r>
      <w:r w:rsidR="00E20A99">
        <w:rPr>
          <w:rFonts w:ascii="Times New Roman" w:hAnsi="Times New Roman" w:cs="Times New Roman"/>
          <w:b/>
          <w:bCs w:val="0"/>
        </w:rPr>
        <w:t> </w:t>
      </w:r>
      <w:r w:rsidR="00040044">
        <w:rPr>
          <w:rFonts w:ascii="Times New Roman" w:hAnsi="Times New Roman" w:cs="Times New Roman"/>
          <w:b/>
          <w:bCs w:val="0"/>
        </w:rPr>
        <w:t>a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>n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jc w:val="right"/>
        <w:rPr>
          <w:rFonts w:ascii="Times New Roman" w:hAnsi="Times New Roman" w:cs="Times New Roman"/>
        </w:rPr>
      </w:pP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   Ivan Varga</w:t>
      </w:r>
    </w:p>
    <w:p w:rsidR="00AF4CB1" w:rsidP="000D14F9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 w:rsidR="00EC5F3F">
        <w:rPr>
          <w:rFonts w:ascii="Times New Roman" w:hAnsi="Times New Roman" w:cs="Times New Roman"/>
        </w:rPr>
        <w:t>overovateľ výboru</w:t>
      </w:r>
    </w:p>
    <w:p w:rsidR="00DA49A7" w:rsidP="000D14F9">
      <w:pPr>
        <w:rPr>
          <w:rFonts w:ascii="Times New Roman" w:hAnsi="Times New Roman" w:cs="Times New Roman"/>
        </w:rPr>
      </w:pPr>
    </w:p>
    <w:p w:rsidR="00DA49A7" w:rsidP="000D14F9">
      <w:pPr>
        <w:rPr>
          <w:rFonts w:ascii="Times New Roman" w:hAnsi="Times New Roman" w:cs="Times New Roman"/>
        </w:rPr>
      </w:pPr>
    </w:p>
    <w:p w:rsidR="00DA49A7" w:rsidP="00DA49A7">
      <w:pPr>
        <w:pStyle w:val="Heading4"/>
        <w:rPr>
          <w:rFonts w:ascii="AT*Zurich Calligraphic" w:hAnsi="AT*Zurich Calligraphic" w:cs="Times New Roman"/>
        </w:rPr>
      </w:pPr>
    </w:p>
    <w:p w:rsidR="00DA49A7" w:rsidRPr="00DA49A7" w:rsidP="00DA49A7">
      <w:pPr>
        <w:rPr>
          <w:rFonts w:ascii="Times New Roman" w:hAnsi="Times New Roman" w:cs="Times New Roman"/>
        </w:rPr>
      </w:pPr>
    </w:p>
    <w:p w:rsidR="00DA49A7" w:rsidRPr="00CF7537" w:rsidP="00DA49A7">
      <w:pPr>
        <w:rPr>
          <w:rFonts w:ascii="Times New Roman" w:hAnsi="Times New Roman" w:cs="Times New Roman"/>
        </w:rPr>
      </w:pPr>
    </w:p>
    <w:p w:rsidR="00DA49A7" w:rsidP="00DA49A7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DA49A7" w:rsidP="00DA49A7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financie, rozpočet a menu  </w:t>
      </w:r>
    </w:p>
    <w:p w:rsidR="00DA49A7" w:rsidP="00DA49A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DA49A7" w:rsidP="00DA49A7">
      <w:pPr>
        <w:jc w:val="right"/>
        <w:rPr>
          <w:rFonts w:ascii="Times New Roman" w:hAnsi="Times New Roman" w:cs="Times New Roman"/>
          <w:sz w:val="28"/>
        </w:rPr>
      </w:pPr>
    </w:p>
    <w:p w:rsidR="00DA49A7" w:rsidP="00DA49A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>č.</w:t>
      </w:r>
      <w:r>
        <w:rPr>
          <w:rFonts w:ascii="Times New Roman" w:hAnsi="Times New Roman" w:cs="Times New Roman"/>
          <w:b/>
        </w:rPr>
        <w:t xml:space="preserve"> </w:t>
      </w:r>
      <w:r w:rsidR="00171E49">
        <w:rPr>
          <w:rFonts w:ascii="Times New Roman" w:hAnsi="Times New Roman" w:cs="Times New Roman"/>
          <w:b/>
        </w:rPr>
        <w:t>678</w:t>
      </w:r>
    </w:p>
    <w:p w:rsidR="00DA49A7" w:rsidP="00DA49A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96. </w:t>
      </w:r>
      <w:r>
        <w:rPr>
          <w:rFonts w:ascii="Times New Roman" w:hAnsi="Times New Roman" w:cs="Times New Roman"/>
        </w:rPr>
        <w:t>schôdza</w:t>
      </w:r>
    </w:p>
    <w:p w:rsidR="00DA49A7" w:rsidP="00DA49A7">
      <w:pPr>
        <w:jc w:val="center"/>
        <w:rPr>
          <w:rFonts w:ascii="Times New Roman" w:hAnsi="Times New Roman" w:cs="Times New Roman"/>
          <w:b/>
          <w:bCs w:val="0"/>
        </w:rPr>
      </w:pPr>
    </w:p>
    <w:p w:rsidR="00DA49A7" w:rsidP="00DA49A7">
      <w:pPr>
        <w:jc w:val="center"/>
        <w:rPr>
          <w:rFonts w:ascii="Times New Roman" w:hAnsi="Times New Roman" w:cs="Times New Roman"/>
          <w:b/>
          <w:bCs w:val="0"/>
        </w:rPr>
      </w:pPr>
    </w:p>
    <w:p w:rsidR="00DA49A7" w:rsidP="00DA49A7">
      <w:pPr>
        <w:jc w:val="center"/>
        <w:rPr>
          <w:rFonts w:ascii="Times New Roman" w:hAnsi="Times New Roman" w:cs="Times New Roman"/>
          <w:b/>
          <w:bCs w:val="0"/>
        </w:rPr>
      </w:pPr>
    </w:p>
    <w:p w:rsidR="00DA49A7" w:rsidRPr="00067F0B" w:rsidP="00DA49A7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i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návrh</w:t>
      </w:r>
    </w:p>
    <w:p w:rsidR="00DA49A7" w:rsidP="00DA49A7">
      <w:pPr>
        <w:pStyle w:val="Heading1"/>
        <w:ind w:left="708"/>
        <w:jc w:val="center"/>
        <w:rPr>
          <w:rFonts w:ascii="Times New Roman" w:hAnsi="Times New Roman" w:cs="Times New Roman"/>
        </w:rPr>
      </w:pPr>
      <w:r w:rsidRPr="00F15963">
        <w:rPr>
          <w:rFonts w:ascii="Times New Roman" w:hAnsi="Times New Roman" w:cs="Times New Roman"/>
          <w:bCs w:val="0"/>
        </w:rPr>
        <w:t xml:space="preserve">k  </w:t>
      </w:r>
      <w:r>
        <w:rPr>
          <w:rFonts w:ascii="Times New Roman" w:hAnsi="Times New Roman" w:cs="Times New Roman"/>
        </w:rPr>
        <w:t>v</w:t>
      </w:r>
      <w:r w:rsidRPr="00381599">
        <w:rPr>
          <w:rFonts w:ascii="Times New Roman" w:hAnsi="Times New Roman" w:cs="Times New Roman"/>
        </w:rPr>
        <w:t>ládn</w:t>
      </w:r>
      <w:r>
        <w:rPr>
          <w:rFonts w:ascii="Times New Roman" w:hAnsi="Times New Roman" w:cs="Times New Roman"/>
        </w:rPr>
        <w:t>emu</w:t>
      </w:r>
      <w:r w:rsidRPr="00381599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381599">
        <w:rPr>
          <w:rFonts w:ascii="Times New Roman" w:hAnsi="Times New Roman" w:cs="Times New Roman"/>
        </w:rPr>
        <w:t xml:space="preserve"> zákona, ktorým sa dopĺňa zákon č. 333/2004 Z. z. o voľbách do Národnej rady Slovenskej republiky v znení neskorších predpisov a zákon č. 85/2005 Z. z. o politických stranách a politických hnutiach v znení neskorších predpisov</w:t>
      </w:r>
    </w:p>
    <w:p w:rsidR="00DA49A7" w:rsidRPr="00D46621" w:rsidP="00DA49A7">
      <w:pPr>
        <w:pStyle w:val="Heading1"/>
        <w:ind w:left="708"/>
        <w:jc w:val="center"/>
        <w:rPr>
          <w:rFonts w:ascii="Times New Roman" w:hAnsi="Times New Roman" w:cs="Times New Roman"/>
          <w:color w:val="000000"/>
        </w:rPr>
      </w:pPr>
      <w:r w:rsidRPr="00381599">
        <w:rPr>
          <w:rFonts w:ascii="Times New Roman" w:hAnsi="Times New Roman" w:cs="Times New Roman"/>
        </w:rPr>
        <w:t xml:space="preserve"> (tlač 1547)</w:t>
      </w:r>
    </w:p>
    <w:p w:rsidR="00DA49A7" w:rsidP="00DA49A7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DA49A7" w:rsidRPr="00B53B4A" w:rsidP="00DA49A7">
      <w:pPr>
        <w:rPr>
          <w:rFonts w:ascii="Times New Roman" w:hAnsi="Times New Roman" w:cs="Times New Roman"/>
        </w:rPr>
      </w:pPr>
    </w:p>
    <w:p w:rsidR="00DA49A7" w:rsidP="000D14F9">
      <w:pPr>
        <w:rPr>
          <w:rFonts w:ascii="Times New Roman" w:hAnsi="Times New Roman" w:cs="Times New Roman"/>
        </w:rPr>
      </w:pPr>
    </w:p>
    <w:p w:rsidR="00532005" w:rsidRPr="00532005" w:rsidP="00532005">
      <w:pPr>
        <w:rPr>
          <w:rFonts w:ascii="Times New Roman" w:hAnsi="Times New Roman" w:cs="Times New Roman"/>
        </w:rPr>
      </w:pPr>
      <w:r w:rsidR="00333166">
        <w:rPr>
          <w:rFonts w:ascii="Times New Roman" w:hAnsi="Times New Roman" w:cs="Times New Roman"/>
        </w:rPr>
        <w:t>V návrhu zákona je potrebné</w:t>
      </w:r>
      <w:r w:rsidRPr="00532005">
        <w:rPr>
          <w:rFonts w:ascii="Times New Roman" w:hAnsi="Times New Roman" w:cs="Times New Roman"/>
        </w:rPr>
        <w:t xml:space="preserve"> vykonať nasledovné zmeny</w:t>
      </w:r>
      <w:r w:rsidR="00171E49">
        <w:rPr>
          <w:rFonts w:ascii="Times New Roman" w:hAnsi="Times New Roman" w:cs="Times New Roman"/>
        </w:rPr>
        <w:t xml:space="preserve"> </w:t>
      </w:r>
      <w:r w:rsidRPr="00532005">
        <w:rPr>
          <w:rFonts w:ascii="Times New Roman" w:hAnsi="Times New Roman" w:cs="Times New Roman"/>
        </w:rPr>
        <w:t xml:space="preserve">: </w:t>
      </w:r>
    </w:p>
    <w:p w:rsidR="00532005" w:rsidRPr="00532005" w:rsidP="00532005">
      <w:pPr>
        <w:rPr>
          <w:rFonts w:ascii="Times New Roman" w:hAnsi="Times New Roman" w:cs="Times New Roman"/>
        </w:rPr>
      </w:pPr>
    </w:p>
    <w:p w:rsidR="00532005" w:rsidRPr="00532005" w:rsidP="00532005">
      <w:pPr>
        <w:rPr>
          <w:rFonts w:ascii="Times New Roman" w:hAnsi="Times New Roman" w:cs="Times New Roman"/>
        </w:rPr>
      </w:pPr>
      <w:r w:rsidRPr="00532005">
        <w:rPr>
          <w:rFonts w:ascii="Times New Roman" w:hAnsi="Times New Roman" w:cs="Times New Roman"/>
        </w:rPr>
        <w:t>V článku II, § 34b, prvej vete sa slovo „podľa“</w:t>
      </w:r>
      <w:r w:rsidR="00171E49">
        <w:rPr>
          <w:rFonts w:ascii="Times New Roman" w:hAnsi="Times New Roman" w:cs="Times New Roman"/>
        </w:rPr>
        <w:t xml:space="preserve"> </w:t>
      </w:r>
      <w:r w:rsidRPr="00532005">
        <w:rPr>
          <w:rFonts w:ascii="Times New Roman" w:hAnsi="Times New Roman" w:cs="Times New Roman"/>
        </w:rPr>
        <w:t xml:space="preserve"> nahrádza slovom „na účely“ a slová „rovná celkovej sume“ </w:t>
      </w:r>
      <w:r w:rsidR="00171E49">
        <w:rPr>
          <w:rFonts w:ascii="Times New Roman" w:hAnsi="Times New Roman" w:cs="Times New Roman"/>
        </w:rPr>
        <w:t xml:space="preserve"> </w:t>
      </w:r>
      <w:r w:rsidRPr="00532005">
        <w:rPr>
          <w:rFonts w:ascii="Times New Roman" w:hAnsi="Times New Roman" w:cs="Times New Roman"/>
        </w:rPr>
        <w:t xml:space="preserve">nahrádzajú slovami „vypočíta z celkovej sumy“. </w:t>
      </w:r>
    </w:p>
    <w:p w:rsidR="00532005" w:rsidRPr="00532005" w:rsidP="00532005">
      <w:pPr>
        <w:rPr>
          <w:rFonts w:ascii="Times New Roman" w:hAnsi="Times New Roman" w:cs="Times New Roman"/>
        </w:rPr>
      </w:pPr>
    </w:p>
    <w:p w:rsidR="00532005" w:rsidRPr="00532005" w:rsidP="00532005">
      <w:pPr>
        <w:rPr>
          <w:rFonts w:ascii="Times New Roman" w:hAnsi="Times New Roman" w:cs="Times New Roman"/>
        </w:rPr>
      </w:pPr>
    </w:p>
    <w:p w:rsidR="00532005" w:rsidRPr="00532005" w:rsidP="00532005">
      <w:pPr>
        <w:ind w:left="2832"/>
        <w:jc w:val="both"/>
        <w:rPr>
          <w:rFonts w:ascii="Times New Roman" w:hAnsi="Times New Roman" w:cs="Times New Roman"/>
        </w:rPr>
      </w:pPr>
      <w:r w:rsidRPr="00532005">
        <w:rPr>
          <w:rFonts w:ascii="Times New Roman" w:hAnsi="Times New Roman" w:cs="Times New Roman"/>
        </w:rPr>
        <w:t xml:space="preserve">Úprava predmetného ustanovenia sa navrhuje s cieľom zamedziť možnému alternatívnemu výkladu ustanovenia a s cieľom precizovať text právnej úpravy tak, aby bolo zrejmé, že politickým stranám a koalíciám sa v roku 2010 vyplatí príspevok na činnosť v objeme príslušných troch podielov v súlade s § 27 ods. 2 zákona, a to v zníženej sume, ktorá bude vychádzať z výšky zníženého príspevku, ktorý získajú za hlasy. </w:t>
      </w:r>
    </w:p>
    <w:p w:rsidR="00DA49A7" w:rsidP="000D14F9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4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E2145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45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33166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E2145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283668"/>
    <w:multiLevelType w:val="hybridMultilevel"/>
    <w:tmpl w:val="3534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74C26"/>
    <w:multiLevelType w:val="hybridMultilevel"/>
    <w:tmpl w:val="5FB053E8"/>
    <w:lvl w:ilvl="0">
      <w:start w:val="1"/>
      <w:numFmt w:val="decimal"/>
      <w:lvlText w:val="%1."/>
      <w:lvlJc w:val="left"/>
      <w:pPr>
        <w:tabs>
          <w:tab w:val="num" w:pos="5670"/>
        </w:tabs>
        <w:ind w:left="5670" w:hanging="2535"/>
      </w:pPr>
    </w:lvl>
    <w:lvl w:ilvl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74D20"/>
    <w:multiLevelType w:val="hybridMultilevel"/>
    <w:tmpl w:val="329040F4"/>
    <w:lvl w:ilvl="0">
      <w:start w:val="3"/>
      <w:numFmt w:val="decimal"/>
      <w:lvlText w:val="%1."/>
      <w:lvlJc w:val="left"/>
      <w:pPr>
        <w:tabs>
          <w:tab w:val="num" w:pos="5250"/>
        </w:tabs>
        <w:ind w:left="5250" w:hanging="2415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>
    <w:nsid w:val="660A512A"/>
    <w:multiLevelType w:val="hybridMultilevel"/>
    <w:tmpl w:val="F88841B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67F0B"/>
    <w:rsid w:val="000D14F9"/>
    <w:rsid w:val="00171E49"/>
    <w:rsid w:val="001852E1"/>
    <w:rsid w:val="002B6101"/>
    <w:rsid w:val="002E2145"/>
    <w:rsid w:val="00333166"/>
    <w:rsid w:val="00370DA7"/>
    <w:rsid w:val="00381599"/>
    <w:rsid w:val="004D71D6"/>
    <w:rsid w:val="00522678"/>
    <w:rsid w:val="00532005"/>
    <w:rsid w:val="00595842"/>
    <w:rsid w:val="006437A1"/>
    <w:rsid w:val="006C72E6"/>
    <w:rsid w:val="007451AB"/>
    <w:rsid w:val="0077337A"/>
    <w:rsid w:val="00776A60"/>
    <w:rsid w:val="008458BA"/>
    <w:rsid w:val="009534E4"/>
    <w:rsid w:val="00985280"/>
    <w:rsid w:val="009E58D6"/>
    <w:rsid w:val="00A40EE6"/>
    <w:rsid w:val="00A8165F"/>
    <w:rsid w:val="00AF4CB1"/>
    <w:rsid w:val="00B53B4A"/>
    <w:rsid w:val="00B614DE"/>
    <w:rsid w:val="00B8677D"/>
    <w:rsid w:val="00BB19BA"/>
    <w:rsid w:val="00BD37D8"/>
    <w:rsid w:val="00BD7172"/>
    <w:rsid w:val="00C059CD"/>
    <w:rsid w:val="00C37D3C"/>
    <w:rsid w:val="00C66650"/>
    <w:rsid w:val="00CA6971"/>
    <w:rsid w:val="00CF7537"/>
    <w:rsid w:val="00D46621"/>
    <w:rsid w:val="00DA49A7"/>
    <w:rsid w:val="00E13467"/>
    <w:rsid w:val="00E20A99"/>
    <w:rsid w:val="00EA2888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503</TotalTime>
  <Pages>1</Pages>
  <Words>412</Words>
  <Characters>2354</Characters>
  <Application>Microsoft Office Word</Application>
  <DocSecurity>0</DocSecurity>
  <Lines>0</Lines>
  <Paragraphs>0</Paragraphs>
  <ScaleCrop>false</ScaleCrop>
  <Company>Kancelária NR SR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208</cp:revision>
  <cp:lastPrinted>2006-11-30T13:44:00Z</cp:lastPrinted>
  <dcterms:created xsi:type="dcterms:W3CDTF">2003-06-05T10:59:00Z</dcterms:created>
  <dcterms:modified xsi:type="dcterms:W3CDTF">2010-06-10T11:20:00Z</dcterms:modified>
</cp:coreProperties>
</file>