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688A" w:rsidRPr="00390BFF" w:rsidP="007E688A">
      <w:pPr>
        <w:pStyle w:val="Heading5"/>
        <w:spacing w:before="0"/>
        <w:ind w:firstLine="709"/>
        <w:rPr>
          <w:rFonts w:ascii="Times New Roman" w:hAnsi="Times New Roman" w:cs="Times New Roman"/>
          <w:szCs w:val="24"/>
        </w:rPr>
      </w:pPr>
      <w:r w:rsidRPr="00390BFF">
        <w:rPr>
          <w:rFonts w:ascii="Times New Roman" w:hAnsi="Times New Roman" w:cs="Times New Roman"/>
          <w:szCs w:val="24"/>
        </w:rPr>
        <w:t xml:space="preserve">  ÚSTAVNOPRÁVNY VÝBOR</w:t>
        <w:tab/>
      </w:r>
    </w:p>
    <w:p w:rsidR="007E688A" w:rsidRPr="00390BFF" w:rsidP="007E688A">
      <w:pPr>
        <w:spacing w:before="120"/>
        <w:rPr>
          <w:rFonts w:ascii="Times New Roman" w:hAnsi="Times New Roman" w:cs="Times New Roman"/>
        </w:rPr>
      </w:pPr>
      <w:r w:rsidRPr="00390BFF">
        <w:rPr>
          <w:rFonts w:ascii="Times New Roman" w:hAnsi="Times New Roman" w:cs="Times New Roman"/>
          <w:b/>
        </w:rPr>
        <w:t>NÁRODNEJ RADY SLOVENSKEJ REPUBLIKY</w:t>
      </w:r>
      <w:r w:rsidRPr="00390BFF">
        <w:rPr>
          <w:rFonts w:ascii="Times New Roman" w:hAnsi="Times New Roman" w:cs="Times New Roman"/>
        </w:rPr>
        <w:tab/>
      </w:r>
    </w:p>
    <w:p w:rsidR="007E688A" w:rsidRPr="00390BFF" w:rsidP="007E688A">
      <w:pPr>
        <w:spacing w:before="120"/>
        <w:ind w:left="1416" w:firstLine="708"/>
        <w:rPr>
          <w:rFonts w:ascii="Times New Roman" w:hAnsi="Times New Roman" w:cs="Times New Roman"/>
          <w:lang w:eastAsia="en-US"/>
        </w:rPr>
      </w:pPr>
      <w:r w:rsidRPr="00390BFF">
        <w:rPr>
          <w:rFonts w:ascii="Times New Roman" w:hAnsi="Times New Roman" w:cs="Times New Roman"/>
        </w:rPr>
        <w:tab/>
        <w:tab/>
        <w:tab/>
        <w:tab/>
        <w:t xml:space="preserve"> </w:t>
        <w:tab/>
        <w:tab/>
      </w:r>
      <w:r>
        <w:rPr>
          <w:rFonts w:ascii="Times New Roman" w:hAnsi="Times New Roman" w:cs="Times New Roman"/>
        </w:rPr>
        <w:t>11</w:t>
      </w:r>
      <w:r w:rsidR="00AD7BF7">
        <w:rPr>
          <w:rFonts w:ascii="Times New Roman" w:hAnsi="Times New Roman" w:cs="Times New Roman"/>
        </w:rPr>
        <w:t>5</w:t>
      </w:r>
      <w:r w:rsidRPr="00390BFF">
        <w:rPr>
          <w:rFonts w:ascii="Times New Roman" w:hAnsi="Times New Roman" w:cs="Times New Roman"/>
        </w:rPr>
        <w:t>. schôdza</w:t>
      </w:r>
    </w:p>
    <w:p w:rsidR="007E688A" w:rsidP="007E688A">
      <w:pPr>
        <w:jc w:val="both"/>
        <w:rPr>
          <w:rFonts w:ascii="Times New Roman" w:hAnsi="Times New Roman" w:cs="Times New Roman"/>
          <w:lang w:eastAsia="en-US"/>
        </w:rPr>
      </w:pPr>
      <w:r w:rsidRPr="00390BFF">
        <w:rPr>
          <w:rFonts w:ascii="Times New Roman" w:hAnsi="Times New Roman" w:cs="Times New Roman"/>
          <w:b/>
          <w:i/>
          <w:lang w:eastAsia="en-US"/>
        </w:rPr>
        <w:tab/>
        <w:tab/>
        <w:tab/>
        <w:tab/>
        <w:tab/>
        <w:tab/>
        <w:tab/>
        <w:tab/>
        <w:tab/>
      </w:r>
      <w:r w:rsidRPr="00390BFF">
        <w:rPr>
          <w:rFonts w:ascii="Times New Roman" w:hAnsi="Times New Roman" w:cs="Times New Roman"/>
          <w:lang w:eastAsia="en-US"/>
        </w:rPr>
        <w:t xml:space="preserve">Číslo: </w:t>
      </w:r>
      <w:r w:rsidR="00AD7BF7">
        <w:rPr>
          <w:rFonts w:ascii="Times New Roman" w:hAnsi="Times New Roman" w:cs="Times New Roman"/>
          <w:lang w:eastAsia="en-US"/>
        </w:rPr>
        <w:t xml:space="preserve"> </w:t>
      </w:r>
      <w:r w:rsidR="006B66CE">
        <w:rPr>
          <w:rFonts w:ascii="Times New Roman" w:hAnsi="Times New Roman" w:cs="Times New Roman"/>
          <w:lang w:eastAsia="en-US"/>
        </w:rPr>
        <w:t>609</w:t>
      </w:r>
      <w:r w:rsidRPr="00390BFF">
        <w:rPr>
          <w:rFonts w:ascii="Times New Roman" w:hAnsi="Times New Roman" w:cs="Times New Roman"/>
          <w:lang w:eastAsia="en-US"/>
        </w:rPr>
        <w:t>/20</w:t>
      </w:r>
      <w:r>
        <w:rPr>
          <w:rFonts w:ascii="Times New Roman" w:hAnsi="Times New Roman" w:cs="Times New Roman"/>
          <w:lang w:eastAsia="en-US"/>
        </w:rPr>
        <w:t>1</w:t>
      </w:r>
      <w:r w:rsidRPr="00390BFF">
        <w:rPr>
          <w:rFonts w:ascii="Times New Roman" w:hAnsi="Times New Roman" w:cs="Times New Roman"/>
          <w:lang w:eastAsia="en-US"/>
        </w:rPr>
        <w:t>0</w:t>
      </w:r>
    </w:p>
    <w:p w:rsidR="00811A7F" w:rsidRPr="00390BFF" w:rsidP="007E688A">
      <w:pPr>
        <w:jc w:val="both"/>
        <w:rPr>
          <w:rFonts w:ascii="Times New Roman" w:hAnsi="Times New Roman" w:cs="Times New Roman"/>
          <w:lang w:eastAsia="en-US"/>
        </w:rPr>
      </w:pPr>
    </w:p>
    <w:p w:rsidR="007E688A" w:rsidRPr="00390BFF" w:rsidP="007E688A">
      <w:pPr>
        <w:spacing w:before="120"/>
        <w:jc w:val="center"/>
        <w:rPr>
          <w:rFonts w:ascii="Times New Roman" w:hAnsi="Times New Roman" w:cs="Times New Roman"/>
          <w:sz w:val="32"/>
          <w:szCs w:val="32"/>
          <w:lang w:eastAsia="en-US"/>
        </w:rPr>
      </w:pPr>
      <w:r w:rsidR="007E33B1">
        <w:rPr>
          <w:rFonts w:ascii="Times New Roman" w:hAnsi="Times New Roman" w:cs="Times New Roman"/>
          <w:sz w:val="32"/>
          <w:szCs w:val="32"/>
          <w:lang w:eastAsia="en-US"/>
        </w:rPr>
        <w:t>860</w:t>
      </w:r>
    </w:p>
    <w:p w:rsidR="007E688A" w:rsidRPr="00390BFF" w:rsidP="007E688A">
      <w:pPr>
        <w:spacing w:before="120"/>
        <w:jc w:val="center"/>
        <w:rPr>
          <w:rFonts w:ascii="Times New Roman" w:hAnsi="Times New Roman" w:cs="Times New Roman"/>
          <w:b/>
          <w:lang w:eastAsia="en-US"/>
        </w:rPr>
      </w:pPr>
      <w:r w:rsidRPr="00390BFF">
        <w:rPr>
          <w:rFonts w:ascii="Times New Roman" w:hAnsi="Times New Roman" w:cs="Times New Roman"/>
          <w:b/>
        </w:rPr>
        <w:t>U z n e s e n i e</w:t>
      </w:r>
    </w:p>
    <w:p w:rsidR="007E688A" w:rsidRPr="00390BFF" w:rsidP="007E688A">
      <w:pPr>
        <w:spacing w:before="120"/>
        <w:jc w:val="center"/>
        <w:rPr>
          <w:rFonts w:ascii="Times New Roman" w:hAnsi="Times New Roman" w:cs="Times New Roman"/>
          <w:b/>
          <w:lang w:eastAsia="en-US"/>
        </w:rPr>
      </w:pPr>
      <w:r w:rsidRPr="00390BFF">
        <w:rPr>
          <w:rFonts w:ascii="Times New Roman" w:hAnsi="Times New Roman" w:cs="Times New Roman"/>
        </w:rPr>
        <w:t xml:space="preserve"> </w:t>
      </w:r>
      <w:r w:rsidRPr="00390BFF">
        <w:rPr>
          <w:rFonts w:ascii="Times New Roman" w:hAnsi="Times New Roman" w:cs="Times New Roman"/>
          <w:b/>
        </w:rPr>
        <w:t>Ústavnoprávneho výboru Národnej rady Slovenskej republiky</w:t>
      </w:r>
    </w:p>
    <w:p w:rsidR="007E688A" w:rsidRPr="00390BFF" w:rsidP="007E688A">
      <w:pPr>
        <w:spacing w:before="120"/>
        <w:jc w:val="center"/>
        <w:rPr>
          <w:rFonts w:ascii="Times New Roman" w:hAnsi="Times New Roman" w:cs="Times New Roman"/>
          <w:b/>
          <w:lang w:eastAsia="en-US"/>
        </w:rPr>
      </w:pPr>
      <w:r w:rsidRPr="00390BFF">
        <w:rPr>
          <w:rFonts w:ascii="Times New Roman" w:hAnsi="Times New Roman" w:cs="Times New Roman"/>
          <w:b/>
        </w:rPr>
        <w:t xml:space="preserve"> z</w:t>
      </w:r>
      <w:r w:rsidR="006B66CE">
        <w:rPr>
          <w:rFonts w:ascii="Times New Roman" w:hAnsi="Times New Roman" w:cs="Times New Roman"/>
          <w:b/>
        </w:rPr>
        <w:t> </w:t>
      </w:r>
      <w:r w:rsidR="000101C2">
        <w:rPr>
          <w:rFonts w:ascii="Times New Roman" w:hAnsi="Times New Roman" w:cs="Times New Roman"/>
          <w:b/>
        </w:rPr>
        <w:t>22</w:t>
      </w:r>
      <w:r w:rsidR="006B66CE">
        <w:rPr>
          <w:rFonts w:ascii="Times New Roman" w:hAnsi="Times New Roman" w:cs="Times New Roman"/>
          <w:b/>
        </w:rPr>
        <w:t xml:space="preserve">. </w:t>
      </w:r>
      <w:r w:rsidR="000101C2">
        <w:rPr>
          <w:rFonts w:ascii="Times New Roman" w:hAnsi="Times New Roman" w:cs="Times New Roman"/>
          <w:b/>
        </w:rPr>
        <w:t>apríla</w:t>
      </w:r>
      <w:r w:rsidRPr="00390BFF">
        <w:rPr>
          <w:rFonts w:ascii="Times New Roman" w:hAnsi="Times New Roman" w:cs="Times New Roman"/>
          <w:b/>
        </w:rPr>
        <w:t xml:space="preserve"> 20</w:t>
      </w:r>
      <w:r>
        <w:rPr>
          <w:rFonts w:ascii="Times New Roman" w:hAnsi="Times New Roman" w:cs="Times New Roman"/>
          <w:b/>
        </w:rPr>
        <w:t>1</w:t>
      </w:r>
      <w:r w:rsidRPr="00390BFF">
        <w:rPr>
          <w:rFonts w:ascii="Times New Roman" w:hAnsi="Times New Roman" w:cs="Times New Roman"/>
          <w:b/>
        </w:rPr>
        <w:t>0</w:t>
      </w:r>
    </w:p>
    <w:p w:rsidR="007E688A" w:rsidRPr="00390BFF" w:rsidP="007E688A">
      <w:pPr>
        <w:spacing w:before="120"/>
        <w:rPr>
          <w:rFonts w:ascii="Times New Roman" w:hAnsi="Times New Roman" w:cs="Times New Roman"/>
        </w:rPr>
      </w:pPr>
    </w:p>
    <w:p w:rsidR="007E688A" w:rsidRPr="00390BFF" w:rsidP="007E688A">
      <w:pPr>
        <w:spacing w:before="120"/>
        <w:rPr>
          <w:rFonts w:ascii="Times New Roman" w:hAnsi="Times New Roman" w:cs="Times New Roman"/>
          <w:b/>
          <w:lang w:eastAsia="en-US"/>
        </w:rPr>
      </w:pPr>
      <w:r w:rsidRPr="00390BFF">
        <w:rPr>
          <w:rFonts w:ascii="Times New Roman" w:hAnsi="Times New Roman" w:cs="Times New Roman"/>
        </w:rPr>
        <w:tab/>
      </w:r>
      <w:r w:rsidRPr="00390BFF">
        <w:rPr>
          <w:rFonts w:ascii="Times New Roman" w:hAnsi="Times New Roman" w:cs="Times New Roman"/>
          <w:b/>
        </w:rPr>
        <w:t>Ústavnoprávny výbor Národnej rady Slovenskej rep</w:t>
      </w:r>
      <w:r w:rsidRPr="00390BFF">
        <w:rPr>
          <w:rFonts w:ascii="Times New Roman" w:hAnsi="Times New Roman" w:cs="Times New Roman"/>
          <w:b/>
        </w:rPr>
        <w:t>ubliky</w:t>
      </w:r>
    </w:p>
    <w:p w:rsidR="007E688A" w:rsidRPr="00CE5982" w:rsidP="007E688A">
      <w:pPr>
        <w:pStyle w:val="TxBrp1"/>
        <w:tabs>
          <w:tab w:val="left" w:pos="720"/>
          <w:tab w:val="clear" w:pos="1020"/>
        </w:tabs>
        <w:spacing w:line="240" w:lineRule="auto"/>
        <w:ind w:left="0"/>
        <w:rPr>
          <w:rFonts w:ascii="Times New Roman" w:hAnsi="Times New Roman" w:cs="Times New Roman"/>
          <w:sz w:val="24"/>
          <w:lang w:val="sk-SK"/>
        </w:rPr>
      </w:pPr>
    </w:p>
    <w:p w:rsidR="007E688A" w:rsidRPr="00962B45" w:rsidP="007E688A">
      <w:pPr>
        <w:jc w:val="both"/>
        <w:rPr>
          <w:rFonts w:ascii="Times New Roman" w:hAnsi="Times New Roman" w:cs="Times New Roman"/>
        </w:rPr>
      </w:pPr>
      <w:r w:rsidRPr="00962B45">
        <w:rPr>
          <w:rFonts w:ascii="Times New Roman" w:hAnsi="Times New Roman" w:cs="Times New Roman"/>
        </w:rPr>
        <w:t xml:space="preserve">     </w:t>
        <w:tab/>
        <w:t xml:space="preserve">prerokoval vládny návrh zákona, ktorým sa mení </w:t>
      </w:r>
      <w:r>
        <w:rPr>
          <w:rFonts w:ascii="Times New Roman" w:hAnsi="Times New Roman" w:cs="Times New Roman"/>
        </w:rPr>
        <w:t>a </w:t>
      </w:r>
      <w:r w:rsidRPr="004061F1">
        <w:rPr>
          <w:rFonts w:ascii="Times New Roman" w:hAnsi="Times New Roman" w:cs="Times New Roman"/>
          <w:b/>
        </w:rPr>
        <w:t xml:space="preserve">dopĺňa zákon </w:t>
      </w:r>
      <w:r w:rsidRPr="004061F1" w:rsidR="006B66CE">
        <w:rPr>
          <w:rFonts w:ascii="Times New Roman" w:hAnsi="Times New Roman" w:cs="Times New Roman"/>
          <w:b/>
        </w:rPr>
        <w:t>č. 300/2005 Z. z. Trestný zákon</w:t>
      </w:r>
      <w:r w:rsidR="006B66CE">
        <w:rPr>
          <w:rFonts w:ascii="Times New Roman" w:hAnsi="Times New Roman" w:cs="Times New Roman"/>
        </w:rPr>
        <w:t xml:space="preserve"> v znení neskorších predpisov a o zmene a doplnení niektorých zákonov (tlač 1487) </w:t>
      </w:r>
      <w:r w:rsidRPr="00962B45">
        <w:rPr>
          <w:rFonts w:ascii="Times New Roman" w:hAnsi="Times New Roman" w:cs="Times New Roman"/>
        </w:rPr>
        <w:t>a</w:t>
      </w:r>
    </w:p>
    <w:p w:rsidR="007E688A" w:rsidRPr="00CE5982" w:rsidP="007E688A">
      <w:pPr>
        <w:jc w:val="both"/>
        <w:rPr>
          <w:rFonts w:ascii="Times New Roman" w:hAnsi="Times New Roman" w:cs="Times New Roman"/>
        </w:rPr>
      </w:pPr>
    </w:p>
    <w:p w:rsidR="007E688A" w:rsidRPr="001F558B" w:rsidP="007E688A">
      <w:pPr>
        <w:tabs>
          <w:tab w:val="left" w:pos="993"/>
        </w:tabs>
        <w:jc w:val="both"/>
        <w:rPr>
          <w:rFonts w:ascii="Times New Roman" w:hAnsi="Times New Roman" w:cs="Times New Roman"/>
          <w:b/>
        </w:rPr>
      </w:pPr>
    </w:p>
    <w:p w:rsidR="007E688A" w:rsidRPr="001F558B" w:rsidP="007E688A">
      <w:pPr>
        <w:tabs>
          <w:tab w:val="left" w:pos="993"/>
        </w:tabs>
        <w:jc w:val="both"/>
        <w:rPr>
          <w:rFonts w:ascii="Times New Roman" w:hAnsi="Times New Roman" w:cs="Times New Roman"/>
          <w:lang w:eastAsia="en-US"/>
        </w:rPr>
      </w:pPr>
      <w:r w:rsidRPr="001F558B">
        <w:rPr>
          <w:rFonts w:ascii="Times New Roman" w:hAnsi="Times New Roman" w:cs="Times New Roman"/>
          <w:b/>
        </w:rPr>
        <w:tab/>
        <w:t>A.   s ú h l a s í</w:t>
      </w:r>
      <w:r w:rsidRPr="001F558B">
        <w:rPr>
          <w:rFonts w:ascii="Times New Roman" w:hAnsi="Times New Roman" w:cs="Times New Roman"/>
        </w:rPr>
        <w:t xml:space="preserve"> </w:t>
      </w:r>
    </w:p>
    <w:p w:rsidR="007E688A" w:rsidRPr="001F558B" w:rsidP="007E688A">
      <w:pPr>
        <w:pStyle w:val="BodyTextIndent2"/>
        <w:tabs>
          <w:tab w:val="clear" w:pos="284"/>
          <w:tab w:val="left" w:pos="708"/>
        </w:tabs>
        <w:ind w:left="708" w:firstLine="708"/>
        <w:rPr>
          <w:rFonts w:ascii="Times New Roman" w:hAnsi="Times New Roman" w:cs="Times New Roman"/>
          <w:szCs w:val="24"/>
          <w:lang w:eastAsia="sk-SK"/>
        </w:rPr>
      </w:pPr>
    </w:p>
    <w:p w:rsidR="007E688A" w:rsidRPr="00962B45" w:rsidP="007E688A">
      <w:pPr>
        <w:tabs>
          <w:tab w:val="left" w:pos="540"/>
        </w:tabs>
        <w:jc w:val="both"/>
        <w:rPr>
          <w:rFonts w:ascii="Times New Roman" w:hAnsi="Times New Roman" w:cs="Times New Roman"/>
        </w:rPr>
      </w:pPr>
      <w:r w:rsidRPr="00962B45">
        <w:rPr>
          <w:rFonts w:ascii="Times New Roman" w:hAnsi="Times New Roman" w:cs="Times New Roman"/>
        </w:rPr>
        <w:tab/>
        <w:tab/>
        <w:tab/>
        <w:t>s vládny</w:t>
      </w:r>
      <w:r>
        <w:rPr>
          <w:rFonts w:ascii="Times New Roman" w:hAnsi="Times New Roman" w:cs="Times New Roman"/>
        </w:rPr>
        <w:t>m</w:t>
      </w:r>
      <w:r w:rsidRPr="00962B45">
        <w:rPr>
          <w:rFonts w:ascii="Times New Roman" w:hAnsi="Times New Roman" w:cs="Times New Roman"/>
        </w:rPr>
        <w:t xml:space="preserve"> návrh</w:t>
      </w:r>
      <w:r>
        <w:rPr>
          <w:rFonts w:ascii="Times New Roman" w:hAnsi="Times New Roman" w:cs="Times New Roman"/>
        </w:rPr>
        <w:t>om</w:t>
      </w:r>
      <w:r w:rsidRPr="00962B45">
        <w:rPr>
          <w:rFonts w:ascii="Times New Roman" w:hAnsi="Times New Roman" w:cs="Times New Roman"/>
        </w:rPr>
        <w:t xml:space="preserve"> zákona,</w:t>
      </w:r>
      <w:r w:rsidRPr="00962B45" w:rsidR="006B66CE">
        <w:rPr>
          <w:rFonts w:ascii="Times New Roman" w:hAnsi="Times New Roman" w:cs="Times New Roman"/>
        </w:rPr>
        <w:t xml:space="preserve"> ktorým sa me</w:t>
      </w:r>
      <w:r w:rsidRPr="00962B45" w:rsidR="006B66CE">
        <w:rPr>
          <w:rFonts w:ascii="Times New Roman" w:hAnsi="Times New Roman" w:cs="Times New Roman"/>
        </w:rPr>
        <w:t xml:space="preserve">ní </w:t>
      </w:r>
      <w:r w:rsidR="006B66CE">
        <w:rPr>
          <w:rFonts w:ascii="Times New Roman" w:hAnsi="Times New Roman" w:cs="Times New Roman"/>
        </w:rPr>
        <w:t xml:space="preserve">a dopĺňa </w:t>
      </w:r>
      <w:r w:rsidRPr="00962B45" w:rsidR="006B66CE">
        <w:rPr>
          <w:rFonts w:ascii="Times New Roman" w:hAnsi="Times New Roman" w:cs="Times New Roman"/>
        </w:rPr>
        <w:t xml:space="preserve">zákon </w:t>
      </w:r>
      <w:r w:rsidR="006B66CE">
        <w:rPr>
          <w:rFonts w:ascii="Times New Roman" w:hAnsi="Times New Roman" w:cs="Times New Roman"/>
        </w:rPr>
        <w:t xml:space="preserve">č. 300/2005 Z. z. Trestný zákon v znení neskorších predpisov a o zmene a doplnení niektorých zákonov (tlač 1487); </w:t>
      </w:r>
    </w:p>
    <w:p w:rsidR="007E688A" w:rsidRPr="00962B45" w:rsidP="007E688A">
      <w:pPr>
        <w:pStyle w:val="TxBrp9"/>
        <w:spacing w:line="240" w:lineRule="auto"/>
        <w:rPr>
          <w:rFonts w:ascii="Times New Roman" w:hAnsi="Times New Roman" w:cs="Times New Roman"/>
          <w:sz w:val="24"/>
          <w:lang w:val="sk-SK"/>
        </w:rPr>
      </w:pPr>
    </w:p>
    <w:p w:rsidR="007E688A" w:rsidRPr="001F558B" w:rsidP="007E688A">
      <w:pPr>
        <w:pStyle w:val="Heading1"/>
        <w:spacing w:before="0"/>
        <w:ind w:left="992"/>
        <w:rPr>
          <w:rFonts w:ascii="Times New Roman" w:hAnsi="Times New Roman" w:cs="Times New Roman"/>
          <w:szCs w:val="24"/>
        </w:rPr>
      </w:pPr>
      <w:r w:rsidRPr="001F558B">
        <w:rPr>
          <w:rFonts w:ascii="Times New Roman" w:hAnsi="Times New Roman" w:cs="Times New Roman"/>
          <w:szCs w:val="24"/>
        </w:rPr>
        <w:t>B.   o d p o r ú č a</w:t>
      </w:r>
    </w:p>
    <w:p w:rsidR="007E688A" w:rsidRPr="00390BFF" w:rsidP="007E688A">
      <w:pPr>
        <w:tabs>
          <w:tab w:val="left" w:pos="1021"/>
        </w:tabs>
        <w:jc w:val="both"/>
        <w:rPr>
          <w:rFonts w:ascii="Times New Roman" w:hAnsi="Times New Roman" w:cs="Times New Roman"/>
          <w:lang w:eastAsia="en-US"/>
        </w:rPr>
      </w:pPr>
    </w:p>
    <w:p w:rsidR="007E688A" w:rsidRPr="00390BFF" w:rsidP="007E688A">
      <w:pPr>
        <w:tabs>
          <w:tab w:val="left" w:pos="1021"/>
        </w:tabs>
        <w:jc w:val="both"/>
        <w:rPr>
          <w:rFonts w:ascii="Times New Roman" w:hAnsi="Times New Roman" w:cs="Times New Roman"/>
          <w:lang w:eastAsia="sk-SK"/>
        </w:rPr>
      </w:pPr>
      <w:r w:rsidRPr="00390BFF">
        <w:rPr>
          <w:rFonts w:ascii="Times New Roman" w:hAnsi="Times New Roman" w:cs="Times New Roman"/>
          <w:lang w:eastAsia="sk-SK"/>
        </w:rPr>
        <w:tab/>
        <w:tab/>
        <w:t>Národnej rade Slovenskej republiky</w:t>
      </w:r>
    </w:p>
    <w:p w:rsidR="007E688A" w:rsidRPr="00390BFF" w:rsidP="007E688A">
      <w:pPr>
        <w:tabs>
          <w:tab w:val="left" w:pos="1021"/>
        </w:tabs>
        <w:jc w:val="both"/>
        <w:rPr>
          <w:rFonts w:ascii="Times New Roman" w:hAnsi="Times New Roman" w:cs="Times New Roman"/>
          <w:lang w:eastAsia="sk-SK"/>
        </w:rPr>
      </w:pPr>
    </w:p>
    <w:p w:rsidR="007E688A" w:rsidP="007E688A">
      <w:pPr>
        <w:tabs>
          <w:tab w:val="left" w:pos="540"/>
        </w:tabs>
        <w:jc w:val="both"/>
        <w:rPr>
          <w:rFonts w:ascii="Times New Roman" w:hAnsi="Times New Roman" w:cs="Times New Roman"/>
          <w:bCs/>
        </w:rPr>
      </w:pPr>
      <w:r w:rsidRPr="00962B45">
        <w:rPr>
          <w:rFonts w:ascii="Times New Roman" w:hAnsi="Times New Roman" w:cs="Times New Roman"/>
        </w:rPr>
        <w:tab/>
        <w:tab/>
        <w:tab/>
        <w:t xml:space="preserve">vládny návrh zákona, </w:t>
      </w:r>
      <w:r w:rsidRPr="00962B45" w:rsidR="006B66CE">
        <w:rPr>
          <w:rFonts w:ascii="Times New Roman" w:hAnsi="Times New Roman" w:cs="Times New Roman"/>
        </w:rPr>
        <w:t xml:space="preserve">ktorým sa mení </w:t>
      </w:r>
      <w:r w:rsidR="006B66CE">
        <w:rPr>
          <w:rFonts w:ascii="Times New Roman" w:hAnsi="Times New Roman" w:cs="Times New Roman"/>
        </w:rPr>
        <w:t xml:space="preserve">a dopĺňa </w:t>
      </w:r>
      <w:r w:rsidRPr="00962B45" w:rsidR="006B66CE">
        <w:rPr>
          <w:rFonts w:ascii="Times New Roman" w:hAnsi="Times New Roman" w:cs="Times New Roman"/>
        </w:rPr>
        <w:t xml:space="preserve">zákon </w:t>
      </w:r>
      <w:r w:rsidR="006B66CE">
        <w:rPr>
          <w:rFonts w:ascii="Times New Roman" w:hAnsi="Times New Roman" w:cs="Times New Roman"/>
        </w:rPr>
        <w:t xml:space="preserve">č. 300/2005 Z. z. Trestný zákon v znení neskorších predpisov a o zmene a doplnení niektorých zákonov (tlač 1487) </w:t>
      </w:r>
      <w:r w:rsidRPr="00390BFF">
        <w:rPr>
          <w:rFonts w:ascii="Times New Roman" w:hAnsi="Times New Roman" w:cs="Times New Roman"/>
          <w:b/>
          <w:bCs/>
        </w:rPr>
        <w:t>schváliť</w:t>
      </w:r>
      <w:r>
        <w:rPr>
          <w:rFonts w:ascii="Times New Roman" w:hAnsi="Times New Roman" w:cs="Times New Roman"/>
          <w:b/>
          <w:bCs/>
        </w:rPr>
        <w:t xml:space="preserve"> </w:t>
      </w:r>
      <w:r>
        <w:rPr>
          <w:rFonts w:ascii="Times New Roman" w:hAnsi="Times New Roman" w:cs="Times New Roman"/>
          <w:bCs/>
        </w:rPr>
        <w:t>so zmenami a</w:t>
      </w:r>
      <w:r w:rsidR="00CC4258">
        <w:rPr>
          <w:rFonts w:ascii="Times New Roman" w:hAnsi="Times New Roman" w:cs="Times New Roman"/>
          <w:bCs/>
        </w:rPr>
        <w:t> </w:t>
      </w:r>
      <w:r>
        <w:rPr>
          <w:rFonts w:ascii="Times New Roman" w:hAnsi="Times New Roman" w:cs="Times New Roman"/>
          <w:bCs/>
        </w:rPr>
        <w:t>doplnkami</w:t>
      </w:r>
      <w:r w:rsidR="00CC4258">
        <w:rPr>
          <w:rFonts w:ascii="Times New Roman" w:hAnsi="Times New Roman" w:cs="Times New Roman"/>
          <w:bCs/>
        </w:rPr>
        <w:t xml:space="preserve"> uvedenými v prílohe tohto uznesenia;</w:t>
      </w:r>
    </w:p>
    <w:p w:rsidR="007E688A" w:rsidRPr="00390BFF" w:rsidP="007E688A">
      <w:pPr>
        <w:tabs>
          <w:tab w:val="left" w:pos="540"/>
        </w:tabs>
        <w:jc w:val="both"/>
        <w:rPr>
          <w:rFonts w:ascii="Times New Roman" w:hAnsi="Times New Roman" w:cs="Times New Roman"/>
        </w:rPr>
      </w:pPr>
      <w:r w:rsidRPr="00390BFF">
        <w:rPr>
          <w:rFonts w:ascii="Times New Roman" w:hAnsi="Times New Roman" w:cs="Times New Roman"/>
          <w:b/>
          <w:bCs/>
        </w:rPr>
        <w:t xml:space="preserve"> </w:t>
      </w:r>
    </w:p>
    <w:p w:rsidR="007E688A" w:rsidRPr="00390BFF" w:rsidP="007E688A">
      <w:pPr>
        <w:tabs>
          <w:tab w:val="left" w:pos="1021"/>
        </w:tabs>
        <w:jc w:val="both"/>
        <w:rPr>
          <w:rFonts w:ascii="Times New Roman" w:hAnsi="Times New Roman" w:cs="Times New Roman"/>
          <w:b/>
          <w:iCs/>
        </w:rPr>
      </w:pPr>
    </w:p>
    <w:p w:rsidR="00644860" w:rsidRPr="00B643E6" w:rsidP="00644860">
      <w:pPr>
        <w:pStyle w:val="BodyText"/>
        <w:tabs>
          <w:tab w:val="left" w:pos="1021"/>
        </w:tabs>
        <w:rPr>
          <w:rFonts w:ascii="Times New Roman" w:hAnsi="Times New Roman" w:cs="Times New Roman"/>
          <w:b/>
        </w:rPr>
      </w:pPr>
      <w:r>
        <w:rPr>
          <w:rFonts w:ascii="Times New Roman" w:hAnsi="Times New Roman" w:cs="Times New Roman"/>
          <w:b/>
        </w:rPr>
        <w:tab/>
      </w:r>
      <w:r w:rsidRPr="00B643E6">
        <w:rPr>
          <w:rFonts w:ascii="Times New Roman" w:hAnsi="Times New Roman" w:cs="Times New Roman"/>
          <w:b/>
        </w:rPr>
        <w:t>C.  p o v e r u j e</w:t>
      </w:r>
    </w:p>
    <w:p w:rsidR="00644860" w:rsidRPr="006C7E01" w:rsidP="00644860">
      <w:pPr>
        <w:pStyle w:val="BodyText"/>
        <w:tabs>
          <w:tab w:val="left" w:pos="993"/>
        </w:tabs>
        <w:rPr>
          <w:rFonts w:ascii="Times New Roman" w:hAnsi="Times New Roman" w:cs="Times New Roman"/>
        </w:rPr>
      </w:pPr>
    </w:p>
    <w:p w:rsidR="00644860" w:rsidRPr="006C7E01" w:rsidP="00644860">
      <w:pPr>
        <w:pStyle w:val="BodyText"/>
        <w:tabs>
          <w:tab w:val="left" w:pos="1021"/>
        </w:tabs>
        <w:rPr>
          <w:rFonts w:ascii="Times New Roman" w:hAnsi="Times New Roman" w:cs="Times New Roman"/>
        </w:rPr>
      </w:pPr>
      <w:r w:rsidRPr="006C7E01">
        <w:rPr>
          <w:rFonts w:ascii="Times New Roman" w:hAnsi="Times New Roman" w:cs="Times New Roman"/>
          <w:b/>
        </w:rPr>
        <w:tab/>
        <w:t xml:space="preserve">     </w:t>
      </w:r>
      <w:r w:rsidRPr="006C7E01">
        <w:rPr>
          <w:rFonts w:ascii="Times New Roman" w:hAnsi="Times New Roman" w:cs="Times New Roman"/>
        </w:rPr>
        <w:t xml:space="preserve">1. predsedu výboru, aby výsledky rokovania Ústavnoprávneho výboru Národnej rady Slovenskej republiky v druhom čítaní </w:t>
      </w:r>
      <w:r w:rsidRPr="000D4C85">
        <w:rPr>
          <w:rFonts w:ascii="Times New Roman" w:hAnsi="Times New Roman" w:cs="Times New Roman"/>
        </w:rPr>
        <w:t>z</w:t>
      </w:r>
      <w:r>
        <w:rPr>
          <w:rFonts w:ascii="Times New Roman" w:hAnsi="Times New Roman" w:cs="Times New Roman"/>
        </w:rPr>
        <w:t> </w:t>
      </w:r>
      <w:r w:rsidR="000101C2">
        <w:rPr>
          <w:rFonts w:ascii="Times New Roman" w:hAnsi="Times New Roman" w:cs="Times New Roman"/>
        </w:rPr>
        <w:t>22</w:t>
      </w:r>
      <w:r>
        <w:rPr>
          <w:rFonts w:ascii="Times New Roman" w:hAnsi="Times New Roman" w:cs="Times New Roman"/>
        </w:rPr>
        <w:t xml:space="preserve">. </w:t>
      </w:r>
      <w:r w:rsidR="000101C2">
        <w:rPr>
          <w:rFonts w:ascii="Times New Roman" w:hAnsi="Times New Roman" w:cs="Times New Roman"/>
        </w:rPr>
        <w:t>apríla</w:t>
      </w:r>
      <w:r w:rsidRPr="000D4C85">
        <w:rPr>
          <w:rFonts w:ascii="Times New Roman" w:hAnsi="Times New Roman" w:cs="Times New Roman"/>
        </w:rPr>
        <w:t xml:space="preserve"> 2010</w:t>
      </w:r>
      <w:r w:rsidRPr="006C7E01">
        <w:rPr>
          <w:rFonts w:ascii="Times New Roman" w:hAnsi="Times New Roman" w:cs="Times New Roman"/>
        </w:rPr>
        <w:t xml:space="preserve"> spolu s výsledkami rokovania </w:t>
      </w:r>
      <w:r>
        <w:rPr>
          <w:rFonts w:ascii="Times New Roman" w:hAnsi="Times New Roman" w:cs="Times New Roman"/>
        </w:rPr>
        <w:t>výborov</w:t>
      </w:r>
      <w:r w:rsidRPr="006C7E01">
        <w:rPr>
          <w:rFonts w:ascii="Times New Roman" w:hAnsi="Times New Roman" w:cs="Times New Roman"/>
        </w:rPr>
        <w:t xml:space="preserve"> Národnej rady Slovenskej republiky</w:t>
      </w:r>
      <w:r>
        <w:rPr>
          <w:rFonts w:ascii="Times New Roman" w:hAnsi="Times New Roman" w:cs="Times New Roman"/>
        </w:rPr>
        <w:t xml:space="preserve"> </w:t>
      </w:r>
      <w:r w:rsidRPr="006C7E01">
        <w:rPr>
          <w:rFonts w:ascii="Times New Roman" w:hAnsi="Times New Roman" w:cs="Times New Roman"/>
        </w:rPr>
        <w:t xml:space="preserve">spracoval do  písomnej spoločnej správy výborov Národnej rady Slovenskej republiky v súlade s § 79 ods. 1 zákona Národnej rady Slovenskej republiky o rokovacom poriadku Národnej rady Slovenskej republiky v znení neskorších predpisov a predložil ju na schválenie Ústavnoprávnemu výboru Národnej rady Slovenskej republiky ako gestorskému výboru, </w:t>
      </w:r>
    </w:p>
    <w:p w:rsidR="00644860" w:rsidRPr="006C7E01" w:rsidP="00644860">
      <w:pPr>
        <w:pStyle w:val="BodyText"/>
        <w:tabs>
          <w:tab w:val="left" w:pos="1021"/>
        </w:tabs>
        <w:rPr>
          <w:rFonts w:ascii="Times New Roman" w:hAnsi="Times New Roman" w:cs="Times New Roman"/>
        </w:rPr>
      </w:pPr>
    </w:p>
    <w:p w:rsidR="00644860" w:rsidRPr="006C7E01" w:rsidP="00644860">
      <w:pPr>
        <w:pStyle w:val="BodyText"/>
        <w:tabs>
          <w:tab w:val="left" w:pos="1021"/>
        </w:tabs>
        <w:rPr>
          <w:rFonts w:ascii="Times New Roman" w:hAnsi="Times New Roman" w:cs="Times New Roman"/>
        </w:rPr>
      </w:pPr>
      <w:r w:rsidRPr="006C7E01">
        <w:rPr>
          <w:rFonts w:ascii="Times New Roman" w:hAnsi="Times New Roman" w:cs="Times New Roman"/>
        </w:rPr>
        <w:tab/>
        <w:tab/>
        <w:t xml:space="preserve">2. </w:t>
      </w:r>
      <w:r w:rsidRPr="00384D8C">
        <w:rPr>
          <w:rFonts w:ascii="Times New Roman" w:hAnsi="Times New Roman" w:cs="Times New Roman"/>
          <w:b/>
        </w:rPr>
        <w:t>spoločn</w:t>
      </w:r>
      <w:r w:rsidRPr="00384D8C" w:rsidR="00247E6D">
        <w:rPr>
          <w:rFonts w:ascii="Times New Roman" w:hAnsi="Times New Roman" w:cs="Times New Roman"/>
          <w:b/>
        </w:rPr>
        <w:t>ú</w:t>
      </w:r>
      <w:r w:rsidRPr="00384D8C">
        <w:rPr>
          <w:rFonts w:ascii="Times New Roman" w:hAnsi="Times New Roman" w:cs="Times New Roman"/>
          <w:b/>
        </w:rPr>
        <w:t xml:space="preserve"> spravodaj</w:t>
      </w:r>
      <w:r w:rsidRPr="00384D8C" w:rsidR="00247E6D">
        <w:rPr>
          <w:rFonts w:ascii="Times New Roman" w:hAnsi="Times New Roman" w:cs="Times New Roman"/>
          <w:b/>
        </w:rPr>
        <w:t>kyňu</w:t>
      </w:r>
      <w:r w:rsidRPr="006C7E01">
        <w:rPr>
          <w:rFonts w:ascii="Times New Roman" w:hAnsi="Times New Roman" w:cs="Times New Roman"/>
        </w:rPr>
        <w:t xml:space="preserve"> výborov Národnej rady Slovenskej republiky  </w:t>
      </w:r>
      <w:r w:rsidR="00247E6D">
        <w:rPr>
          <w:rFonts w:ascii="Times New Roman" w:hAnsi="Times New Roman" w:cs="Times New Roman"/>
          <w:b/>
        </w:rPr>
        <w:t>Janu Laššákovú</w:t>
      </w:r>
      <w:r>
        <w:rPr>
          <w:rFonts w:ascii="Times New Roman" w:hAnsi="Times New Roman" w:cs="Times New Roman"/>
          <w:b/>
        </w:rPr>
        <w:t xml:space="preserve">, </w:t>
      </w:r>
      <w:r>
        <w:rPr>
          <w:rFonts w:ascii="Times New Roman" w:hAnsi="Times New Roman" w:cs="Times New Roman"/>
        </w:rPr>
        <w:t xml:space="preserve">aby </w:t>
      </w:r>
      <w:r w:rsidRPr="006C7E01">
        <w:rPr>
          <w:rFonts w:ascii="Times New Roman" w:hAnsi="Times New Roman" w:cs="Times New Roman"/>
        </w:rPr>
        <w:t>v súlade s § 80 ods. 2 zákona Národnej rady Slovenskej republiky č.  3</w:t>
      </w:r>
      <w:smartTag w:uri="urn:schemas-microsoft-com:office:smarttags" w:element="PersonName">
        <w:r w:rsidRPr="006C7E01">
          <w:rPr>
            <w:rFonts w:ascii="Times New Roman" w:hAnsi="Times New Roman" w:cs="Times New Roman"/>
          </w:rPr>
          <w:t>50</w:t>
        </w:r>
      </w:smartTag>
      <w:r w:rsidRPr="006C7E01">
        <w:rPr>
          <w:rFonts w:ascii="Times New Roman" w:hAnsi="Times New Roman" w:cs="Times New Roman"/>
        </w:rPr>
        <w:t>/1996 Z. z. o rokovacom poriadku Národnej rady Slovenskej republiky v znení neskorších predpisov infor</w:t>
      </w:r>
      <w:r w:rsidRPr="006C7E01">
        <w:rPr>
          <w:rFonts w:ascii="Times New Roman" w:hAnsi="Times New Roman" w:cs="Times New Roman"/>
        </w:rPr>
        <w:t>moval</w:t>
      </w:r>
      <w:r w:rsidR="00811A7F">
        <w:rPr>
          <w:rFonts w:ascii="Times New Roman" w:hAnsi="Times New Roman" w:cs="Times New Roman"/>
        </w:rPr>
        <w:t>a</w:t>
      </w:r>
      <w:r w:rsidRPr="006C7E01">
        <w:rPr>
          <w:rFonts w:ascii="Times New Roman" w:hAnsi="Times New Roman" w:cs="Times New Roman"/>
        </w:rPr>
        <w:t xml:space="preserve"> o výsledku rokovania výborov Národnej rady Slovenskej republiky a aby odôvodnil</w:t>
      </w:r>
      <w:r w:rsidR="00811A7F">
        <w:rPr>
          <w:rFonts w:ascii="Times New Roman" w:hAnsi="Times New Roman" w:cs="Times New Roman"/>
        </w:rPr>
        <w:t>a</w:t>
      </w:r>
      <w:r w:rsidRPr="006C7E01">
        <w:rPr>
          <w:rFonts w:ascii="Times New Roman" w:hAnsi="Times New Roman" w:cs="Times New Roman"/>
        </w:rPr>
        <w:t xml:space="preserve"> návrh a stanovisko gestorského výboru k</w:t>
      </w:r>
      <w:r>
        <w:rPr>
          <w:rFonts w:ascii="Times New Roman" w:hAnsi="Times New Roman" w:cs="Times New Roman"/>
        </w:rPr>
        <w:t xml:space="preserve">  </w:t>
      </w:r>
      <w:r w:rsidRPr="006C7E01">
        <w:rPr>
          <w:rFonts w:ascii="Times New Roman" w:hAnsi="Times New Roman" w:cs="Times New Roman"/>
        </w:rPr>
        <w:t xml:space="preserve">návrhu </w:t>
      </w:r>
      <w:r>
        <w:rPr>
          <w:rFonts w:ascii="Times New Roman" w:hAnsi="Times New Roman" w:cs="Times New Roman"/>
        </w:rPr>
        <w:t>z</w:t>
      </w:r>
      <w:r w:rsidRPr="006C7E01">
        <w:rPr>
          <w:rFonts w:ascii="Times New Roman" w:hAnsi="Times New Roman" w:cs="Times New Roman"/>
        </w:rPr>
        <w:t>ákona uvedené v spoločnej správe výborov Národnej rady Slovenskej republiky na schôdzi Národnej rady Slovenskej republi</w:t>
      </w:r>
      <w:r w:rsidRPr="006C7E01">
        <w:rPr>
          <w:rFonts w:ascii="Times New Roman" w:hAnsi="Times New Roman" w:cs="Times New Roman"/>
        </w:rPr>
        <w:t>ky</w:t>
      </w:r>
      <w:r>
        <w:rPr>
          <w:rFonts w:ascii="Times New Roman" w:hAnsi="Times New Roman" w:cs="Times New Roman"/>
        </w:rPr>
        <w:t>.</w:t>
      </w:r>
    </w:p>
    <w:p w:rsidR="00644860" w:rsidRPr="006C7E01" w:rsidP="00644860">
      <w:pPr>
        <w:rPr>
          <w:rFonts w:ascii="Times New Roman" w:hAnsi="Times New Roman" w:cs="Times New Roman"/>
        </w:rPr>
      </w:pPr>
    </w:p>
    <w:p w:rsidR="00644860" w:rsidP="00644860">
      <w:pPr>
        <w:tabs>
          <w:tab w:val="left" w:pos="1080"/>
        </w:tabs>
        <w:jc w:val="both"/>
        <w:rPr>
          <w:rFonts w:ascii="Times New Roman" w:hAnsi="Times New Roman" w:cs="Times New Roman"/>
          <w:lang w:eastAsia="en-US"/>
        </w:rPr>
      </w:pPr>
    </w:p>
    <w:p w:rsidR="00644860" w:rsidP="00644860">
      <w:pPr>
        <w:tabs>
          <w:tab w:val="left" w:pos="1080"/>
        </w:tabs>
        <w:jc w:val="both"/>
        <w:rPr>
          <w:rFonts w:ascii="Times New Roman" w:hAnsi="Times New Roman" w:cs="Times New Roman"/>
          <w:lang w:eastAsia="en-US"/>
        </w:rPr>
      </w:pPr>
    </w:p>
    <w:p w:rsidR="00644860" w:rsidP="00644860">
      <w:pPr>
        <w:tabs>
          <w:tab w:val="left" w:pos="1080"/>
        </w:tabs>
        <w:jc w:val="both"/>
        <w:rPr>
          <w:rFonts w:ascii="Times New Roman" w:hAnsi="Times New Roman" w:cs="Times New Roman"/>
          <w:lang w:eastAsia="en-US"/>
        </w:rPr>
      </w:pPr>
    </w:p>
    <w:p w:rsidR="00644860" w:rsidP="00644860">
      <w:pPr>
        <w:tabs>
          <w:tab w:val="left" w:pos="1080"/>
        </w:tabs>
        <w:jc w:val="both"/>
        <w:rPr>
          <w:rFonts w:ascii="Times New Roman" w:hAnsi="Times New Roman" w:cs="Times New Roman"/>
          <w:lang w:eastAsia="en-US"/>
        </w:rPr>
      </w:pPr>
    </w:p>
    <w:p w:rsidR="00755ECF" w:rsidRPr="00390BFF" w:rsidP="007E688A">
      <w:pPr>
        <w:tabs>
          <w:tab w:val="left" w:pos="0"/>
        </w:tabs>
        <w:jc w:val="both"/>
        <w:rPr>
          <w:rFonts w:ascii="Times New Roman" w:hAnsi="Times New Roman" w:cs="Arial"/>
        </w:rPr>
      </w:pPr>
    </w:p>
    <w:p w:rsidR="007E688A" w:rsidRPr="00390BFF" w:rsidP="007E688A">
      <w:pPr>
        <w:rPr>
          <w:rFonts w:ascii="Times New Roman" w:hAnsi="Times New Roman" w:cs="Times New Roman"/>
        </w:rPr>
      </w:pPr>
      <w:r w:rsidRPr="00390BFF">
        <w:rPr>
          <w:rFonts w:ascii="Times New Roman" w:hAnsi="Times New Roman" w:cs="Times New Roman"/>
        </w:rPr>
        <w:tab/>
        <w:t xml:space="preserve"> </w:t>
        <w:tab/>
        <w:tab/>
        <w:tab/>
        <w:tab/>
        <w:tab/>
        <w:tab/>
        <w:tab/>
        <w:tab/>
      </w:r>
      <w:r>
        <w:rPr>
          <w:rFonts w:ascii="Times New Roman" w:hAnsi="Times New Roman" w:cs="Times New Roman"/>
        </w:rPr>
        <w:t xml:space="preserve">       </w:t>
      </w:r>
      <w:r w:rsidR="00304678">
        <w:rPr>
          <w:rFonts w:ascii="Times New Roman" w:hAnsi="Times New Roman" w:cs="Times New Roman"/>
        </w:rPr>
        <w:t xml:space="preserve"> </w:t>
      </w:r>
      <w:r>
        <w:rPr>
          <w:rFonts w:ascii="Times New Roman" w:hAnsi="Times New Roman" w:cs="Times New Roman"/>
        </w:rPr>
        <w:t>Mojmír Mamojka</w:t>
      </w:r>
      <w:r w:rsidR="00755ECF">
        <w:rPr>
          <w:rFonts w:ascii="Times New Roman" w:hAnsi="Times New Roman" w:cs="Times New Roman"/>
        </w:rPr>
        <w:t xml:space="preserve"> </w:t>
      </w:r>
      <w:r w:rsidR="00515755">
        <w:rPr>
          <w:rFonts w:ascii="Times New Roman" w:hAnsi="Times New Roman" w:cs="Times New Roman"/>
        </w:rPr>
        <w:t xml:space="preserve"> </w:t>
      </w:r>
      <w:r w:rsidRPr="00390BFF">
        <w:rPr>
          <w:rFonts w:ascii="Times New Roman" w:hAnsi="Times New Roman" w:cs="Times New Roman"/>
        </w:rPr>
        <w:tab/>
        <w:tab/>
        <w:tab/>
        <w:tab/>
        <w:tab/>
        <w:t xml:space="preserve"> </w:t>
        <w:tab/>
        <w:t xml:space="preserve">                                      </w:t>
      </w:r>
      <w:r>
        <w:rPr>
          <w:rFonts w:ascii="Times New Roman" w:hAnsi="Times New Roman" w:cs="Times New Roman"/>
        </w:rPr>
        <w:t xml:space="preserve">    </w:t>
      </w:r>
      <w:r w:rsidR="00515755">
        <w:rPr>
          <w:rFonts w:ascii="Times New Roman" w:hAnsi="Times New Roman" w:cs="Times New Roman"/>
        </w:rPr>
        <w:t xml:space="preserve">  </w:t>
      </w:r>
      <w:r>
        <w:rPr>
          <w:rFonts w:ascii="Times New Roman" w:hAnsi="Times New Roman" w:cs="Times New Roman"/>
        </w:rPr>
        <w:t xml:space="preserve"> predseda </w:t>
      </w:r>
      <w:r w:rsidRPr="00390BFF">
        <w:rPr>
          <w:rFonts w:ascii="Times New Roman" w:hAnsi="Times New Roman" w:cs="Times New Roman"/>
        </w:rPr>
        <w:t>výboru</w:t>
      </w:r>
    </w:p>
    <w:p w:rsidR="006917E4" w:rsidP="007E688A">
      <w:pPr>
        <w:rPr>
          <w:rFonts w:ascii="Times New Roman" w:hAnsi="Times New Roman" w:cs="Times New Roman"/>
        </w:rPr>
      </w:pPr>
    </w:p>
    <w:p w:rsidR="00644860" w:rsidP="007E688A">
      <w:pPr>
        <w:rPr>
          <w:rFonts w:ascii="Times New Roman" w:hAnsi="Times New Roman" w:cs="Times New Roman"/>
        </w:rPr>
      </w:pPr>
    </w:p>
    <w:p w:rsidR="00644860" w:rsidP="007E688A">
      <w:pPr>
        <w:rPr>
          <w:rFonts w:ascii="Times New Roman" w:hAnsi="Times New Roman" w:cs="Times New Roman"/>
        </w:rPr>
      </w:pPr>
      <w:r>
        <w:rPr>
          <w:rFonts w:ascii="Times New Roman" w:hAnsi="Times New Roman" w:cs="Times New Roman"/>
        </w:rPr>
        <w:t>overovatelia:</w:t>
      </w:r>
    </w:p>
    <w:p w:rsidR="00644860" w:rsidP="007E688A">
      <w:pPr>
        <w:rPr>
          <w:rFonts w:ascii="Times New Roman" w:hAnsi="Times New Roman" w:cs="Times New Roman"/>
        </w:rPr>
      </w:pPr>
      <w:smartTag w:uri="urn:schemas-microsoft-com:office:smarttags" w:element="PersonName">
        <w:smartTagPr>
          <w:attr w:name="ProductID" w:val="G￡bor G￡l"/>
        </w:smartTagPr>
        <w:r>
          <w:rPr>
            <w:rFonts w:ascii="Times New Roman" w:hAnsi="Times New Roman" w:cs="Times New Roman"/>
          </w:rPr>
          <w:t>Gábor Gál</w:t>
        </w:r>
      </w:smartTag>
    </w:p>
    <w:p w:rsidR="00644860" w:rsidP="007E688A">
      <w:pPr>
        <w:rPr>
          <w:rFonts w:ascii="Times New Roman" w:hAnsi="Times New Roman" w:cs="Times New Roman"/>
        </w:rPr>
      </w:pPr>
      <w:smartTag w:uri="urn:schemas-microsoft-com:office:smarttags" w:element="PersonName">
        <w:smartTagPr>
          <w:attr w:name="ProductID" w:val="Jana Laššáková"/>
        </w:smartTagPr>
        <w:r>
          <w:rPr>
            <w:rFonts w:ascii="Times New Roman" w:hAnsi="Times New Roman" w:cs="Times New Roman"/>
          </w:rPr>
          <w:t>Jana Laššáková</w:t>
        </w:r>
      </w:smartTag>
    </w:p>
    <w:p w:rsidR="007E688A" w:rsidP="00E07810">
      <w:pPr>
        <w:ind w:firstLine="708"/>
        <w:jc w:val="both"/>
        <w:rPr>
          <w:rFonts w:ascii="Times New Roman" w:hAnsi="Times New Roman" w:cs="Times New Roman"/>
        </w:rPr>
      </w:pPr>
    </w:p>
    <w:p w:rsidR="00644860" w:rsidP="007E688A">
      <w:pPr>
        <w:pStyle w:val="Heading2"/>
        <w:jc w:val="left"/>
        <w:rPr>
          <w:rFonts w:ascii="Times New Roman" w:hAnsi="Times New Roman" w:cs="Times New Roman"/>
        </w:rPr>
      </w:pPr>
    </w:p>
    <w:p w:rsidR="00515755" w:rsidP="00515755">
      <w:pPr>
        <w:rPr>
          <w:rFonts w:ascii="Times New Roman" w:hAnsi="Times New Roman" w:cs="Times New Roman"/>
          <w:lang w:eastAsia="en-US"/>
        </w:rPr>
      </w:pPr>
    </w:p>
    <w:p w:rsidR="00304678" w:rsidP="007E688A">
      <w:pPr>
        <w:pStyle w:val="Heading2"/>
        <w:jc w:val="left"/>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7E688A" w:rsidRPr="009027A0" w:rsidP="007E688A">
      <w:pPr>
        <w:pStyle w:val="Heading2"/>
        <w:jc w:val="left"/>
        <w:rPr>
          <w:rFonts w:ascii="Times New Roman" w:hAnsi="Times New Roman" w:cs="Times New Roman"/>
        </w:rPr>
      </w:pPr>
      <w:r w:rsidRPr="009027A0">
        <w:rPr>
          <w:rFonts w:ascii="Times New Roman" w:hAnsi="Times New Roman" w:cs="Times New Roman"/>
        </w:rPr>
        <w:t>P r í l o h a</w:t>
      </w:r>
    </w:p>
    <w:p w:rsidR="007E688A" w:rsidRPr="009027A0" w:rsidP="007E688A">
      <w:pPr>
        <w:ind w:left="4253" w:firstLine="708"/>
        <w:jc w:val="both"/>
        <w:rPr>
          <w:rFonts w:ascii="Times New Roman" w:hAnsi="Times New Roman" w:cs="Times New Roman"/>
          <w:b/>
          <w:bCs/>
        </w:rPr>
      </w:pPr>
      <w:r w:rsidRPr="009027A0">
        <w:rPr>
          <w:rFonts w:ascii="Times New Roman" w:hAnsi="Times New Roman" w:cs="Times New Roman"/>
          <w:b/>
          <w:bCs/>
        </w:rPr>
        <w:t xml:space="preserve">k uzneseniu Ústavnoprávneho </w:t>
      </w:r>
    </w:p>
    <w:p w:rsidR="007E688A" w:rsidP="007E688A">
      <w:pPr>
        <w:ind w:left="4253" w:firstLine="708"/>
        <w:jc w:val="both"/>
        <w:rPr>
          <w:rFonts w:ascii="Times New Roman" w:hAnsi="Times New Roman" w:cs="Times New Roman"/>
          <w:b/>
        </w:rPr>
      </w:pPr>
      <w:r w:rsidRPr="009027A0">
        <w:rPr>
          <w:rFonts w:ascii="Times New Roman" w:hAnsi="Times New Roman" w:cs="Times New Roman"/>
          <w:b/>
        </w:rPr>
        <w:t xml:space="preserve">výboru Národnej rady SR č. </w:t>
      </w:r>
      <w:r w:rsidR="00E770B9">
        <w:rPr>
          <w:rFonts w:ascii="Times New Roman" w:hAnsi="Times New Roman" w:cs="Times New Roman"/>
          <w:b/>
        </w:rPr>
        <w:t>860</w:t>
      </w:r>
    </w:p>
    <w:p w:rsidR="007E688A" w:rsidRPr="009027A0" w:rsidP="007E688A">
      <w:pPr>
        <w:ind w:left="4253" w:firstLine="708"/>
        <w:jc w:val="both"/>
        <w:rPr>
          <w:rFonts w:ascii="Times New Roman" w:hAnsi="Times New Roman" w:cs="Times New Roman"/>
          <w:b/>
        </w:rPr>
      </w:pPr>
      <w:r w:rsidRPr="009027A0">
        <w:rPr>
          <w:rFonts w:ascii="Times New Roman" w:hAnsi="Times New Roman" w:cs="Times New Roman"/>
          <w:b/>
        </w:rPr>
        <w:t>z</w:t>
      </w:r>
      <w:r w:rsidR="00362E82">
        <w:rPr>
          <w:rFonts w:ascii="Times New Roman" w:hAnsi="Times New Roman" w:cs="Times New Roman"/>
          <w:b/>
        </w:rPr>
        <w:t> 22. apríla</w:t>
      </w:r>
      <w:r w:rsidR="006B66CE">
        <w:rPr>
          <w:rFonts w:ascii="Times New Roman" w:hAnsi="Times New Roman" w:cs="Times New Roman"/>
          <w:b/>
        </w:rPr>
        <w:t xml:space="preserve"> </w:t>
      </w:r>
      <w:r>
        <w:rPr>
          <w:rFonts w:ascii="Times New Roman" w:hAnsi="Times New Roman" w:cs="Times New Roman"/>
          <w:b/>
        </w:rPr>
        <w:t>2</w:t>
      </w:r>
      <w:r w:rsidRPr="009027A0">
        <w:rPr>
          <w:rFonts w:ascii="Times New Roman" w:hAnsi="Times New Roman" w:cs="Times New Roman"/>
          <w:b/>
        </w:rPr>
        <w:t>0</w:t>
      </w:r>
      <w:r>
        <w:rPr>
          <w:rFonts w:ascii="Times New Roman" w:hAnsi="Times New Roman" w:cs="Times New Roman"/>
          <w:b/>
        </w:rPr>
        <w:t>1</w:t>
      </w:r>
      <w:r w:rsidRPr="009027A0">
        <w:rPr>
          <w:rFonts w:ascii="Times New Roman" w:hAnsi="Times New Roman" w:cs="Times New Roman"/>
          <w:b/>
        </w:rPr>
        <w:t>0</w:t>
      </w:r>
    </w:p>
    <w:p w:rsidR="007E688A" w:rsidRPr="009027A0" w:rsidP="007E688A">
      <w:pPr>
        <w:ind w:left="4253" w:firstLine="703"/>
        <w:jc w:val="both"/>
        <w:rPr>
          <w:rFonts w:ascii="Times New Roman" w:hAnsi="Times New Roman" w:cs="Times New Roman"/>
          <w:b/>
          <w:bCs/>
          <w:lang w:eastAsia="en-US"/>
        </w:rPr>
      </w:pPr>
      <w:r>
        <w:rPr>
          <w:rFonts w:ascii="Times New Roman" w:hAnsi="Times New Roman" w:cs="Times New Roman"/>
          <w:b/>
          <w:bCs/>
        </w:rPr>
        <w:t>_______</w:t>
      </w:r>
      <w:r>
        <w:rPr>
          <w:rFonts w:ascii="Times New Roman" w:hAnsi="Times New Roman" w:cs="Times New Roman"/>
          <w:b/>
          <w:bCs/>
        </w:rPr>
        <w:t>_____________________</w:t>
      </w:r>
    </w:p>
    <w:p w:rsidR="007E688A" w:rsidP="007E688A">
      <w:pPr>
        <w:jc w:val="center"/>
        <w:rPr>
          <w:rFonts w:ascii="Times New Roman" w:hAnsi="Times New Roman" w:cs="Times New Roman"/>
          <w:lang w:eastAsia="en-US"/>
        </w:rPr>
      </w:pPr>
    </w:p>
    <w:p w:rsidR="007E688A" w:rsidP="007E688A">
      <w:pPr>
        <w:jc w:val="center"/>
        <w:rPr>
          <w:rFonts w:ascii="Times New Roman" w:hAnsi="Times New Roman" w:cs="Times New Roman"/>
          <w:lang w:eastAsia="en-US"/>
        </w:rPr>
      </w:pPr>
    </w:p>
    <w:p w:rsidR="007E688A" w:rsidRPr="009027A0" w:rsidP="007E688A">
      <w:pPr>
        <w:rPr>
          <w:rFonts w:ascii="Times New Roman" w:hAnsi="Times New Roman" w:cs="Times New Roman"/>
          <w:lang w:eastAsia="en-US"/>
        </w:rPr>
      </w:pPr>
    </w:p>
    <w:p w:rsidR="007E688A" w:rsidRPr="00577FDA" w:rsidP="007E688A">
      <w:pPr>
        <w:pStyle w:val="Heading2"/>
        <w:ind w:left="0" w:firstLine="0"/>
        <w:jc w:val="center"/>
        <w:rPr>
          <w:rFonts w:ascii="Times New Roman" w:hAnsi="Times New Roman" w:cs="Times New Roman"/>
        </w:rPr>
      </w:pPr>
      <w:r w:rsidRPr="00577FDA">
        <w:rPr>
          <w:rFonts w:ascii="Times New Roman" w:hAnsi="Times New Roman" w:cs="Times New Roman"/>
        </w:rPr>
        <w:t>Pozmeňujúce a doplňujúce návrhy</w:t>
      </w:r>
    </w:p>
    <w:p w:rsidR="007E688A" w:rsidRPr="0032307E" w:rsidP="007E688A">
      <w:pPr>
        <w:pStyle w:val="Heading2"/>
        <w:rPr>
          <w:rFonts w:ascii="Times New Roman" w:hAnsi="Times New Roman" w:cs="Times New Roman"/>
        </w:rPr>
      </w:pPr>
    </w:p>
    <w:p w:rsidR="00CC4258" w:rsidRPr="006B66CE" w:rsidP="00CC4258">
      <w:pPr>
        <w:jc w:val="both"/>
        <w:rPr>
          <w:rFonts w:ascii="Times New Roman" w:hAnsi="Times New Roman" w:cs="Times New Roman"/>
          <w:b/>
        </w:rPr>
      </w:pPr>
      <w:r w:rsidRPr="006B66CE" w:rsidR="007E688A">
        <w:rPr>
          <w:rFonts w:ascii="Times New Roman" w:hAnsi="Times New Roman" w:cs="Times New Roman"/>
          <w:b/>
        </w:rPr>
        <w:t>k </w:t>
      </w:r>
      <w:r w:rsidRPr="006B66CE">
        <w:rPr>
          <w:rFonts w:ascii="Times New Roman" w:hAnsi="Times New Roman" w:cs="Times New Roman"/>
          <w:b/>
        </w:rPr>
        <w:t>vládnemu návrhu zákona,</w:t>
      </w:r>
      <w:r w:rsidRPr="006B66CE" w:rsidR="006B66CE">
        <w:rPr>
          <w:rFonts w:ascii="Times New Roman" w:hAnsi="Times New Roman" w:cs="Times New Roman"/>
          <w:b/>
        </w:rPr>
        <w:t xml:space="preserve"> ktorým sa mení a dopĺňa zákon č. 300/2005 Z. z. Trestný zákon v znení neskorších predpisov a o zmene a doplnení niektorých zákonov (tlač 1487)</w:t>
      </w:r>
      <w:r w:rsidRPr="006B66CE">
        <w:rPr>
          <w:rFonts w:ascii="Times New Roman" w:hAnsi="Times New Roman" w:cs="Times New Roman"/>
          <w:b/>
        </w:rPr>
        <w:t xml:space="preserve"> </w:t>
      </w:r>
    </w:p>
    <w:p w:rsidR="007E688A" w:rsidP="007E688A">
      <w:pPr>
        <w:jc w:val="both"/>
        <w:rPr>
          <w:rFonts w:ascii="Times New Roman" w:hAnsi="Times New Roman" w:cs="Times New Roman"/>
          <w:b/>
        </w:rPr>
      </w:pPr>
      <w:r w:rsidRPr="006B66CE">
        <w:rPr>
          <w:rFonts w:ascii="Times New Roman" w:hAnsi="Times New Roman" w:cs="Times New Roman"/>
          <w:b/>
        </w:rPr>
        <w:t>____________________________</w:t>
      </w:r>
      <w:r w:rsidRPr="006B66CE">
        <w:rPr>
          <w:rFonts w:ascii="Times New Roman" w:hAnsi="Times New Roman" w:cs="Times New Roman"/>
          <w:b/>
        </w:rPr>
        <w:t>_______________________________________________</w:t>
      </w:r>
    </w:p>
    <w:p w:rsidR="003A74D4" w:rsidP="007E688A">
      <w:pPr>
        <w:jc w:val="both"/>
        <w:rPr>
          <w:rFonts w:ascii="Times New Roman" w:hAnsi="Times New Roman" w:cs="Times New Roman"/>
          <w:b/>
        </w:rPr>
      </w:pPr>
    </w:p>
    <w:p w:rsidR="003A74D4" w:rsidP="007E688A">
      <w:pPr>
        <w:jc w:val="both"/>
        <w:rPr>
          <w:rFonts w:ascii="Times New Roman" w:hAnsi="Times New Roman" w:cs="Times New Roman"/>
          <w:b/>
        </w:rPr>
      </w:pPr>
    </w:p>
    <w:p w:rsidR="003A74D4" w:rsidP="003A74D4">
      <w:pPr>
        <w:tabs>
          <w:tab w:val="left" w:pos="1080"/>
        </w:tabs>
        <w:spacing w:line="360" w:lineRule="auto"/>
        <w:jc w:val="both"/>
        <w:rPr>
          <w:rFonts w:ascii="Times New Roman" w:hAnsi="Times New Roman" w:cs="Times New Roman"/>
        </w:rPr>
      </w:pPr>
      <w:r w:rsidRPr="00515755" w:rsidR="00E11177">
        <w:rPr>
          <w:rFonts w:ascii="Times New Roman" w:hAnsi="Times New Roman" w:cs="Times New Roman"/>
          <w:b/>
        </w:rPr>
        <w:t>1.</w:t>
      </w:r>
      <w:r w:rsidR="00E11177">
        <w:rPr>
          <w:rFonts w:ascii="Times New Roman" w:hAnsi="Times New Roman" w:cs="Times New Roman"/>
        </w:rPr>
        <w:t xml:space="preserve"> </w:t>
      </w:r>
      <w:r w:rsidRPr="00515755" w:rsidR="00E11177">
        <w:rPr>
          <w:rFonts w:ascii="Times New Roman" w:hAnsi="Times New Roman" w:cs="Times New Roman"/>
          <w:b/>
        </w:rPr>
        <w:t xml:space="preserve">V čl. I  </w:t>
      </w:r>
      <w:r w:rsidRPr="00515755">
        <w:rPr>
          <w:rFonts w:ascii="Times New Roman" w:hAnsi="Times New Roman" w:cs="Times New Roman"/>
        </w:rPr>
        <w:t>9. bod</w:t>
      </w:r>
      <w:r>
        <w:rPr>
          <w:rFonts w:ascii="Times New Roman" w:hAnsi="Times New Roman" w:cs="Times New Roman"/>
        </w:rPr>
        <w:t xml:space="preserve"> znie:</w:t>
      </w:r>
    </w:p>
    <w:p w:rsidR="003A74D4" w:rsidP="003A74D4">
      <w:pPr>
        <w:tabs>
          <w:tab w:val="left" w:pos="1080"/>
        </w:tabs>
        <w:spacing w:line="360" w:lineRule="auto"/>
        <w:jc w:val="both"/>
        <w:rPr>
          <w:rFonts w:ascii="Times New Roman" w:hAnsi="Times New Roman" w:cs="Times New Roman"/>
        </w:rPr>
      </w:pPr>
      <w:r>
        <w:rPr>
          <w:rFonts w:ascii="Times New Roman" w:hAnsi="Times New Roman" w:cs="Times New Roman"/>
        </w:rPr>
        <w:t xml:space="preserve">    „9. Príloha znie:</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 xml:space="preserve">„1. </w:t>
      </w:r>
      <w:smartTag w:uri="urn:schemas-microsoft-com:office:smarttags" w:element="PersonName">
        <w:r>
          <w:rPr>
            <w:rFonts w:ascii="Times New Roman" w:hAnsi="Times New Roman" w:cs="Times New Roman"/>
          </w:rPr>
          <w:t>Smer</w:t>
        </w:r>
      </w:smartTag>
      <w:r>
        <w:rPr>
          <w:rFonts w:ascii="Times New Roman" w:hAnsi="Times New Roman" w:cs="Times New Roman"/>
        </w:rPr>
        <w:t>nica Rady 2002/90/ES z 28. novembra 2002, ktorá definuje napomáhanie neoprávneného vstupu, tranzitu a bydliska (Mimoriadne vydanie Ú. v. EÚ, kap. 19 zv</w:t>
      </w:r>
      <w:r>
        <w:rPr>
          <w:rFonts w:ascii="Times New Roman" w:hAnsi="Times New Roman" w:cs="Times New Roman"/>
        </w:rPr>
        <w:t>. 6; Ú.v. ES L 328, 5.12.2002).</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 xml:space="preserve">2. Rámcové rozhodnutie Rady 2000/383/SVV z 29. mája 2000 o zvýšenej ochrane pred falšovaním prostredníctvom pokút a ďalších trestných sankcií v súvislosti so zavádzaním eura (Mimoriadne vydanie Ú. v. EÚ, kap. 19 zv. 1; Ú.v. </w:t>
      </w:r>
      <w:r>
        <w:rPr>
          <w:rFonts w:ascii="Times New Roman" w:hAnsi="Times New Roman" w:cs="Times New Roman"/>
        </w:rPr>
        <w:t>ES L 140, 14.6.2000) v znení rámcového rozhodnutia Rady 2001/888/SVV zo 6. decembra 2001 (Mimoriadne vydanie Ú. v. EÚ, kap. 19 zv. 4; Ú. v. ES L 329, 14.12.2001).</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3. Rámcové rozhodnutie Rady 2001/220/SVV z 15. marca 2001 o postavení obetí v trestnom konaní (Mimoriadne vydanie Ú. v. EÚ, kap. 19 zv. 4; Ú. v. ES L 82, 22.3.2001).</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 xml:space="preserve">4. Rámcové rozhodnutie Rady 2001/413/SVV z 28. mája 2001 o boji proti podvodom a falšovaniu bezhotovostných platobných prostriedkov (Mimoriadne vydanie Ú. v. EÚ, kap. 15 zv. 6; Ú. v. </w:t>
      </w:r>
      <w:r>
        <w:rPr>
          <w:rFonts w:ascii="Times New Roman" w:hAnsi="Times New Roman" w:cs="Times New Roman"/>
        </w:rPr>
        <w:t>ES L 149, 2.6.2001).</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 xml:space="preserve">5. Rámcové rozhodnutie Rady 2001/500/SVV z 26. júna 2001 o praní špinavých peňazí, identifikácii, vyhľadávaní, zmrazení, zaistení a konfiškácii prostriedkov a príjmov z trestnej činnosti (Mimoriadne vydanie Ú. v. EÚ, kap. 19 zv. 4; Ú. </w:t>
      </w:r>
      <w:r>
        <w:rPr>
          <w:rFonts w:ascii="Times New Roman" w:hAnsi="Times New Roman" w:cs="Times New Roman"/>
        </w:rPr>
        <w:t>v. ES L 182, 5.7.2001).</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6. Rámcové rozhodnutie Rady 2002/475/SVV z 13. júna 2002 o boji proti terorizmu (Mimoriadne vydanie Ú. v. EÚ, kap. 19 zv. 6; Ú. v. ES L 164, 22.6.2002).</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7. Rámcové rozhodnutie Rady 2002/629/SVV z 19. júla 2002 o boji proti obchodova</w:t>
      </w:r>
      <w:r>
        <w:rPr>
          <w:rFonts w:ascii="Times New Roman" w:hAnsi="Times New Roman" w:cs="Times New Roman"/>
        </w:rPr>
        <w:t>niu s ľuďmi (Mimoriadne vydanie Ú. v. EÚ, kap. 19 zv. 6; Ú. v. ES L 203, 1.8.2002).</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8. Rámcové rozhodnutie Rady 2002/946/SVV z 28. novembra 2002 o posilnení trestného systému na zabránenie napomáhaniu neoprávneného vstupu, tranzitu a bydliska (Mimoriadne v</w:t>
      </w:r>
      <w:r>
        <w:rPr>
          <w:rFonts w:ascii="Times New Roman" w:hAnsi="Times New Roman" w:cs="Times New Roman"/>
        </w:rPr>
        <w:t>ydanie Ú. v. EÚ, kap. 19 zv. 6; Ú. v. ES L 328, 5.12.2002).</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9. Rámcové rozhodnutie Rady 2003/568/SVV z 22. júla 2003 o boji proti korupcii v súkromnom sektore (Mimoriadne vydanie Ú. v. EÚ, kap. 19 zv. 6; Ú. v. EÚ L 192, 31.7.2003).</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10. Rámcové rozhodnutie Rady 2004/68/SVV z 22</w:t>
      </w:r>
      <w:r>
        <w:rPr>
          <w:rFonts w:ascii="Times New Roman" w:hAnsi="Times New Roman" w:cs="Times New Roman"/>
        </w:rPr>
        <w:t>. decembra 2003 o boji proti sexuálnemu vykorisťovaniu detí a detskej pornografii (Mimoriadne vydanie Ú. v. EÚ, kap. 19 zv. 7; Ú. v. EÚ L 013, 20.1.2004).</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11. Rámcové rozhodnutie Rady 2004/757/SVV z 25. októbra 2004, ktorým sa stanovujú minimálne ustanovenia o znakoch skutkových podstát trestných činov a trestov v oblasti nezákonného obchodu s drogami (Ú. v. EÚ L 335, 11.11.2004).</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12. Rámcové rozhodnutie Rady 2008/913/SVV z 28. novembra 2008 o boji proti niektorým formám a prejavom rasizmu a xenofóbie prost</w:t>
      </w:r>
      <w:r>
        <w:rPr>
          <w:rFonts w:ascii="Times New Roman" w:hAnsi="Times New Roman" w:cs="Times New Roman"/>
        </w:rPr>
        <w:t>redníctvom trestného práva (Ú. v. EÚ L 328, 6.12.2008).</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13. Rámcové rozhodnutie Rady 2005/222/SVV z 24. februára 2005 o útokoch na informačné systémy (Ú. v. EÚ L 69, 16.3.2005).</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14. Rámcové rozhodnutie Rady 2008/919/SVV z 28. novembra 2008, ktorým sa mení a dopĺňa rámcové rozhodnutie 2002/475/SVV o boji proti terorizmu (Ú. v. EÚ L 330, 9. 12. 2008).</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15. Rámcové rozhodnutie Rady 2008/841/SVV z 24. októbra 2008 o boji proti organizovanému zločinu (Ú. v. EÚ L 300, 11.11.2008).</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 xml:space="preserve">16. </w:t>
      </w:r>
      <w:smartTag w:uri="urn:schemas-microsoft-com:office:smarttags" w:element="PersonName">
        <w:r>
          <w:rPr>
            <w:rFonts w:ascii="Times New Roman" w:hAnsi="Times New Roman" w:cs="Times New Roman"/>
          </w:rPr>
          <w:t>Smer</w:t>
        </w:r>
      </w:smartTag>
      <w:r>
        <w:rPr>
          <w:rFonts w:ascii="Times New Roman" w:hAnsi="Times New Roman" w:cs="Times New Roman"/>
        </w:rPr>
        <w:t>nica Európskeho parlamentu a Rady 2008/99/ES z 19. novembra 2008 o ochrane životného prostredia prostredníctvom trestného práva (Ú. v. EÚ L 328 6.12.2008).</w:t>
      </w:r>
    </w:p>
    <w:p w:rsidR="003A74D4" w:rsidP="003A74D4">
      <w:pPr>
        <w:spacing w:line="360" w:lineRule="auto"/>
        <w:jc w:val="both"/>
        <w:outlineLvl w:val="0"/>
        <w:rPr>
          <w:rFonts w:ascii="Times New Roman" w:hAnsi="Times New Roman" w:cs="Times New Roman"/>
        </w:rPr>
      </w:pPr>
      <w:r>
        <w:rPr>
          <w:rFonts w:ascii="Times New Roman" w:hAnsi="Times New Roman" w:cs="Times New Roman"/>
        </w:rPr>
        <w:t xml:space="preserve">17. </w:t>
      </w:r>
      <w:smartTag w:uri="urn:schemas-microsoft-com:office:smarttags" w:element="PersonName">
        <w:r>
          <w:rPr>
            <w:rFonts w:ascii="Times New Roman" w:hAnsi="Times New Roman" w:cs="Times New Roman"/>
          </w:rPr>
          <w:t>Smer</w:t>
        </w:r>
      </w:smartTag>
      <w:r>
        <w:rPr>
          <w:rFonts w:ascii="Times New Roman" w:hAnsi="Times New Roman" w:cs="Times New Roman"/>
        </w:rPr>
        <w:t>nica Európskeho parlamentu a Rady 2009/52/ES z 18. júna 2009, ktorou sa stanovujú minimálne normy pre sankcie a opatrenia voči zamestnávateľom štátnych príslušníkov tretích krajín, ktorí sa neoprávnene zdržiavajú na území členských štátov (Ú. v. EÚ L 168 , 30.6.2009).</w:t>
      </w:r>
    </w:p>
    <w:p w:rsidR="003A74D4" w:rsidP="003A74D4">
      <w:pPr>
        <w:spacing w:line="360" w:lineRule="auto"/>
        <w:jc w:val="both"/>
        <w:outlineLvl w:val="0"/>
        <w:rPr>
          <w:rFonts w:ascii="Times New Roman" w:hAnsi="Times New Roman" w:cs="Times New Roman"/>
          <w:bCs/>
        </w:rPr>
      </w:pPr>
      <w:r>
        <w:rPr>
          <w:rFonts w:ascii="Times New Roman" w:hAnsi="Times New Roman" w:cs="Times New Roman"/>
        </w:rPr>
        <w:t xml:space="preserve">18. </w:t>
      </w:r>
      <w:smartTag w:uri="urn:schemas-microsoft-com:office:smarttags" w:element="PersonName">
        <w:r>
          <w:rPr>
            <w:rFonts w:ascii="Times New Roman" w:hAnsi="Times New Roman" w:cs="Times New Roman"/>
          </w:rPr>
          <w:t>Smer</w:t>
        </w:r>
      </w:smartTag>
      <w:r>
        <w:rPr>
          <w:rFonts w:ascii="Times New Roman" w:hAnsi="Times New Roman" w:cs="Times New Roman"/>
        </w:rPr>
        <w:t>nica Európskeho parlamentu a Rady 2009/123/ES  z 21. októbra 2009 ktorou sa mení a dopĺňa smernica 2005/35/ES o znečisťovaní mora z lodí a o zavedení sankcií za porušenie (Ú. v. EÚ L 280, 27.10. 2009).</w:t>
      </w:r>
      <w:r>
        <w:rPr>
          <w:rFonts w:ascii="Times New Roman" w:hAnsi="Times New Roman" w:cs="Times New Roman"/>
          <w:bCs/>
        </w:rPr>
        <w:t xml:space="preserve">“. </w:t>
      </w:r>
    </w:p>
    <w:p w:rsidR="003A74D4" w:rsidP="003A74D4">
      <w:pPr>
        <w:tabs>
          <w:tab w:val="left" w:pos="1080"/>
        </w:tabs>
        <w:spacing w:line="360" w:lineRule="auto"/>
        <w:jc w:val="both"/>
        <w:rPr>
          <w:rFonts w:ascii="Times New Roman" w:hAnsi="Times New Roman" w:cs="Times New Roman"/>
        </w:rPr>
      </w:pPr>
    </w:p>
    <w:p w:rsidR="003A74D4" w:rsidP="003A74D4">
      <w:pPr>
        <w:tabs>
          <w:tab w:val="left" w:pos="1080"/>
        </w:tabs>
        <w:ind w:left="4248"/>
        <w:jc w:val="both"/>
        <w:rPr>
          <w:rFonts w:ascii="Times New Roman" w:hAnsi="Times New Roman" w:cs="Times New Roman"/>
        </w:rPr>
      </w:pPr>
      <w:r>
        <w:rPr>
          <w:rFonts w:ascii="Times New Roman" w:hAnsi="Times New Roman" w:cs="Times New Roman"/>
        </w:rPr>
        <w:t>Ide o opravu citácie právnych aktov Európskej únie.</w:t>
      </w:r>
    </w:p>
    <w:p w:rsidR="007C41B9" w:rsidP="00515755">
      <w:pPr>
        <w:spacing w:line="360" w:lineRule="auto"/>
        <w:rPr>
          <w:rFonts w:ascii="Times New Roman" w:hAnsi="Times New Roman" w:cs="Times New Roman"/>
          <w:b/>
        </w:rPr>
      </w:pPr>
    </w:p>
    <w:p w:rsidR="00515755" w:rsidP="008971E1">
      <w:pPr>
        <w:spacing w:line="360" w:lineRule="auto"/>
        <w:jc w:val="both"/>
        <w:rPr>
          <w:rFonts w:ascii="Times New Roman" w:hAnsi="Times New Roman" w:cs="Times New Roman"/>
        </w:rPr>
      </w:pPr>
      <w:r w:rsidRPr="00515755">
        <w:rPr>
          <w:rFonts w:ascii="Times New Roman" w:hAnsi="Times New Roman" w:cs="Times New Roman"/>
          <w:b/>
        </w:rPr>
        <w:t>2. V čl. II</w:t>
      </w:r>
      <w:r w:rsidRPr="00E11177">
        <w:rPr>
          <w:rFonts w:ascii="Times New Roman" w:hAnsi="Times New Roman" w:cs="Times New Roman"/>
        </w:rPr>
        <w:t xml:space="preserve"> </w:t>
      </w:r>
      <w:r>
        <w:rPr>
          <w:rFonts w:ascii="Times New Roman" w:hAnsi="Times New Roman" w:cs="Times New Roman"/>
        </w:rPr>
        <w:t xml:space="preserve">v 23. bode v § 362a ods. 6 </w:t>
      </w:r>
      <w:r w:rsidR="008971E1">
        <w:rPr>
          <w:rFonts w:ascii="Times New Roman" w:hAnsi="Times New Roman" w:cs="Times New Roman"/>
        </w:rPr>
        <w:t>sa druhá ve</w:t>
      </w:r>
      <w:r w:rsidR="002E030C">
        <w:rPr>
          <w:rFonts w:ascii="Times New Roman" w:hAnsi="Times New Roman" w:cs="Times New Roman"/>
        </w:rPr>
        <w:t>t</w:t>
      </w:r>
      <w:r w:rsidR="008971E1">
        <w:rPr>
          <w:rFonts w:ascii="Times New Roman" w:hAnsi="Times New Roman" w:cs="Times New Roman"/>
        </w:rPr>
        <w:t xml:space="preserve">a nahrádza týmito vetami: „Sťažnosť má odkladný účinok. Ak </w:t>
      </w:r>
      <w:r>
        <w:rPr>
          <w:rFonts w:ascii="Times New Roman" w:hAnsi="Times New Roman" w:cs="Times New Roman"/>
        </w:rPr>
        <w:t>bolo</w:t>
      </w:r>
      <w:r w:rsidR="008971E1">
        <w:rPr>
          <w:rFonts w:ascii="Times New Roman" w:hAnsi="Times New Roman" w:cs="Times New Roman"/>
        </w:rPr>
        <w:t xml:space="preserve"> uložené ochranné opatrenie, právoplatné uznesenie sa stáva vykonateľným podľa § 289 ods. 5.“. </w:t>
      </w:r>
      <w:r>
        <w:rPr>
          <w:rFonts w:ascii="Times New Roman" w:hAnsi="Times New Roman" w:cs="Times New Roman"/>
        </w:rPr>
        <w:t xml:space="preserve"> </w:t>
      </w:r>
    </w:p>
    <w:p w:rsidR="00515755" w:rsidRPr="00E11177" w:rsidP="00515755">
      <w:pPr>
        <w:spacing w:line="360" w:lineRule="auto"/>
        <w:ind w:left="3540" w:firstLine="708"/>
        <w:rPr>
          <w:rFonts w:ascii="Times New Roman" w:hAnsi="Times New Roman" w:cs="Times New Roman"/>
        </w:rPr>
      </w:pPr>
      <w:r>
        <w:rPr>
          <w:rFonts w:ascii="Times New Roman" w:hAnsi="Times New Roman" w:cs="Times New Roman"/>
        </w:rPr>
        <w:t xml:space="preserve">Ide o gramatickú úpravu. </w:t>
      </w:r>
    </w:p>
    <w:p w:rsidR="00515755" w:rsidP="00E11177">
      <w:pPr>
        <w:spacing w:line="360" w:lineRule="auto"/>
        <w:rPr>
          <w:rFonts w:ascii="Times New Roman" w:hAnsi="Times New Roman" w:cs="Times New Roman"/>
          <w:b/>
        </w:rPr>
      </w:pPr>
    </w:p>
    <w:p w:rsidR="00E11177" w:rsidRPr="00E11177" w:rsidP="00E11177">
      <w:pPr>
        <w:spacing w:line="360" w:lineRule="auto"/>
        <w:rPr>
          <w:rFonts w:ascii="Times New Roman" w:hAnsi="Times New Roman" w:cs="Times New Roman"/>
        </w:rPr>
      </w:pPr>
      <w:r w:rsidR="00515755">
        <w:rPr>
          <w:rFonts w:ascii="Times New Roman" w:hAnsi="Times New Roman" w:cs="Times New Roman"/>
          <w:b/>
        </w:rPr>
        <w:t>3</w:t>
      </w:r>
      <w:r w:rsidRPr="00515755">
        <w:rPr>
          <w:rFonts w:ascii="Times New Roman" w:hAnsi="Times New Roman" w:cs="Times New Roman"/>
          <w:b/>
        </w:rPr>
        <w:t>. V čl. II</w:t>
      </w:r>
      <w:r w:rsidRPr="00E11177">
        <w:rPr>
          <w:rFonts w:ascii="Times New Roman" w:hAnsi="Times New Roman" w:cs="Times New Roman"/>
        </w:rPr>
        <w:t xml:space="preserve"> </w:t>
      </w:r>
      <w:r w:rsidR="00B045B9">
        <w:rPr>
          <w:rFonts w:ascii="Times New Roman" w:hAnsi="Times New Roman" w:cs="Times New Roman"/>
        </w:rPr>
        <w:t xml:space="preserve">sa </w:t>
      </w:r>
      <w:r w:rsidRPr="00E11177">
        <w:rPr>
          <w:rFonts w:ascii="Times New Roman" w:hAnsi="Times New Roman" w:cs="Times New Roman"/>
        </w:rPr>
        <w:t>za 33. bod</w:t>
      </w:r>
      <w:r w:rsidR="00185D10">
        <w:rPr>
          <w:rFonts w:ascii="Times New Roman" w:hAnsi="Times New Roman" w:cs="Times New Roman"/>
        </w:rPr>
        <w:t xml:space="preserve"> vkladajú</w:t>
      </w:r>
      <w:r w:rsidR="00676CCE">
        <w:rPr>
          <w:rFonts w:ascii="Times New Roman" w:hAnsi="Times New Roman" w:cs="Times New Roman"/>
        </w:rPr>
        <w:t xml:space="preserve"> 34.</w:t>
      </w:r>
      <w:r w:rsidRPr="00E11177">
        <w:rPr>
          <w:rFonts w:ascii="Times New Roman" w:hAnsi="Times New Roman" w:cs="Times New Roman"/>
        </w:rPr>
        <w:t xml:space="preserve">, </w:t>
      </w:r>
      <w:smartTag w:uri="urn:schemas-microsoft-com:office:smarttags" w:element="metricconverter">
        <w:smartTagPr>
          <w:attr w:name="ProductID" w:val="35. a"/>
        </w:smartTagPr>
        <w:r w:rsidRPr="00E11177">
          <w:rPr>
            <w:rFonts w:ascii="Times New Roman" w:hAnsi="Times New Roman" w:cs="Times New Roman"/>
          </w:rPr>
          <w:t>35</w:t>
        </w:r>
        <w:r w:rsidR="00676CCE">
          <w:rPr>
            <w:rFonts w:ascii="Times New Roman" w:hAnsi="Times New Roman" w:cs="Times New Roman"/>
          </w:rPr>
          <w:t>.</w:t>
        </w:r>
        <w:r w:rsidR="00185D10">
          <w:rPr>
            <w:rFonts w:ascii="Times New Roman" w:hAnsi="Times New Roman" w:cs="Times New Roman"/>
          </w:rPr>
          <w:t xml:space="preserve"> a</w:t>
        </w:r>
      </w:smartTag>
      <w:r w:rsidRPr="00E11177">
        <w:rPr>
          <w:rFonts w:ascii="Times New Roman" w:hAnsi="Times New Roman" w:cs="Times New Roman"/>
        </w:rPr>
        <w:t xml:space="preserve"> 36</w:t>
      </w:r>
      <w:r w:rsidR="00676CCE">
        <w:rPr>
          <w:rFonts w:ascii="Times New Roman" w:hAnsi="Times New Roman" w:cs="Times New Roman"/>
        </w:rPr>
        <w:t xml:space="preserve">.  bod, </w:t>
      </w:r>
      <w:r w:rsidRPr="00E11177">
        <w:rPr>
          <w:rFonts w:ascii="Times New Roman" w:hAnsi="Times New Roman" w:cs="Times New Roman"/>
        </w:rPr>
        <w:t xml:space="preserve"> ktoré znejú: </w:t>
      </w:r>
    </w:p>
    <w:p w:rsidR="002033A5" w:rsidP="002033A5">
      <w:pPr>
        <w:rPr>
          <w:rFonts w:ascii="Times New Roman" w:hAnsi="Times New Roman" w:cs="Times New Roman"/>
        </w:rPr>
      </w:pPr>
    </w:p>
    <w:p w:rsidR="002033A5" w:rsidRPr="002033A5" w:rsidP="002033A5">
      <w:pPr>
        <w:rPr>
          <w:rFonts w:ascii="Times New Roman" w:hAnsi="Times New Roman" w:cs="Times New Roman"/>
        </w:rPr>
      </w:pPr>
      <w:r w:rsidR="00185D10">
        <w:rPr>
          <w:rFonts w:ascii="Times New Roman" w:hAnsi="Times New Roman" w:cs="Times New Roman"/>
        </w:rPr>
        <w:t>„</w:t>
      </w:r>
      <w:r w:rsidRPr="002033A5">
        <w:rPr>
          <w:rFonts w:ascii="Times New Roman" w:hAnsi="Times New Roman" w:cs="Times New Roman"/>
        </w:rPr>
        <w:t>34. V § 551 odsek 1 znie:</w:t>
      </w:r>
    </w:p>
    <w:p w:rsidR="002033A5" w:rsidRPr="002033A5" w:rsidP="002033A5">
      <w:pPr>
        <w:jc w:val="both"/>
        <w:rPr>
          <w:rFonts w:ascii="Times New Roman" w:hAnsi="Times New Roman" w:cs="Times New Roman"/>
        </w:rPr>
      </w:pPr>
    </w:p>
    <w:p w:rsidR="002033A5" w:rsidRPr="002033A5" w:rsidP="002033A5">
      <w:pPr>
        <w:ind w:firstLine="708"/>
        <w:jc w:val="both"/>
        <w:rPr>
          <w:rFonts w:ascii="Times New Roman" w:hAnsi="Times New Roman" w:cs="Times New Roman"/>
        </w:rPr>
      </w:pPr>
      <w:r w:rsidR="00185D10">
        <w:rPr>
          <w:rFonts w:ascii="Times New Roman" w:hAnsi="Times New Roman" w:cs="Times New Roman"/>
        </w:rPr>
        <w:t>„</w:t>
      </w:r>
      <w:r w:rsidRPr="002033A5">
        <w:rPr>
          <w:rFonts w:ascii="Times New Roman" w:hAnsi="Times New Roman" w:cs="Times New Roman"/>
        </w:rPr>
        <w:t xml:space="preserve">(1) Za podmienok ustanovených v medzinárodnej zmluve môže súd na základe žiadosti cudzieho orgánu na návrh prokurátora rozhodnúť o predbežnom zaistení hnuteľných vecí, nehnuteľných vecí, peňažných prostriedkov na účte v banke, v pobočke zahraničnej banky, cenných papierov alebo iného majetku, ktorý sa nachádza na území Slovenskej republiky, je </w:t>
      </w:r>
      <w:r w:rsidRPr="002033A5">
        <w:rPr>
          <w:rFonts w:ascii="Times New Roman" w:hAnsi="Times New Roman" w:cs="Times New Roman"/>
          <w:bCs/>
        </w:rPr>
        <w:t>určený na spáchanie trestného činu, na jeho spáchanie bol použitý alebo je výnosom z trestnej činnosti a predpokladá sa jeho prepadnutie alebo zhabanie</w:t>
      </w:r>
      <w:r w:rsidR="00185D10">
        <w:rPr>
          <w:rFonts w:ascii="Times New Roman" w:hAnsi="Times New Roman" w:cs="Times New Roman"/>
        </w:rPr>
        <w:t>. Ustanovenia § </w:t>
      </w:r>
      <w:r w:rsidRPr="002033A5">
        <w:rPr>
          <w:rFonts w:ascii="Times New Roman" w:hAnsi="Times New Roman" w:cs="Times New Roman"/>
        </w:rPr>
        <w:t>95 ods</w:t>
      </w:r>
      <w:r w:rsidR="00185D10">
        <w:rPr>
          <w:rFonts w:ascii="Times New Roman" w:hAnsi="Times New Roman" w:cs="Times New Roman"/>
        </w:rPr>
        <w:t>.</w:t>
      </w:r>
      <w:r w:rsidRPr="002033A5">
        <w:rPr>
          <w:rFonts w:ascii="Times New Roman" w:hAnsi="Times New Roman" w:cs="Times New Roman"/>
        </w:rPr>
        <w:t xml:space="preserve"> 3, </w:t>
      </w:r>
      <w:smartTag w:uri="urn:schemas-microsoft-com:office:smarttags" w:element="metricconverter">
        <w:smartTagPr>
          <w:attr w:name="ProductID" w:val="4 a"/>
        </w:smartTagPr>
        <w:r w:rsidRPr="002033A5">
          <w:rPr>
            <w:rFonts w:ascii="Times New Roman" w:hAnsi="Times New Roman" w:cs="Times New Roman"/>
          </w:rPr>
          <w:t>4</w:t>
        </w:r>
        <w:r w:rsidR="00185D10">
          <w:rPr>
            <w:rFonts w:ascii="Times New Roman" w:hAnsi="Times New Roman" w:cs="Times New Roman"/>
          </w:rPr>
          <w:t xml:space="preserve"> a</w:t>
        </w:r>
      </w:smartTag>
      <w:r w:rsidRPr="002033A5">
        <w:rPr>
          <w:rFonts w:ascii="Times New Roman" w:hAnsi="Times New Roman" w:cs="Times New Roman"/>
        </w:rPr>
        <w:t xml:space="preserve"> </w:t>
      </w:r>
      <w:smartTag w:uri="urn:schemas-microsoft-com:office:smarttags" w:element="metricconverter">
        <w:smartTagPr>
          <w:attr w:name="ProductID" w:val="6 a"/>
        </w:smartTagPr>
        <w:r w:rsidRPr="002033A5">
          <w:rPr>
            <w:rFonts w:ascii="Times New Roman" w:hAnsi="Times New Roman" w:cs="Times New Roman"/>
          </w:rPr>
          <w:t>6 a</w:t>
        </w:r>
      </w:smartTag>
      <w:r w:rsidRPr="002033A5">
        <w:rPr>
          <w:rFonts w:ascii="Times New Roman" w:hAnsi="Times New Roman" w:cs="Times New Roman"/>
        </w:rPr>
        <w:t xml:space="preserve"> § 96 ods</w:t>
      </w:r>
      <w:r w:rsidR="00185D10">
        <w:rPr>
          <w:rFonts w:ascii="Times New Roman" w:hAnsi="Times New Roman" w:cs="Times New Roman"/>
        </w:rPr>
        <w:t>.</w:t>
      </w:r>
      <w:r w:rsidRPr="002033A5">
        <w:rPr>
          <w:rFonts w:ascii="Times New Roman" w:hAnsi="Times New Roman" w:cs="Times New Roman"/>
        </w:rPr>
        <w:t xml:space="preserve"> </w:t>
      </w:r>
      <w:smartTag w:uri="urn:schemas-microsoft-com:office:smarttags" w:element="metricconverter">
        <w:smartTagPr>
          <w:attr w:name="ProductID" w:val="3 a"/>
        </w:smartTagPr>
        <w:r w:rsidRPr="002033A5">
          <w:rPr>
            <w:rFonts w:ascii="Times New Roman" w:hAnsi="Times New Roman" w:cs="Times New Roman"/>
          </w:rPr>
          <w:t>3</w:t>
        </w:r>
        <w:r w:rsidR="00185D10">
          <w:rPr>
            <w:rFonts w:ascii="Times New Roman" w:hAnsi="Times New Roman" w:cs="Times New Roman"/>
          </w:rPr>
          <w:t xml:space="preserve"> a</w:t>
        </w:r>
      </w:smartTag>
      <w:r w:rsidRPr="002033A5">
        <w:rPr>
          <w:rFonts w:ascii="Times New Roman" w:hAnsi="Times New Roman" w:cs="Times New Roman"/>
        </w:rPr>
        <w:t xml:space="preserve"> 5 sa použijú primerane.“</w:t>
      </w:r>
    </w:p>
    <w:p w:rsidR="002033A5" w:rsidRPr="002033A5" w:rsidP="002033A5">
      <w:pPr>
        <w:jc w:val="both"/>
        <w:rPr>
          <w:rFonts w:ascii="Times New Roman" w:hAnsi="Times New Roman" w:cs="Times New Roman"/>
        </w:rPr>
      </w:pPr>
      <w:r w:rsidRPr="002033A5">
        <w:rPr>
          <w:rFonts w:ascii="Times New Roman" w:hAnsi="Times New Roman" w:cs="Times New Roman"/>
        </w:rPr>
        <w:t xml:space="preserve"> </w:t>
      </w:r>
    </w:p>
    <w:p w:rsidR="002033A5" w:rsidRPr="002033A5" w:rsidP="002033A5">
      <w:pPr>
        <w:jc w:val="both"/>
        <w:rPr>
          <w:rFonts w:ascii="Times New Roman" w:hAnsi="Times New Roman" w:cs="Times New Roman"/>
        </w:rPr>
      </w:pPr>
      <w:r w:rsidRPr="002033A5">
        <w:rPr>
          <w:rFonts w:ascii="Times New Roman" w:hAnsi="Times New Roman" w:cs="Times New Roman"/>
        </w:rPr>
        <w:t xml:space="preserve">35. V § 551 </w:t>
      </w:r>
      <w:r w:rsidR="00AE2CE5">
        <w:rPr>
          <w:rFonts w:ascii="Times New Roman" w:hAnsi="Times New Roman" w:cs="Times New Roman"/>
        </w:rPr>
        <w:t xml:space="preserve">sa </w:t>
      </w:r>
      <w:r w:rsidRPr="002033A5">
        <w:rPr>
          <w:rFonts w:ascii="Times New Roman" w:hAnsi="Times New Roman" w:cs="Times New Roman"/>
        </w:rPr>
        <w:t>za odsek 2 vkladá nový odsek 3, ktorý znie:</w:t>
      </w:r>
    </w:p>
    <w:p w:rsidR="002033A5" w:rsidRPr="002033A5" w:rsidP="002033A5">
      <w:pPr>
        <w:jc w:val="both"/>
        <w:rPr>
          <w:rFonts w:ascii="Times New Roman" w:hAnsi="Times New Roman" w:cs="Times New Roman"/>
        </w:rPr>
      </w:pPr>
    </w:p>
    <w:p w:rsidR="002033A5" w:rsidRPr="002033A5" w:rsidP="002033A5">
      <w:pPr>
        <w:jc w:val="both"/>
        <w:rPr>
          <w:rFonts w:ascii="Times New Roman" w:hAnsi="Times New Roman" w:cs="Times New Roman"/>
        </w:rPr>
      </w:pPr>
      <w:r w:rsidRPr="002033A5">
        <w:rPr>
          <w:rFonts w:ascii="Times New Roman" w:hAnsi="Times New Roman" w:cs="Times New Roman"/>
        </w:rPr>
        <w:tab/>
      </w:r>
      <w:r w:rsidR="00185D10">
        <w:rPr>
          <w:rFonts w:ascii="Times New Roman" w:hAnsi="Times New Roman" w:cs="Times New Roman"/>
        </w:rPr>
        <w:t>„</w:t>
      </w:r>
      <w:r w:rsidRPr="002033A5">
        <w:rPr>
          <w:rFonts w:ascii="Times New Roman" w:hAnsi="Times New Roman" w:cs="Times New Roman"/>
          <w:bCs/>
        </w:rPr>
        <w:t>(3) „</w:t>
      </w:r>
      <w:r w:rsidRPr="002033A5">
        <w:rPr>
          <w:rFonts w:ascii="Times New Roman" w:hAnsi="Times New Roman" w:cs="Times New Roman"/>
        </w:rPr>
        <w:t>Ak vec neznesie odklad, prokurátor môže vydať príkaz podľa odseku 1, ktorý  musí najneskôr do 48 hodín potvrdiť sudca príslušný podľa odseku 2, inak stráca platnosť.“</w:t>
      </w:r>
    </w:p>
    <w:p w:rsidR="002033A5" w:rsidRPr="002033A5" w:rsidP="002033A5">
      <w:pPr>
        <w:jc w:val="both"/>
        <w:rPr>
          <w:rFonts w:ascii="Times New Roman" w:hAnsi="Times New Roman" w:cs="Times New Roman"/>
        </w:rPr>
      </w:pPr>
      <w:r w:rsidRPr="002033A5">
        <w:rPr>
          <w:rFonts w:ascii="Times New Roman" w:hAnsi="Times New Roman" w:cs="Times New Roman"/>
        </w:rPr>
        <w:t xml:space="preserve"> </w:t>
      </w:r>
    </w:p>
    <w:p w:rsidR="002033A5" w:rsidRPr="002033A5" w:rsidP="002033A5">
      <w:pPr>
        <w:jc w:val="both"/>
        <w:rPr>
          <w:rFonts w:ascii="Times New Roman" w:hAnsi="Times New Roman" w:cs="Times New Roman"/>
          <w:bCs/>
        </w:rPr>
      </w:pPr>
      <w:r w:rsidRPr="002033A5">
        <w:rPr>
          <w:rFonts w:ascii="Times New Roman" w:hAnsi="Times New Roman" w:cs="Times New Roman"/>
        </w:rPr>
        <w:t>Doterajší odsek 3 sa označuje ako odsek 4.</w:t>
      </w:r>
    </w:p>
    <w:p w:rsidR="002033A5" w:rsidRPr="002033A5" w:rsidP="002033A5">
      <w:pPr>
        <w:jc w:val="both"/>
        <w:rPr>
          <w:rFonts w:ascii="Times New Roman" w:hAnsi="Times New Roman" w:cs="Times New Roman"/>
        </w:rPr>
      </w:pPr>
    </w:p>
    <w:p w:rsidR="002033A5" w:rsidRPr="002033A5" w:rsidP="002033A5">
      <w:pPr>
        <w:jc w:val="both"/>
        <w:rPr>
          <w:rFonts w:ascii="Times New Roman" w:hAnsi="Times New Roman" w:cs="Times New Roman"/>
        </w:rPr>
      </w:pPr>
      <w:r w:rsidRPr="002033A5">
        <w:rPr>
          <w:rFonts w:ascii="Times New Roman" w:hAnsi="Times New Roman" w:cs="Times New Roman"/>
        </w:rPr>
        <w:t>36. V § 551 ods</w:t>
      </w:r>
      <w:r w:rsidR="00185D10">
        <w:rPr>
          <w:rFonts w:ascii="Times New Roman" w:hAnsi="Times New Roman" w:cs="Times New Roman"/>
        </w:rPr>
        <w:t xml:space="preserve">. 4 </w:t>
      </w:r>
      <w:r w:rsidRPr="002033A5">
        <w:rPr>
          <w:rFonts w:ascii="Times New Roman" w:hAnsi="Times New Roman" w:cs="Times New Roman"/>
        </w:rPr>
        <w:t>sa na konci prvej vety bodka nahrádza čiarkou a pripájajú sa tieto slová: „alebo na základe podmienok uvedených v medzinárodnej zmluve.“</w:t>
      </w:r>
      <w:r w:rsidR="00185D10">
        <w:rPr>
          <w:rFonts w:ascii="Times New Roman" w:hAnsi="Times New Roman" w:cs="Times New Roman"/>
        </w:rPr>
        <w:t>.“</w:t>
      </w:r>
    </w:p>
    <w:p w:rsidR="002033A5" w:rsidRPr="002033A5" w:rsidP="002033A5">
      <w:pPr>
        <w:jc w:val="both"/>
        <w:rPr>
          <w:rFonts w:ascii="Times New Roman" w:hAnsi="Times New Roman" w:cs="Times New Roman"/>
        </w:rPr>
      </w:pPr>
    </w:p>
    <w:p w:rsidR="002033A5" w:rsidRPr="002033A5" w:rsidP="002033A5">
      <w:pPr>
        <w:jc w:val="both"/>
        <w:rPr>
          <w:rFonts w:ascii="Times New Roman" w:hAnsi="Times New Roman" w:cs="Times New Roman"/>
        </w:rPr>
      </w:pPr>
      <w:r w:rsidRPr="002033A5">
        <w:rPr>
          <w:rFonts w:ascii="Times New Roman" w:hAnsi="Times New Roman" w:cs="Times New Roman"/>
        </w:rPr>
        <w:t xml:space="preserve">Doterajší </w:t>
      </w:r>
      <w:r w:rsidR="00AE2CE5">
        <w:rPr>
          <w:rFonts w:ascii="Times New Roman" w:hAnsi="Times New Roman" w:cs="Times New Roman"/>
        </w:rPr>
        <w:t xml:space="preserve">34. </w:t>
      </w:r>
      <w:r w:rsidRPr="002033A5">
        <w:rPr>
          <w:rFonts w:ascii="Times New Roman" w:hAnsi="Times New Roman" w:cs="Times New Roman"/>
        </w:rPr>
        <w:t xml:space="preserve">bod  sa označí ako </w:t>
      </w:r>
      <w:r w:rsidR="00AE2CE5">
        <w:rPr>
          <w:rFonts w:ascii="Times New Roman" w:hAnsi="Times New Roman" w:cs="Times New Roman"/>
        </w:rPr>
        <w:t xml:space="preserve">37. bod. </w:t>
      </w:r>
    </w:p>
    <w:p w:rsidR="002033A5" w:rsidRPr="002033A5" w:rsidP="002033A5">
      <w:pPr>
        <w:tabs>
          <w:tab w:val="left" w:pos="4140"/>
        </w:tabs>
        <w:ind w:left="4320" w:right="-426"/>
        <w:jc w:val="both"/>
        <w:rPr>
          <w:rFonts w:ascii="Times New Roman" w:hAnsi="Times New Roman" w:cs="Times New Roman"/>
        </w:rPr>
      </w:pPr>
    </w:p>
    <w:p w:rsidR="002033A5" w:rsidRPr="002033A5" w:rsidP="002033A5">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V rámci ostatnej novely Trestného poriadku (zák. č. 576/2009 Z. z.), konkrétne časti upravujúcej  zaistenie peňažných prostriedkov (§ 95), predkladateľ opomenul revidovať právnu úpravu komplexne, v celej šírke, zahrnúc i medzinárodnú spoluprácu justičných orgánov v trestných veciach § 551 zák. č. 301/2005 Z. z., ktorého revízia s poukazom na medzinárodné záväzky SR je nevyhnutná. </w:t>
      </w:r>
    </w:p>
    <w:p w:rsidR="002033A5" w:rsidRPr="002033A5" w:rsidP="002033A5">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Aktuálna právna úprava Slovenskej republiky v oblasti zaisťovania majetku pochádzajúceho z trestnej činnosti pre účely budúceho zhabania alebo prepadnutia, podmieňuje zaistenie prostriedkov na žiadosť cudzieho orgánu tým, že prostriedky patria osobe proti ktorej sa vedie trestné stíhanie, resp. obvinenému. Zaistenie majetku právnickej osoby na žiadosť cudzieho orgánu pre účely zhabania tak, ako to predpokladá navrhovaný zákon by v rámci platnej právnej úpravy bolo výrazne sťažené, a v určitých konkrétnych prípadoch úplne zmarené.    </w:t>
      </w:r>
    </w:p>
    <w:p w:rsidR="002033A5" w:rsidRPr="002033A5" w:rsidP="002033A5">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Argumentácia medzinárodnými záväzkami platnými a účinnými pre Slovenskú republiku použitá v dôvodovej správe k novele trestného poriadku zákonom číslo 576/2009 Z. z., ako aj v dôvodovej správe k tomuto návrhu zákona v celom rozsahu platí aj pre navrhovanú zmenu príslušného ustanovenia. </w:t>
      </w:r>
    </w:p>
    <w:p w:rsidR="002033A5" w:rsidRPr="002033A5" w:rsidP="002033A5">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Navrhovaná právna úprava, tiež spresňuje vnútroštátny postup justičných orgánov pri výkone žiadosti odkazom na primerané použitie príslušných ustanovení Štvrtého dielu Štvrtej hlavy zákona č. 301/2005 Z. z., zároveň upravuje urgentný postup, tým že dáva právo prokurátorovi rozhodnúť o zaistení majetku s tým, že jeho rozhodnutie bude následne potvrdené súdom. Vo štvrtom odseku doplňuje možnosť pre súd zrušiť zaistenie aj v prípade, že nastanú skutočnosti uvedené v medzinárodnej zmluve, podmieňujúce zrušenie zaistenia.    </w:t>
      </w:r>
    </w:p>
    <w:p w:rsidR="002033A5" w:rsidRPr="002033A5" w:rsidP="002033A5">
      <w:pPr>
        <w:tabs>
          <w:tab w:val="left" w:pos="4140"/>
        </w:tabs>
        <w:ind w:left="4320" w:right="-426"/>
        <w:jc w:val="both"/>
        <w:rPr>
          <w:rFonts w:ascii="Times New Roman" w:hAnsi="Times New Roman" w:cs="Times New Roman"/>
        </w:rPr>
      </w:pPr>
    </w:p>
    <w:p w:rsidR="002033A5" w:rsidRPr="002033A5" w:rsidP="002033A5">
      <w:pPr>
        <w:ind w:left="3960" w:right="-426"/>
        <w:jc w:val="both"/>
        <w:rPr>
          <w:rFonts w:ascii="Times New Roman" w:hAnsi="Times New Roman" w:cs="Times New Roman"/>
          <w:b/>
          <w:sz w:val="28"/>
          <w:szCs w:val="28"/>
        </w:rPr>
      </w:pPr>
    </w:p>
    <w:p w:rsidR="003A74D4" w:rsidP="00515755">
      <w:pPr>
        <w:spacing w:line="360" w:lineRule="auto"/>
        <w:rPr>
          <w:rFonts w:ascii="Times New Roman" w:hAnsi="Times New Roman" w:cs="Times New Roman"/>
        </w:rPr>
      </w:pPr>
      <w:r w:rsidR="00515755">
        <w:rPr>
          <w:rFonts w:ascii="Times New Roman" w:hAnsi="Times New Roman" w:cs="Times New Roman"/>
          <w:b/>
        </w:rPr>
        <w:t>4</w:t>
      </w:r>
      <w:r w:rsidRPr="00515755" w:rsidR="00515755">
        <w:rPr>
          <w:rFonts w:ascii="Times New Roman" w:hAnsi="Times New Roman" w:cs="Times New Roman"/>
          <w:b/>
        </w:rPr>
        <w:t xml:space="preserve">. V čl. </w:t>
      </w:r>
      <w:r w:rsidR="00515755">
        <w:rPr>
          <w:rFonts w:ascii="Times New Roman" w:hAnsi="Times New Roman" w:cs="Times New Roman"/>
          <w:b/>
        </w:rPr>
        <w:t xml:space="preserve">IV </w:t>
      </w:r>
      <w:r w:rsidR="00515755">
        <w:rPr>
          <w:rFonts w:ascii="Times New Roman" w:hAnsi="Times New Roman" w:cs="Times New Roman"/>
        </w:rPr>
        <w:t>v 2. bode v § 107a ods. 4 sa za slovo „konaní</w:t>
      </w:r>
      <w:r w:rsidRPr="00515755" w:rsidR="00515755">
        <w:rPr>
          <w:rFonts w:ascii="Times New Roman" w:hAnsi="Times New Roman" w:cs="Times New Roman"/>
          <w:vertAlign w:val="superscript"/>
        </w:rPr>
        <w:t>22a)</w:t>
      </w:r>
      <w:r w:rsidR="00515755">
        <w:rPr>
          <w:rFonts w:ascii="Times New Roman" w:hAnsi="Times New Roman" w:cs="Times New Roman"/>
        </w:rPr>
        <w:t xml:space="preserve">“ vkladá slovo „bol“. </w:t>
      </w:r>
    </w:p>
    <w:p w:rsidR="00515755" w:rsidP="00515755">
      <w:pPr>
        <w:spacing w:line="360" w:lineRule="auto"/>
        <w:rPr>
          <w:rFonts w:ascii="Times New Roman" w:hAnsi="Times New Roman" w:cs="Times New Roman"/>
        </w:rPr>
      </w:pPr>
    </w:p>
    <w:p w:rsidR="00515755" w:rsidRPr="00E11177" w:rsidP="00515755">
      <w:pPr>
        <w:spacing w:line="360" w:lineRule="auto"/>
        <w:rPr>
          <w:rFonts w:ascii="Times New Roman" w:hAnsi="Times New Roman" w:cs="Times New Roman"/>
        </w:rPr>
      </w:pPr>
      <w:r>
        <w:rPr>
          <w:rFonts w:ascii="Times New Roman" w:hAnsi="Times New Roman" w:cs="Times New Roman"/>
        </w:rPr>
        <w:tab/>
        <w:tab/>
        <w:tab/>
        <w:tab/>
        <w:tab/>
        <w:tab/>
        <w:t xml:space="preserve"> Ide o</w:t>
      </w:r>
      <w:r w:rsidR="008971E1">
        <w:rPr>
          <w:rFonts w:ascii="Times New Roman" w:hAnsi="Times New Roman" w:cs="Times New Roman"/>
        </w:rPr>
        <w:t xml:space="preserve"> gramatickú</w:t>
      </w:r>
      <w:r>
        <w:rPr>
          <w:rFonts w:ascii="Times New Roman" w:hAnsi="Times New Roman" w:cs="Times New Roman"/>
        </w:rPr>
        <w:t xml:space="preserve"> úpravu. </w:t>
      </w:r>
    </w:p>
    <w:p w:rsidR="003A74D4" w:rsidRPr="00E11177" w:rsidP="003A74D4">
      <w:pPr>
        <w:jc w:val="both"/>
        <w:rPr>
          <w:rFonts w:ascii="Times New Roman" w:hAnsi="Times New Roman" w:cs="Times New Roman"/>
          <w:bCs/>
        </w:rPr>
      </w:pPr>
    </w:p>
    <w:p w:rsidR="003A74D4" w:rsidRPr="00E11177" w:rsidP="007E688A">
      <w:pPr>
        <w:jc w:val="both"/>
        <w:rPr>
          <w:rFonts w:ascii="Times New Roman" w:hAnsi="Times New Roman" w:cs="Times New Roman"/>
          <w:b/>
        </w:rPr>
      </w:pPr>
    </w:p>
    <w:sectPr>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B9"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770B9">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B9"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84D8C">
      <w:rPr>
        <w:rStyle w:val="PageNumber"/>
        <w:rFonts w:ascii="Times New Roman" w:hAnsi="Times New Roman" w:cs="Times New Roman"/>
        <w:noProof/>
      </w:rPr>
      <w:t>2</w:t>
    </w:r>
    <w:r>
      <w:rPr>
        <w:rStyle w:val="PageNumber"/>
        <w:rFonts w:ascii="Times New Roman" w:hAnsi="Times New Roman" w:cs="Times New Roman"/>
      </w:rPr>
      <w:fldChar w:fldCharType="end"/>
    </w:r>
  </w:p>
  <w:p w:rsidR="00E770B9">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5C5"/>
    <w:multiLevelType w:val="hybridMultilevel"/>
    <w:tmpl w:val="287C93B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265364"/>
    <w:multiLevelType w:val="hybridMultilevel"/>
    <w:tmpl w:val="43CC76F4"/>
    <w:lvl w:ilvl="0">
      <w:start w:val="1"/>
      <w:numFmt w:val="decimal"/>
      <w:lvlText w:val="%1."/>
      <w:lvlJc w:val="left"/>
      <w:pPr>
        <w:tabs>
          <w:tab w:val="num" w:pos="397"/>
        </w:tabs>
        <w:ind w:left="397" w:hanging="397"/>
      </w:pPr>
      <w:rPr>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C52348"/>
    <w:multiLevelType w:val="hybridMultilevel"/>
    <w:tmpl w:val="686678C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806A52"/>
    <w:multiLevelType w:val="multilevel"/>
    <w:tmpl w:val="B8CA8C7E"/>
    <w:lvl w:ilvl="0">
      <w:start w:val="1"/>
      <w:numFmt w:val="decimal"/>
      <w:lvlText w:val="%1."/>
      <w:lvlJc w:val="left"/>
      <w:pPr>
        <w:tabs>
          <w:tab w:val="num" w:pos="1080"/>
        </w:tabs>
        <w:ind w:left="1080" w:hanging="360"/>
      </w:pPr>
      <w:rPr>
        <w:rFonts w:cs="Times New Roman"/>
        <w:rtl w:val="0"/>
      </w:rPr>
    </w:lvl>
    <w:lvl w:ilvl="1">
      <w:start w:val="1"/>
      <w:numFmt w:val="lowerLetter"/>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4">
    <w:nsid w:val="0AA50B53"/>
    <w:multiLevelType w:val="hybridMultilevel"/>
    <w:tmpl w:val="2F424FD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7540D4"/>
    <w:multiLevelType w:val="multilevel"/>
    <w:tmpl w:val="29E6D808"/>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0B877314"/>
    <w:multiLevelType w:val="hybridMultilevel"/>
    <w:tmpl w:val="1C3A5FEA"/>
    <w:lvl w:ilvl="0">
      <w:start w:val="1"/>
      <w:numFmt w:val="decimal"/>
      <w:lvlText w:val="%1."/>
      <w:lvlJc w:val="left"/>
      <w:pPr>
        <w:tabs>
          <w:tab w:val="num" w:pos="340"/>
        </w:tabs>
        <w:ind w:left="340" w:hanging="340"/>
      </w:pPr>
      <w:rPr>
        <w:rFonts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EC6C55"/>
    <w:multiLevelType w:val="hybridMultilevel"/>
    <w:tmpl w:val="4C526B66"/>
    <w:lvl w:ilvl="0">
      <w:start w:val="1"/>
      <w:numFmt w:val="decimal"/>
      <w:lvlText w:val="%1."/>
      <w:lvlJc w:val="left"/>
      <w:pPr>
        <w:tabs>
          <w:tab w:val="num" w:pos="340"/>
        </w:tabs>
        <w:ind w:left="340" w:hanging="340"/>
      </w:p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nsid w:val="0DAF3180"/>
    <w:multiLevelType w:val="hybridMultilevel"/>
    <w:tmpl w:val="7E98F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CF0666"/>
    <w:multiLevelType w:val="multilevel"/>
    <w:tmpl w:val="528E6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B47733"/>
    <w:multiLevelType w:val="hybridMultilevel"/>
    <w:tmpl w:val="767E2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657269"/>
    <w:multiLevelType w:val="hybridMultilevel"/>
    <w:tmpl w:val="D56293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4B747F"/>
    <w:multiLevelType w:val="hybridMultilevel"/>
    <w:tmpl w:val="EE606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9D4A5A"/>
    <w:multiLevelType w:val="hybridMultilevel"/>
    <w:tmpl w:val="14FEDD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9121B9"/>
    <w:multiLevelType w:val="hybridMultilevel"/>
    <w:tmpl w:val="DF36C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E81D10"/>
    <w:multiLevelType w:val="multilevel"/>
    <w:tmpl w:val="528E6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1216C64"/>
    <w:multiLevelType w:val="hybridMultilevel"/>
    <w:tmpl w:val="E37EEBE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3F1100"/>
    <w:multiLevelType w:val="hybridMultilevel"/>
    <w:tmpl w:val="B0CAD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CB0839"/>
    <w:multiLevelType w:val="hybridMultilevel"/>
    <w:tmpl w:val="5A469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FE15A5E"/>
    <w:multiLevelType w:val="hybridMultilevel"/>
    <w:tmpl w:val="29E6D808"/>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0">
    <w:nsid w:val="47D56A43"/>
    <w:multiLevelType w:val="hybridMultilevel"/>
    <w:tmpl w:val="C98CAEB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EE6CF3"/>
    <w:multiLevelType w:val="hybridMultilevel"/>
    <w:tmpl w:val="C4D24B44"/>
    <w:lvl w:ilvl="0">
      <w:start w:val="1"/>
      <w:numFmt w:val="decimal"/>
      <w:lvlText w:val="%1."/>
      <w:lvlJc w:val="left"/>
      <w:pPr>
        <w:tabs>
          <w:tab w:val="num" w:pos="340"/>
        </w:tabs>
        <w:ind w:left="340" w:hanging="340"/>
      </w:pPr>
      <w:rPr>
        <w:rFonts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D35C71"/>
    <w:multiLevelType w:val="hybridMultilevel"/>
    <w:tmpl w:val="685AB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87A0F97"/>
    <w:multiLevelType w:val="multilevel"/>
    <w:tmpl w:val="EE606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8992C19"/>
    <w:multiLevelType w:val="hybridMultilevel"/>
    <w:tmpl w:val="FA2C06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0675EC"/>
    <w:multiLevelType w:val="hybridMultilevel"/>
    <w:tmpl w:val="4928F304"/>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66618B"/>
    <w:multiLevelType w:val="hybridMultilevel"/>
    <w:tmpl w:val="B8CA8C7E"/>
    <w:lvl w:ilvl="0">
      <w:start w:val="1"/>
      <w:numFmt w:val="decimal"/>
      <w:lvlText w:val="%1."/>
      <w:lvlJc w:val="left"/>
      <w:pPr>
        <w:tabs>
          <w:tab w:val="num" w:pos="1080"/>
        </w:tabs>
        <w:ind w:left="1080" w:hanging="360"/>
      </w:pPr>
      <w:rPr>
        <w:rFonts w:cs="Times New Roman"/>
        <w:rtl w:val="0"/>
      </w:rPr>
    </w:lvl>
    <w:lvl w:ilvl="1">
      <w:start w:val="1"/>
      <w:numFmt w:val="lowerLetter"/>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27">
    <w:nsid w:val="6C584B73"/>
    <w:multiLevelType w:val="hybridMultilevel"/>
    <w:tmpl w:val="9758B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F73AB8"/>
    <w:multiLevelType w:val="hybridMultilevel"/>
    <w:tmpl w:val="519668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743F6BDE"/>
    <w:multiLevelType w:val="hybridMultilevel"/>
    <w:tmpl w:val="14DA4DC0"/>
    <w:lvl w:ilvl="0">
      <w:start w:val="1"/>
      <w:numFmt w:val="decimal"/>
      <w:lvlText w:val="%1."/>
      <w:lvlJc w:val="left"/>
      <w:pPr>
        <w:tabs>
          <w:tab w:val="num" w:pos="340"/>
        </w:tabs>
        <w:ind w:left="340" w:hanging="340"/>
      </w:pPr>
      <w:rPr>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4E535BB"/>
    <w:multiLevelType w:val="hybridMultilevel"/>
    <w:tmpl w:val="D0389C76"/>
    <w:lvl w:ilvl="0">
      <w:start w:val="1"/>
      <w:numFmt w:val="decimal"/>
      <w:lvlText w:val="%1."/>
      <w:lvlJc w:val="left"/>
      <w:pPr>
        <w:tabs>
          <w:tab w:val="num" w:pos="397"/>
        </w:tabs>
        <w:ind w:left="397" w:hanging="397"/>
      </w:pPr>
      <w:rPr>
        <w:rFonts w:ascii="Times New Roman" w:hAnsi="Times New Roman" w:cs="Times New Roman"/>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F1B0272"/>
    <w:multiLevelType w:val="hybridMultilevel"/>
    <w:tmpl w:val="6EBEF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7"/>
  </w:num>
  <w:num w:numId="3">
    <w:abstractNumId w:val="10"/>
  </w:num>
  <w:num w:numId="4">
    <w:abstractNumId w:val="20"/>
  </w:num>
  <w:num w:numId="5">
    <w:abstractNumId w:val="28"/>
  </w:num>
  <w:num w:numId="6">
    <w:abstractNumId w:val="26"/>
  </w:num>
  <w:num w:numId="7">
    <w:abstractNumId w:val="3"/>
  </w:num>
  <w:num w:numId="8">
    <w:abstractNumId w:val="4"/>
  </w:num>
  <w:num w:numId="9">
    <w:abstractNumId w:val="19"/>
  </w:num>
  <w:num w:numId="10">
    <w:abstractNumId w:val="5"/>
  </w:num>
  <w:num w:numId="11">
    <w:abstractNumId w:val="21"/>
  </w:num>
  <w:num w:numId="12">
    <w:abstractNumId w:val="6"/>
  </w:num>
  <w:num w:numId="13">
    <w:abstractNumId w:val="17"/>
  </w:num>
  <w:num w:numId="14">
    <w:abstractNumId w:val="18"/>
  </w:num>
  <w:num w:numId="15">
    <w:abstractNumId w:val="8"/>
  </w:num>
  <w:num w:numId="16">
    <w:abstractNumId w:val="14"/>
  </w:num>
  <w:num w:numId="17">
    <w:abstractNumId w:val="12"/>
  </w:num>
  <w:num w:numId="18">
    <w:abstractNumId w:val="23"/>
  </w:num>
  <w:num w:numId="19">
    <w:abstractNumId w:val="22"/>
  </w:num>
  <w:num w:numId="20">
    <w:abstractNumId w:val="16"/>
  </w:num>
  <w:num w:numId="21">
    <w:abstractNumId w:val="2"/>
  </w:num>
  <w:num w:numId="22">
    <w:abstractNumId w:val="11"/>
  </w:num>
  <w:num w:numId="23">
    <w:abstractNumId w:val="1"/>
  </w:num>
  <w:num w:numId="24">
    <w:abstractNumId w:val="29"/>
  </w:num>
  <w:num w:numId="25">
    <w:abstractNumId w:val="31"/>
  </w:num>
  <w:num w:numId="26">
    <w:abstractNumId w:val="30"/>
  </w:num>
  <w:num w:numId="27">
    <w:abstractNumId w:val="25"/>
  </w:num>
  <w:num w:numId="28">
    <w:abstractNumId w:val="9"/>
  </w:num>
  <w:num w:numId="29">
    <w:abstractNumId w:val="15"/>
  </w:num>
  <w:num w:numId="30">
    <w:abstractNumId w:val="27"/>
  </w:num>
  <w:num w:numId="31">
    <w:abstractNumId w:val="0"/>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01C2"/>
    <w:rsid w:val="000D4C85"/>
    <w:rsid w:val="00185D10"/>
    <w:rsid w:val="001F558B"/>
    <w:rsid w:val="002033A5"/>
    <w:rsid w:val="00247E6D"/>
    <w:rsid w:val="002E030C"/>
    <w:rsid w:val="00304678"/>
    <w:rsid w:val="0032307E"/>
    <w:rsid w:val="00362E82"/>
    <w:rsid w:val="00384D8C"/>
    <w:rsid w:val="00390BFF"/>
    <w:rsid w:val="003A74D4"/>
    <w:rsid w:val="003F01A1"/>
    <w:rsid w:val="004061F1"/>
    <w:rsid w:val="00515755"/>
    <w:rsid w:val="00577FDA"/>
    <w:rsid w:val="00644860"/>
    <w:rsid w:val="00676CCE"/>
    <w:rsid w:val="006917E4"/>
    <w:rsid w:val="006B66CE"/>
    <w:rsid w:val="006C7E01"/>
    <w:rsid w:val="00755ECF"/>
    <w:rsid w:val="007C41B9"/>
    <w:rsid w:val="007E33B1"/>
    <w:rsid w:val="007E688A"/>
    <w:rsid w:val="00811A7F"/>
    <w:rsid w:val="008971E1"/>
    <w:rsid w:val="009027A0"/>
    <w:rsid w:val="00962B45"/>
    <w:rsid w:val="00AD7BF7"/>
    <w:rsid w:val="00AE2CE5"/>
    <w:rsid w:val="00B045B9"/>
    <w:rsid w:val="00B643E6"/>
    <w:rsid w:val="00CC4258"/>
    <w:rsid w:val="00CE5982"/>
    <w:rsid w:val="00E07810"/>
    <w:rsid w:val="00E11177"/>
    <w:rsid w:val="00E770B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FDF"/>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aliases w:val="Char Char Char"/>
    <w:link w:val="Char"/>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rsid w:val="00D36099"/>
    <w:pPr>
      <w:spacing w:after="120"/>
      <w:jc w:val="left"/>
    </w:pPr>
    <w:rPr>
      <w:sz w:val="16"/>
      <w:szCs w:val="16"/>
    </w:rPr>
  </w:style>
  <w:style w:type="paragraph" w:customStyle="1" w:styleId="TxBrp9">
    <w:name w:val="TxBr_p9"/>
    <w:basedOn w:val="Normal"/>
    <w:rsid w:val="009F1DA4"/>
    <w:pPr>
      <w:tabs>
        <w:tab w:val="left" w:pos="204"/>
      </w:tabs>
      <w:autoSpaceDE/>
      <w:autoSpaceDN/>
      <w:spacing w:line="240" w:lineRule="atLeast"/>
      <w:jc w:val="both"/>
    </w:pPr>
    <w:rPr>
      <w:sz w:val="20"/>
      <w:lang w:val="en-US"/>
    </w:rPr>
  </w:style>
  <w:style w:type="paragraph" w:styleId="Header">
    <w:name w:val="header"/>
    <w:basedOn w:val="Normal"/>
    <w:rsid w:val="003D2DD5"/>
    <w:pPr>
      <w:tabs>
        <w:tab w:val="center" w:pos="4536"/>
        <w:tab w:val="right" w:pos="9072"/>
      </w:tabs>
      <w:jc w:val="left"/>
    </w:pPr>
    <w:rPr>
      <w:rFonts w:ascii="Arial" w:hAnsi="Arial"/>
      <w:szCs w:val="20"/>
    </w:rPr>
  </w:style>
  <w:style w:type="character" w:styleId="Strong">
    <w:name w:val="Strong"/>
    <w:basedOn w:val="DefaultParagraphFont"/>
    <w:qFormat/>
    <w:rsid w:val="00BE5163"/>
    <w:rPr>
      <w:b/>
      <w:bCs/>
      <w:rtl w:val="0"/>
    </w:rPr>
  </w:style>
  <w:style w:type="table" w:styleId="TableGrid">
    <w:name w:val="Table Grid"/>
    <w:rsid w:val="003049E3"/>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CommentText">
    <w:name w:val="annotation text"/>
    <w:basedOn w:val="Normal"/>
    <w:semiHidden/>
    <w:rsid w:val="003049E3"/>
    <w:pPr>
      <w:jc w:val="both"/>
    </w:pPr>
    <w:rPr>
      <w:sz w:val="20"/>
      <w:szCs w:val="20"/>
    </w:rPr>
  </w:style>
  <w:style w:type="paragraph" w:customStyle="1" w:styleId="Char">
    <w:name w:val="Char"/>
    <w:basedOn w:val="Normal"/>
    <w:link w:val="DefaultParagraphFont"/>
    <w:rsid w:val="00E77E19"/>
    <w:pPr>
      <w:spacing w:after="160" w:line="240" w:lineRule="exact"/>
      <w:jc w:val="left"/>
    </w:pPr>
    <w:rPr>
      <w:rFonts w:ascii="Tahoma" w:hAnsi="Tahoma" w:cs="Tahoma"/>
      <w:sz w:val="20"/>
      <w:szCs w:val="20"/>
      <w:lang w:val="en-US"/>
    </w:rPr>
  </w:style>
  <w:style w:type="paragraph" w:customStyle="1" w:styleId="CharCharCharCharChar">
    <w:name w:val="Char Char Char Char Char"/>
    <w:basedOn w:val="Normal"/>
    <w:rsid w:val="00850B63"/>
    <w:pPr>
      <w:spacing w:after="160" w:line="240" w:lineRule="exact"/>
      <w:jc w:val="left"/>
    </w:pPr>
    <w:rPr>
      <w:rFonts w:ascii="Tahoma" w:hAnsi="Tahoma" w:cs="Tahoma"/>
      <w:sz w:val="20"/>
      <w:szCs w:val="20"/>
      <w:lang w:val="en-US"/>
    </w:rPr>
  </w:style>
  <w:style w:type="paragraph" w:styleId="BalloonText">
    <w:name w:val="Balloon Text"/>
    <w:basedOn w:val="Normal"/>
    <w:semiHidden/>
    <w:rsid w:val="0089100B"/>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1338</TotalTime>
  <Pages>1</Pages>
  <Words>1430</Words>
  <Characters>8154</Characters>
  <Application>Microsoft Office Word</Application>
  <DocSecurity>0</DocSecurity>
  <Lines>0</Lines>
  <Paragraphs>0</Paragraphs>
  <ScaleCrop>false</ScaleCrop>
  <Manager>Magdaléna Šuchaňová</Manager>
  <Company>Kancelária NR SR, ÚPV NR SR</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Uznesenie UPV 860 tlač 1487</dc:title>
  <dc:subject>tlač 1487, schôdza 115, 22. apríl 2010</dc:subject>
  <dc:creator>Viera Ebringerová</dc:creator>
  <cp:keywords>Trestný zákon</cp:keywords>
  <dc:description>vládny návrh zákona</dc:description>
  <cp:lastModifiedBy>EbriVier</cp:lastModifiedBy>
  <cp:revision>1787</cp:revision>
  <cp:lastPrinted>2010-04-23T08:07:00Z</cp:lastPrinted>
  <dcterms:created xsi:type="dcterms:W3CDTF">2002-05-15T10:56:00Z</dcterms:created>
  <dcterms:modified xsi:type="dcterms:W3CDTF">2010-04-23T08:07:00Z</dcterms:modified>
  <cp:category>uznesenie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1395627789</vt:i4>
  </property>
  <property fmtid="{D5CDD505-2E9C-101B-9397-08002B2CF9AE}" pid="3" name="_AuthorEmail">
    <vt:lpwstr>SuchMagd@nrsr.sk</vt:lpwstr>
  </property>
  <property fmtid="{D5CDD505-2E9C-101B-9397-08002B2CF9AE}" pid="4" name="_AuthorEmailDisplayName">
    <vt:lpwstr>Šuchaňová, Magdaléna, JUDr.</vt:lpwstr>
  </property>
  <property fmtid="{D5CDD505-2E9C-101B-9397-08002B2CF9AE}" pid="5" name="_EmailSubject">
    <vt:lpwstr/>
  </property>
</Properties>
</file>