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06A" w:rsidP="00A70A69">
      <w:pPr>
        <w:pStyle w:val="Heading1"/>
        <w:keepLines/>
        <w:rPr>
          <w:rFonts w:ascii="Arial" w:hAnsi="Arial"/>
        </w:rPr>
      </w:pPr>
      <w:r>
        <w:rPr>
          <w:rFonts w:ascii="Times New Roman" w:hAnsi="Times New Roman"/>
        </w:rPr>
        <w:t>Dôvodová správa</w:t>
      </w:r>
    </w:p>
    <w:p w:rsidR="0001006A" w:rsidP="00A70A69">
      <w:pPr>
        <w:pStyle w:val="Heading3"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6A0401" w:rsidRPr="00E85443" w:rsidP="00A70A69">
      <w:pPr>
        <w:pStyle w:val="odsek"/>
        <w:keepLines/>
        <w:rPr>
          <w:rFonts w:ascii="Times New Roman" w:hAnsi="Times New Roman" w:cs="Times New Roman"/>
        </w:rPr>
      </w:pPr>
      <w:r w:rsidRPr="00E8544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E85443">
        <w:rPr>
          <w:rFonts w:ascii="Times New Roman" w:hAnsi="Times New Roman" w:cs="Times New Roman"/>
        </w:rPr>
        <w:t>súčasnosti</w:t>
      </w:r>
      <w:r>
        <w:rPr>
          <w:rFonts w:ascii="Times New Roman" w:hAnsi="Times New Roman" w:cs="Times New Roman"/>
        </w:rPr>
        <w:t xml:space="preserve"> </w:t>
      </w:r>
      <w:r w:rsidRPr="00E85443">
        <w:rPr>
          <w:rFonts w:ascii="Times New Roman" w:hAnsi="Times New Roman" w:cs="Times New Roman"/>
        </w:rPr>
        <w:t>platný a účinný zákon č. 313/2009 Z. z. o vinohradníctve a vinárstve  bol prijatý na vykonanie nariadenia Rady (ES) č. 479/2008 o spoločnej organizácii trhu s vínom, ktorým sa menia a dopĺňajú nariadenia (ES) č. 1493/1999, (ES) č. 1782/2003, (ES) č. 1290/2005, (ES) č. 3/2008 a zrušujú nariadenia (EHS) č. 2392/86 a (ES) č. 1493/1999, ktoré bolo následne zrušené</w:t>
      </w:r>
      <w:r w:rsidR="008A3163">
        <w:rPr>
          <w:rFonts w:ascii="Times New Roman" w:hAnsi="Times New Roman" w:cs="Times New Roman"/>
        </w:rPr>
        <w:t xml:space="preserve"> nariadením (ES) č. 491/2009</w:t>
      </w:r>
      <w:r w:rsidRPr="00E85443">
        <w:rPr>
          <w:rFonts w:ascii="Times New Roman" w:hAnsi="Times New Roman" w:cs="Times New Roman"/>
        </w:rPr>
        <w:t xml:space="preserve"> a v úplnom znení prebraté do nariadenia</w:t>
      </w:r>
      <w:r w:rsidRPr="0070716A">
        <w:rPr>
          <w:rFonts w:ascii="Times New Roman" w:hAnsi="Times New Roman" w:cs="Times New Roman"/>
        </w:rPr>
        <w:t xml:space="preserve"> </w:t>
      </w:r>
      <w:r w:rsidRPr="00E85443">
        <w:rPr>
          <w:rFonts w:ascii="Times New Roman" w:hAnsi="Times New Roman" w:cs="Times New Roman"/>
        </w:rPr>
        <w:t>(ES) č. 1234/2007 o vytvorení spoločnej organizácie poľnohospodárskych trhov a o osobitných ustanoveniach pre určité poľnohospodárske výrobky (nariadenie o jednotnej spoločnej organizácii trhov)</w:t>
      </w:r>
      <w:r w:rsidR="008A3163">
        <w:rPr>
          <w:rFonts w:ascii="Times New Roman" w:hAnsi="Times New Roman" w:cs="Times New Roman"/>
        </w:rPr>
        <w:t xml:space="preserve"> v platnom znení</w:t>
      </w:r>
      <w:r w:rsidRPr="00E85443">
        <w:rPr>
          <w:rFonts w:ascii="Times New Roman" w:hAnsi="Times New Roman" w:cs="Times New Roman"/>
        </w:rPr>
        <w:t>.</w:t>
      </w:r>
    </w:p>
    <w:p w:rsidR="006A0401" w:rsidRPr="00E85443" w:rsidP="00A70A69">
      <w:pPr>
        <w:pStyle w:val="odsek"/>
        <w:keepLines/>
        <w:rPr>
          <w:rFonts w:ascii="Times New Roman" w:hAnsi="Times New Roman" w:cs="Times New Roman"/>
        </w:rPr>
      </w:pPr>
      <w:r w:rsidRPr="00E85443">
        <w:rPr>
          <w:rFonts w:ascii="Times New Roman" w:hAnsi="Times New Roman" w:cs="Times New Roman"/>
        </w:rPr>
        <w:t xml:space="preserve">Predmetné nariadenie ustanovuje novú kategorizáciu vín, ktorá sa prispôsobuje horizontálnym pravidlám legislatívy EÚ. Ustupuje sa od tradičného členenia na stolové a akostné vína, pričom nová kategorizácia je založená na zdôraznení zemepisného označenia. S tým súvisí aj prebratie nových postupov uznávania ochrany označenia pôvodu a zemepisného označenia, ktoré je potrebné zapracovať do národnej legislatívy, nakoľko tieto postupy uznávania si vyžadujú </w:t>
      </w:r>
      <w:r>
        <w:rPr>
          <w:rFonts w:ascii="Times New Roman" w:hAnsi="Times New Roman" w:cs="Times New Roman"/>
        </w:rPr>
        <w:t>predbežný vnútroštátny postup.</w:t>
      </w:r>
    </w:p>
    <w:p w:rsidR="006A0401" w:rsidRPr="00E85443" w:rsidP="00A70A69">
      <w:pPr>
        <w:pStyle w:val="odsek"/>
        <w:keepLines/>
        <w:rPr>
          <w:rFonts w:ascii="Times New Roman" w:hAnsi="Times New Roman" w:cs="Times New Roman"/>
        </w:rPr>
      </w:pPr>
      <w:r w:rsidRPr="00E85443">
        <w:rPr>
          <w:rFonts w:ascii="Times New Roman" w:hAnsi="Times New Roman" w:cs="Times New Roman"/>
        </w:rPr>
        <w:t xml:space="preserve">V nadväznosti na výkladové problémy, ktoré sa doposiaľ vyskytli v aplikačnej praxi a majú svoj pôvod najmä v osobitostiach slovenského jazyka a jeho gramatike, sa pri pojme „Tokajská vinohradnícka oblasť“ navrhuje </w:t>
      </w:r>
      <w:r w:rsidR="009627A0">
        <w:rPr>
          <w:rFonts w:ascii="Times New Roman" w:hAnsi="Times New Roman" w:cs="Times New Roman"/>
        </w:rPr>
        <w:t>zmena</w:t>
      </w:r>
      <w:r w:rsidRPr="00E85443">
        <w:rPr>
          <w:rFonts w:ascii="Times New Roman" w:hAnsi="Times New Roman" w:cs="Times New Roman"/>
        </w:rPr>
        <w:t>, ktorá bude v súlade so skutočným stavom, tradíciou, historicky zaužívaným spôsobom označovania vinárskych pro</w:t>
      </w:r>
      <w:r w:rsidR="002421B0">
        <w:rPr>
          <w:rFonts w:ascii="Times New Roman" w:hAnsi="Times New Roman" w:cs="Times New Roman"/>
        </w:rPr>
        <w:t>duktov v danej oblasti, a tiež s</w:t>
      </w:r>
      <w:r w:rsidRPr="00E85443">
        <w:rPr>
          <w:rFonts w:ascii="Times New Roman" w:hAnsi="Times New Roman" w:cs="Times New Roman"/>
        </w:rPr>
        <w:t> </w:t>
      </w:r>
      <w:r w:rsidRPr="00E85443">
        <w:rPr>
          <w:rFonts w:ascii="Times New Roman" w:hAnsi="Times New Roman" w:cs="Times New Roman"/>
        </w:rPr>
        <w:t>predchádzajúcou právnou úpravou.</w:t>
      </w:r>
    </w:p>
    <w:p w:rsidR="006A0401" w:rsidRPr="00E85443" w:rsidP="00A70A69">
      <w:pPr>
        <w:pStyle w:val="odsek"/>
        <w:keepLines/>
        <w:rPr>
          <w:rFonts w:ascii="Times New Roman" w:hAnsi="Times New Roman" w:cs="Times New Roman"/>
        </w:rPr>
      </w:pPr>
      <w:r w:rsidRPr="00E85443">
        <w:rPr>
          <w:rFonts w:ascii="Times New Roman" w:hAnsi="Times New Roman" w:cs="Times New Roman"/>
        </w:rPr>
        <w:t xml:space="preserve">Návrh zákona nebude mať dopad na štátny rozpočet ani rozpočty územných celkov. Navrhovaná úprava nemá vplyv na zamestnanosť a tvorbu pracovných miest ani na životné prostredie. </w:t>
      </w:r>
    </w:p>
    <w:p w:rsidR="006A0401" w:rsidRPr="00E85443" w:rsidP="00A70A69">
      <w:pPr>
        <w:pStyle w:val="odsek"/>
        <w:keepLines/>
        <w:rPr>
          <w:rFonts w:ascii="Times New Roman" w:hAnsi="Times New Roman" w:cs="Times New Roman"/>
        </w:rPr>
      </w:pPr>
      <w:r w:rsidRPr="00E85443">
        <w:rPr>
          <w:rFonts w:ascii="Times New Roman" w:hAnsi="Times New Roman" w:cs="Times New Roman"/>
        </w:rPr>
        <w:t>Návrh zákona je v súlade s Ústavou Slovenskej</w:t>
      </w:r>
      <w:r w:rsidRPr="00E85443">
        <w:rPr>
          <w:rFonts w:ascii="Times New Roman" w:hAnsi="Times New Roman" w:cs="Times New Roman"/>
        </w:rPr>
        <w:t xml:space="preserve"> republiky, súvisiacimi zákonmi, medzinárodnými zmluvami a inými medzinárodnými dokumentmi, ktorými je Slovenská republika viazaná.</w:t>
      </w:r>
    </w:p>
    <w:p w:rsidR="0001006A" w:rsidRPr="001958E3" w:rsidP="00A70A69">
      <w:pPr>
        <w:keepLines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DOLOŽKA </w:t>
      </w:r>
      <w:r w:rsidRPr="001958E3">
        <w:rPr>
          <w:rFonts w:ascii="Times New Roman" w:hAnsi="Times New Roman" w:cs="Times New Roman"/>
          <w:b/>
        </w:rPr>
        <w:t>ZLUČITEĽNOSTI</w:t>
      </w:r>
    </w:p>
    <w:p w:rsidR="0001006A" w:rsidRPr="001958E3" w:rsidP="00A70A69">
      <w:pPr>
        <w:keepLines/>
        <w:spacing w:after="60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</w:t>
      </w:r>
      <w:r w:rsidRPr="001958E3">
        <w:rPr>
          <w:rFonts w:ascii="Times New Roman" w:hAnsi="Times New Roman" w:cs="Times New Roman"/>
          <w:b/>
        </w:rPr>
        <w:t xml:space="preserve"> s právom Európskej únie</w:t>
      </w:r>
    </w:p>
    <w:p w:rsidR="0001006A" w:rsidP="00A70A69">
      <w:pPr>
        <w:keepLines/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AB047D">
        <w:rPr>
          <w:rFonts w:ascii="Times New Roman" w:hAnsi="Times New Roman" w:cs="Times New Roman"/>
          <w:b/>
        </w:rPr>
        <w:t>Predkladateľ  právneho predpisu:</w:t>
      </w:r>
      <w:r w:rsidRPr="00DD43E4">
        <w:rPr>
          <w:rFonts w:ascii="Times New Roman" w:hAnsi="Times New Roman" w:cs="Times New Roman"/>
        </w:rPr>
        <w:t xml:space="preserve"> </w:t>
      </w:r>
      <w:r w:rsidRPr="00DD43E4" w:rsidR="00DD43E4">
        <w:rPr>
          <w:rFonts w:ascii="Times New Roman" w:hAnsi="Times New Roman" w:cs="Times New Roman"/>
        </w:rPr>
        <w:t>Ministerstvo pôdohospodárstva</w:t>
      </w:r>
      <w:r w:rsidRPr="00AB047D">
        <w:rPr>
          <w:rFonts w:ascii="Times New Roman" w:hAnsi="Times New Roman" w:cs="Times New Roman"/>
        </w:rPr>
        <w:t xml:space="preserve"> S</w:t>
      </w:r>
      <w:r w:rsidRPr="00AB047D">
        <w:rPr>
          <w:rFonts w:ascii="Times New Roman" w:hAnsi="Times New Roman" w:cs="Times New Roman"/>
        </w:rPr>
        <w:t>lovenskej republiky</w:t>
      </w:r>
    </w:p>
    <w:p w:rsidR="0001006A" w:rsidRPr="00B55FD7" w:rsidP="00A70A69">
      <w:pPr>
        <w:keepLines/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B55FD7">
        <w:rPr>
          <w:rFonts w:ascii="Times New Roman" w:hAnsi="Times New Roman" w:cs="Times New Roman"/>
          <w:b/>
        </w:rPr>
        <w:t xml:space="preserve">Názov právneho predpisu: </w:t>
      </w:r>
      <w:r w:rsidRPr="00B55FD7">
        <w:rPr>
          <w:rFonts w:ascii="Times New Roman" w:hAnsi="Times New Roman" w:cs="Times New Roman"/>
        </w:rPr>
        <w:t xml:space="preserve">Návrh zákona, </w:t>
      </w:r>
      <w:r w:rsidR="00DD43E4">
        <w:rPr>
          <w:rFonts w:ascii="Times New Roman" w:hAnsi="Times New Roman" w:cs="Times New Roman"/>
        </w:rPr>
        <w:t xml:space="preserve">ktorým sa mení </w:t>
      </w:r>
      <w:r w:rsidRPr="007B7A89" w:rsidR="00DD43E4">
        <w:rPr>
          <w:rFonts w:ascii="Times New Roman" w:hAnsi="Times New Roman" w:cs="Times New Roman"/>
        </w:rPr>
        <w:t>zákon č. </w:t>
      </w:r>
      <w:r w:rsidR="00DD43E4">
        <w:rPr>
          <w:rFonts w:ascii="Times New Roman" w:hAnsi="Times New Roman" w:cs="Times New Roman"/>
        </w:rPr>
        <w:t>313/2009</w:t>
      </w:r>
      <w:r w:rsidRPr="007B7A89" w:rsidR="00DD43E4">
        <w:rPr>
          <w:rFonts w:ascii="Times New Roman" w:hAnsi="Times New Roman" w:cs="Times New Roman"/>
        </w:rPr>
        <w:t xml:space="preserve"> Z. z. o</w:t>
      </w:r>
      <w:r w:rsidR="00DD43E4">
        <w:rPr>
          <w:rFonts w:ascii="Times New Roman" w:hAnsi="Times New Roman" w:cs="Times New Roman"/>
        </w:rPr>
        <w:t> vinohradníctve a vinárstve</w:t>
      </w:r>
    </w:p>
    <w:p w:rsidR="0001006A" w:rsidRPr="00AB047D" w:rsidP="00A70A69">
      <w:pPr>
        <w:keepLines/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AB047D">
        <w:rPr>
          <w:rFonts w:ascii="Times New Roman" w:hAnsi="Times New Roman" w:cs="Times New Roman"/>
          <w:b/>
        </w:rPr>
        <w:t>Problematika návrhu právneho predpisu :</w:t>
      </w:r>
    </w:p>
    <w:p w:rsidR="00F61EA6" w:rsidP="00A70A69">
      <w:pPr>
        <w:keepLines/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je upravená v práve Európskej únie</w:t>
      </w:r>
    </w:p>
    <w:p w:rsidR="00F61EA6" w:rsidRPr="00F61EA6" w:rsidP="00A70A69">
      <w:pPr>
        <w:keepLines/>
        <w:numPr>
          <w:ilvl w:val="0"/>
          <w:numId w:val="38"/>
        </w:numPr>
        <w:tabs>
          <w:tab w:val="clear" w:pos="1068"/>
        </w:tabs>
        <w:spacing w:before="0" w:after="0"/>
        <w:ind w:left="1080"/>
        <w:rPr>
          <w:rFonts w:ascii="Times New Roman" w:hAnsi="Times New Roman" w:cs="Times New Roman"/>
        </w:rPr>
      </w:pPr>
      <w:r w:rsidRPr="00F61EA6">
        <w:rPr>
          <w:rFonts w:ascii="Times New Roman" w:hAnsi="Times New Roman" w:cs="Times New Roman"/>
        </w:rPr>
        <w:t>primárnom čl. 3</w:t>
      </w:r>
      <w:r w:rsidR="00A70A69">
        <w:rPr>
          <w:rFonts w:ascii="Times New Roman" w:hAnsi="Times New Roman" w:cs="Times New Roman"/>
        </w:rPr>
        <w:t>8</w:t>
      </w:r>
      <w:r w:rsidRPr="00F61EA6">
        <w:rPr>
          <w:rFonts w:ascii="Times New Roman" w:hAnsi="Times New Roman" w:cs="Times New Roman"/>
        </w:rPr>
        <w:t xml:space="preserve"> až </w:t>
      </w:r>
      <w:r w:rsidR="00A70A69">
        <w:rPr>
          <w:rFonts w:ascii="Times New Roman" w:hAnsi="Times New Roman" w:cs="Times New Roman"/>
        </w:rPr>
        <w:t>44</w:t>
      </w:r>
      <w:r w:rsidRPr="00F61EA6">
        <w:rPr>
          <w:rFonts w:ascii="Times New Roman" w:hAnsi="Times New Roman" w:cs="Times New Roman"/>
        </w:rPr>
        <w:t xml:space="preserve"> a </w:t>
      </w:r>
      <w:r w:rsidR="00A70A69">
        <w:rPr>
          <w:rFonts w:ascii="Times New Roman" w:hAnsi="Times New Roman" w:cs="Times New Roman"/>
        </w:rPr>
        <w:t>107</w:t>
      </w:r>
      <w:r w:rsidRPr="00F61EA6">
        <w:rPr>
          <w:rFonts w:ascii="Times New Roman" w:hAnsi="Times New Roman" w:cs="Times New Roman"/>
        </w:rPr>
        <w:t xml:space="preserve"> až </w:t>
      </w:r>
      <w:r w:rsidR="00A70A69">
        <w:rPr>
          <w:rFonts w:ascii="Times New Roman" w:hAnsi="Times New Roman" w:cs="Times New Roman"/>
        </w:rPr>
        <w:t>109</w:t>
      </w:r>
      <w:r w:rsidRPr="00F61EA6">
        <w:rPr>
          <w:rFonts w:ascii="Times New Roman" w:hAnsi="Times New Roman" w:cs="Times New Roman"/>
        </w:rPr>
        <w:t xml:space="preserve"> Zmluvy o</w:t>
      </w:r>
      <w:r>
        <w:rPr>
          <w:rFonts w:ascii="Times New Roman" w:hAnsi="Times New Roman" w:cs="Times New Roman"/>
        </w:rPr>
        <w:t> fungov</w:t>
      </w:r>
      <w:r>
        <w:rPr>
          <w:rFonts w:ascii="Times New Roman" w:hAnsi="Times New Roman" w:cs="Times New Roman"/>
        </w:rPr>
        <w:t xml:space="preserve">aní </w:t>
      </w:r>
      <w:r w:rsidRPr="00F61EA6">
        <w:rPr>
          <w:rFonts w:ascii="Times New Roman" w:hAnsi="Times New Roman" w:cs="Times New Roman"/>
        </w:rPr>
        <w:t>Európskej úni</w:t>
      </w:r>
      <w:r>
        <w:rPr>
          <w:rFonts w:ascii="Times New Roman" w:hAnsi="Times New Roman" w:cs="Times New Roman"/>
        </w:rPr>
        <w:t>e</w:t>
      </w:r>
      <w:r w:rsidRPr="00F61EA6">
        <w:rPr>
          <w:rFonts w:ascii="Times New Roman" w:hAnsi="Times New Roman" w:cs="Times New Roman"/>
        </w:rPr>
        <w:t xml:space="preserve"> v platnom znení.</w:t>
      </w:r>
    </w:p>
    <w:p w:rsidR="00F61EA6" w:rsidRPr="00EF6A8A" w:rsidP="00A70A69">
      <w:pPr>
        <w:keepLines/>
        <w:numPr>
          <w:ilvl w:val="0"/>
          <w:numId w:val="38"/>
        </w:numPr>
        <w:tabs>
          <w:tab w:val="clear" w:pos="1068"/>
        </w:tabs>
        <w:spacing w:before="0" w:after="0"/>
        <w:ind w:left="1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sekundárnom</w:t>
      </w:r>
    </w:p>
    <w:p w:rsidR="00F61EA6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0716A">
        <w:rPr>
          <w:rFonts w:ascii="Times New Roman" w:hAnsi="Times New Roman" w:cs="Times New Roman"/>
        </w:rPr>
        <w:t xml:space="preserve">ariadenie </w:t>
      </w:r>
      <w:r>
        <w:rPr>
          <w:rFonts w:ascii="Times New Roman" w:hAnsi="Times New Roman" w:cs="Times New Roman"/>
        </w:rPr>
        <w:t xml:space="preserve">Rady </w:t>
      </w:r>
      <w:r w:rsidRPr="0070716A">
        <w:rPr>
          <w:rFonts w:ascii="Times New Roman" w:hAnsi="Times New Roman" w:cs="Times New Roman"/>
        </w:rPr>
        <w:t>(ES) č. 1234/2007 o vytvorení spoločnej organizácie poľnohospodárskych trhov a o osobitných ustanoveniach pre určité poľnohospodárske výrobky (nariadenie o jednotnej spoločnej organizácii trho</w:t>
      </w:r>
      <w:r w:rsidRPr="0070716A">
        <w:rPr>
          <w:rFonts w:ascii="Times New Roman" w:hAnsi="Times New Roman" w:cs="Times New Roman"/>
        </w:rPr>
        <w:t>v)</w:t>
      </w:r>
      <w:r>
        <w:rPr>
          <w:rFonts w:ascii="Times New Roman" w:hAnsi="Times New Roman" w:cs="Times New Roman"/>
        </w:rPr>
        <w:t xml:space="preserve"> </w:t>
      </w:r>
      <w:r w:rsidRPr="00D07327">
        <w:rPr>
          <w:rFonts w:ascii="Times New Roman" w:hAnsi="Times New Roman" w:cs="Times New Roman"/>
        </w:rPr>
        <w:t>(Ú. v. EÚ L 299, 16.11.2007</w:t>
      </w:r>
      <w:r>
        <w:rPr>
          <w:rFonts w:ascii="Times New Roman" w:hAnsi="Times New Roman" w:cs="Times New Roman"/>
        </w:rPr>
        <w:t>) v platnom znení</w:t>
      </w:r>
      <w:r w:rsidRPr="00CB67BD">
        <w:rPr>
          <w:rFonts w:ascii="Times New Roman" w:hAnsi="Times New Roman" w:cs="Times New Roman"/>
        </w:rPr>
        <w:t xml:space="preserve">,  </w:t>
      </w:r>
    </w:p>
    <w:p w:rsidR="00F61EA6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 w:rsidRPr="00E17F89">
        <w:rPr>
          <w:rFonts w:ascii="Times New Roman" w:hAnsi="Times New Roman" w:cs="Times New Roman"/>
        </w:rPr>
        <w:t>Nariadenie Komisie (ES) č. 607/2009 z 14. júla 2009 , ktorým sa ustanovujú určité podrobné pravidlá vykonávania nariadenia Rady (ES) č. 479/2008, pokiaľ ide o chránené označenia pôvodu a zemepisné označenia, tradičné pojmy, označovanie a obchodnú úpravu určitých vinárskych výrobkov</w:t>
      </w:r>
      <w:r>
        <w:rPr>
          <w:rFonts w:ascii="Times New Roman" w:hAnsi="Times New Roman" w:cs="Times New Roman"/>
        </w:rPr>
        <w:t xml:space="preserve"> (</w:t>
      </w:r>
      <w:r w:rsidRPr="00AA7630">
        <w:rPr>
          <w:rFonts w:ascii="Times New Roman" w:hAnsi="Times New Roman" w:cs="Times New Roman"/>
        </w:rPr>
        <w:t>Ú. v. EÚ L 193, 24.7.2009</w:t>
      </w:r>
      <w:r>
        <w:rPr>
          <w:rFonts w:ascii="Times New Roman" w:hAnsi="Times New Roman" w:cs="Times New Roman"/>
        </w:rPr>
        <w:t>)</w:t>
      </w:r>
      <w:r w:rsidRPr="00CB67BD">
        <w:rPr>
          <w:rFonts w:ascii="Times New Roman" w:hAnsi="Times New Roman" w:cs="Times New Roman"/>
        </w:rPr>
        <w:t xml:space="preserve">, </w:t>
      </w:r>
    </w:p>
    <w:p w:rsidR="00F61EA6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 w:rsidRPr="00D842F3">
        <w:rPr>
          <w:rFonts w:ascii="Times New Roman" w:hAnsi="Times New Roman" w:cs="Times New Roman"/>
        </w:rPr>
        <w:t>Nariadenie Komisie (ES) č. 606/2009 z  10. júla 2009 , ktorým sa ustanovujú určité podrobné pravidlá uplatňovania nariadenia Rady (ES) č. 479/2008, pokiaľ ide o kategórie vinárskych výrobkov, enologické postupy a uplatniteľné obmedzenia</w:t>
      </w:r>
      <w:r>
        <w:rPr>
          <w:rFonts w:ascii="Times New Roman" w:hAnsi="Times New Roman" w:cs="Times New Roman"/>
        </w:rPr>
        <w:t xml:space="preserve"> (</w:t>
      </w:r>
      <w:r w:rsidRPr="00F12F33">
        <w:rPr>
          <w:rFonts w:ascii="Times New Roman" w:hAnsi="Times New Roman" w:cs="Times New Roman"/>
        </w:rPr>
        <w:t>Ú. v. EÚ L 193, 24.7.2009</w:t>
      </w:r>
      <w:r>
        <w:rPr>
          <w:rFonts w:ascii="Times New Roman" w:hAnsi="Times New Roman" w:cs="Times New Roman"/>
        </w:rPr>
        <w:t>),</w:t>
      </w:r>
    </w:p>
    <w:p w:rsidR="00F61EA6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 w:rsidRPr="009162C7">
        <w:rPr>
          <w:rFonts w:ascii="Times New Roman" w:hAnsi="Times New Roman" w:cs="Times New Roman"/>
        </w:rPr>
        <w:t>Nariadenie Komisie (ES) č. 436/2009 z  26. mája 2009 o podrobných pravidlách uplatňovania nariadenia Rady (ES) č. 479/2008, pokiaľ ide o vinohradnícky register, povinné nahlasovanie a zhromažďovanie informácií na účely monitorovania trhu, sprievodné doklady na prepravu výrobkov a evidenciu, ktorú treba viesť v sektore vinohradníctva a</w:t>
      </w:r>
      <w:r>
        <w:rPr>
          <w:rFonts w:ascii="Times New Roman" w:hAnsi="Times New Roman" w:cs="Times New Roman"/>
        </w:rPr>
        <w:t> </w:t>
      </w:r>
      <w:r w:rsidRPr="009162C7">
        <w:rPr>
          <w:rFonts w:ascii="Times New Roman" w:hAnsi="Times New Roman" w:cs="Times New Roman"/>
        </w:rPr>
        <w:t>vinárstva</w:t>
      </w:r>
      <w:r>
        <w:rPr>
          <w:rFonts w:ascii="Times New Roman" w:hAnsi="Times New Roman" w:cs="Times New Roman"/>
        </w:rPr>
        <w:t xml:space="preserve"> (</w:t>
      </w:r>
      <w:r w:rsidRPr="00D14E20">
        <w:rPr>
          <w:rFonts w:ascii="Times New Roman" w:hAnsi="Times New Roman" w:cs="Times New Roman"/>
        </w:rPr>
        <w:t>Ú. v. EÚ L 128, 27.5.2009</w:t>
      </w:r>
      <w:r>
        <w:rPr>
          <w:rFonts w:ascii="Times New Roman" w:hAnsi="Times New Roman" w:cs="Times New Roman"/>
        </w:rPr>
        <w:t>),</w:t>
      </w:r>
    </w:p>
    <w:p w:rsidR="00F61EA6" w:rsidRPr="00D159BA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 w:rsidRPr="00D159BA">
        <w:rPr>
          <w:rFonts w:ascii="Times New Roman" w:hAnsi="Times New Roman" w:cs="Times New Roman"/>
        </w:rPr>
        <w:t>Nariadenie Komisie (ES) č. 114/2009 zo 6. februára 2009 , ktorým sa ustanovujú prechodné opatrenia na uplatňovanie nariadenia Rady (ES) č. 479/2008, pokiaľ ide o odkazovanie na vína s chráneným označením pôvodu a zemepisným označením</w:t>
      </w:r>
      <w:r>
        <w:rPr>
          <w:rFonts w:ascii="Times New Roman" w:hAnsi="Times New Roman" w:cs="Times New Roman"/>
        </w:rPr>
        <w:t xml:space="preserve"> (Ú. v. EÚ L </w:t>
      </w:r>
      <w:r w:rsidRPr="00D159BA">
        <w:rPr>
          <w:rFonts w:ascii="Times New Roman" w:hAnsi="Times New Roman" w:cs="Times New Roman"/>
        </w:rPr>
        <w:t>38, 7.2.2009</w:t>
      </w:r>
      <w:r>
        <w:rPr>
          <w:rFonts w:ascii="Times New Roman" w:hAnsi="Times New Roman" w:cs="Times New Roman"/>
        </w:rPr>
        <w:t>),</w:t>
      </w:r>
    </w:p>
    <w:p w:rsidR="00F61EA6" w:rsidP="00A70A69">
      <w:pPr>
        <w:keepLines/>
        <w:spacing w:before="0" w:after="0"/>
        <w:ind w:left="1080"/>
        <w:rPr>
          <w:rFonts w:ascii="Times New Roman" w:hAnsi="Times New Roman" w:cs="Times New Roman"/>
        </w:rPr>
      </w:pPr>
      <w:r w:rsidRPr="00CB67BD">
        <w:rPr>
          <w:rFonts w:ascii="Times New Roman" w:hAnsi="Times New Roman" w:cs="Times New Roman"/>
        </w:rPr>
        <w:t>Nariadenie Európskeho parlamentu a Rady (ES) č. 852/2004 z 29. apríla 2004 o hygiene potravín (Ú. v</w:t>
      </w:r>
      <w:r>
        <w:rPr>
          <w:rFonts w:ascii="Times New Roman" w:hAnsi="Times New Roman" w:cs="Times New Roman"/>
        </w:rPr>
        <w:t>. EÚ L 139, 30.4.2004</w:t>
      </w:r>
      <w:r w:rsidRPr="00CB67BD">
        <w:rPr>
          <w:rFonts w:ascii="Times New Roman" w:hAnsi="Times New Roman" w:cs="Times New Roman"/>
        </w:rPr>
        <w:t>) v platnom znení</w:t>
      </w:r>
      <w:r>
        <w:rPr>
          <w:rFonts w:ascii="Times New Roman" w:hAnsi="Times New Roman" w:cs="Times New Roman"/>
        </w:rPr>
        <w:t>;</w:t>
      </w:r>
    </w:p>
    <w:p w:rsidR="00F61EA6" w:rsidP="00A70A69">
      <w:pPr>
        <w:keepLines/>
        <w:numPr>
          <w:ilvl w:val="0"/>
          <w:numId w:val="40"/>
        </w:numPr>
        <w:tabs>
          <w:tab w:val="left" w:pos="720"/>
        </w:tabs>
        <w:spacing w:before="0" w:after="0"/>
        <w:rPr>
          <w:rFonts w:ascii="Times New Roman" w:hAnsi="Times New Roman" w:cs="Times New Roman"/>
        </w:rPr>
      </w:pPr>
      <w:r w:rsidRPr="00E760EB">
        <w:rPr>
          <w:rFonts w:ascii="Times New Roman" w:hAnsi="Times New Roman" w:cs="Times New Roman"/>
        </w:rPr>
        <w:t>nie je obsiahnutá v judikatúre Súdneho dvora Európsk</w:t>
      </w:r>
      <w:r>
        <w:rPr>
          <w:rFonts w:ascii="Times New Roman" w:hAnsi="Times New Roman" w:cs="Times New Roman"/>
        </w:rPr>
        <w:t>ej únie</w:t>
      </w:r>
      <w:r w:rsidRPr="00E760EB">
        <w:rPr>
          <w:rFonts w:ascii="Times New Roman" w:hAnsi="Times New Roman" w:cs="Times New Roman"/>
        </w:rPr>
        <w:t xml:space="preserve"> alebo Súdu prvého</w:t>
      </w:r>
      <w:r>
        <w:rPr>
          <w:rFonts w:ascii="Times New Roman" w:hAnsi="Times New Roman" w:cs="Times New Roman"/>
        </w:rPr>
        <w:t xml:space="preserve"> stupňa Európskej únie</w:t>
      </w:r>
      <w:r w:rsidRPr="00E760EB">
        <w:rPr>
          <w:rFonts w:ascii="Times New Roman" w:hAnsi="Times New Roman" w:cs="Times New Roman"/>
        </w:rPr>
        <w:t>.</w:t>
      </w:r>
    </w:p>
    <w:p w:rsidR="00F61EA6" w:rsidRPr="00022A1B" w:rsidP="00A70A69">
      <w:pPr>
        <w:keepLines/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  <w:tab/>
      </w:r>
      <w:r w:rsidRPr="00022A1B">
        <w:rPr>
          <w:rFonts w:ascii="Times New Roman" w:hAnsi="Times New Roman" w:cs="Times New Roman"/>
          <w:b/>
        </w:rPr>
        <w:t xml:space="preserve">Záväzky Slovenskej republiky vo vzťahu k Európskej únii: </w:t>
      </w:r>
    </w:p>
    <w:p w:rsidR="00F61EA6" w:rsidRPr="008A3163" w:rsidP="00A70A69">
      <w:pPr>
        <w:keepLines/>
        <w:spacing w:before="0" w:after="0"/>
        <w:ind w:left="720" w:hanging="349"/>
        <w:rPr>
          <w:rFonts w:ascii="Times New Roman" w:hAnsi="Times New Roman" w:cs="Times New Roman"/>
        </w:rPr>
      </w:pPr>
      <w:r w:rsidRPr="008A3163">
        <w:rPr>
          <w:rFonts w:ascii="Times New Roman" w:hAnsi="Times New Roman" w:cs="Times New Roman"/>
        </w:rPr>
        <w:t>a)</w:t>
        <w:tab/>
      </w:r>
      <w:r w:rsidRPr="008A3163" w:rsidR="008A3163">
        <w:rPr>
          <w:rFonts w:ascii="Times New Roman" w:hAnsi="Times New Roman" w:cs="Times New Roman"/>
        </w:rPr>
        <w:t>Nariadenie Rady (ES) č. 1234/2007 z  22. októbra 2007 o vytvorení spoločnej organizácie poľnohospodárskych trhov a o osobitných ustanoveniach pre určité poľnohospodárske výrobky (nariadenie o jednotnej spoločnej organizácii trhov) (Ú. v. EÚ L 299, 16.11.2007) v znení nariadenia Rady (ES) č. 491/2009 z 25. mája 2009 (Ú. v. EÚ L 154, 17.6.2009)</w:t>
      </w:r>
      <w:r w:rsidRPr="008A3163">
        <w:rPr>
          <w:rFonts w:ascii="Times New Roman" w:hAnsi="Times New Roman" w:cs="Times New Roman"/>
        </w:rPr>
        <w:t xml:space="preserve"> a súvisiace právne záväzné akty sa majú uplatňovať </w:t>
      </w:r>
      <w:r w:rsidR="008A3163">
        <w:rPr>
          <w:rFonts w:ascii="Times New Roman" w:hAnsi="Times New Roman" w:cs="Times New Roman"/>
        </w:rPr>
        <w:br/>
      </w:r>
      <w:r w:rsidRPr="008A3163">
        <w:rPr>
          <w:rFonts w:ascii="Times New Roman" w:hAnsi="Times New Roman" w:cs="Times New Roman"/>
        </w:rPr>
        <w:t>od 1. augusta 2009.</w:t>
      </w:r>
    </w:p>
    <w:p w:rsidR="00F61EA6" w:rsidP="00A70A69">
      <w:pPr>
        <w:keepLines/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</w:r>
      <w:r w:rsidRPr="00074C9D">
        <w:rPr>
          <w:rFonts w:ascii="Times New Roman" w:hAnsi="Times New Roman" w:cs="Times New Roman"/>
        </w:rPr>
        <w:t xml:space="preserve">V danej oblasti nebolo začaté konanie proti Slovenskej republike o porušení Zmluvy </w:t>
      </w:r>
      <w:r w:rsidR="008A3163">
        <w:rPr>
          <w:rFonts w:ascii="Times New Roman" w:hAnsi="Times New Roman" w:cs="Times New Roman"/>
        </w:rPr>
        <w:br/>
      </w:r>
      <w:r w:rsidRPr="00074C9D">
        <w:rPr>
          <w:rFonts w:ascii="Times New Roman" w:hAnsi="Times New Roman" w:cs="Times New Roman"/>
        </w:rPr>
        <w:t>o založení Európskych spoločenstiev podľa čl. 226 až 228 Zmluvy o založení Európskych spoločenstiev v platnom znení.</w:t>
      </w:r>
    </w:p>
    <w:p w:rsidR="00F61EA6" w:rsidP="00A70A69">
      <w:pPr>
        <w:keepLines/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</w:r>
      <w:r w:rsidRPr="007F4A69">
        <w:rPr>
          <w:rFonts w:ascii="Times New Roman" w:hAnsi="Times New Roman" w:cs="Times New Roman"/>
        </w:rPr>
        <w:t>Bezpredmetné.</w:t>
      </w:r>
    </w:p>
    <w:p w:rsidR="00F61EA6" w:rsidRPr="00022A1B" w:rsidP="00A70A69">
      <w:pPr>
        <w:keepLines/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  <w:tab/>
      </w:r>
      <w:r w:rsidRPr="00022A1B">
        <w:rPr>
          <w:rFonts w:ascii="Times New Roman" w:hAnsi="Times New Roman" w:cs="Times New Roman"/>
          <w:b/>
        </w:rPr>
        <w:t>Stupeň zlučiteľnosti návrhu právneho predpisu s právom Európskej únie:</w:t>
      </w:r>
    </w:p>
    <w:p w:rsidR="00F61EA6" w:rsidRPr="00022A1B" w:rsidP="00A70A69">
      <w:pPr>
        <w:keepLines/>
        <w:spacing w:before="0" w:after="0"/>
        <w:ind w:firstLine="360"/>
        <w:rPr>
          <w:rFonts w:ascii="Times New Roman" w:hAnsi="Times New Roman" w:cs="Times New Roman"/>
        </w:rPr>
      </w:pPr>
      <w:r w:rsidRPr="00EA4CE2">
        <w:rPr>
          <w:rFonts w:ascii="Times New Roman" w:hAnsi="Times New Roman" w:cs="Times New Roman"/>
        </w:rPr>
        <w:t>Stupeň zlučiteľnosti - úplný</w:t>
      </w:r>
    </w:p>
    <w:p w:rsidR="00F61EA6" w:rsidRPr="00022A1B" w:rsidP="00A70A69">
      <w:pPr>
        <w:keepLines/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  <w:tab/>
      </w:r>
      <w:r w:rsidRPr="00022A1B">
        <w:rPr>
          <w:rFonts w:ascii="Times New Roman" w:hAnsi="Times New Roman" w:cs="Times New Roman"/>
          <w:b/>
        </w:rPr>
        <w:t xml:space="preserve">Gestor a spolupracujúce rezorty: </w:t>
      </w:r>
    </w:p>
    <w:p w:rsidR="00F61EA6" w:rsidRPr="00CB67BD" w:rsidP="00A70A69">
      <w:pPr>
        <w:keepLines/>
        <w:spacing w:before="0" w:after="0"/>
        <w:ind w:firstLine="360"/>
        <w:rPr>
          <w:rFonts w:ascii="Times New Roman" w:hAnsi="Times New Roman" w:cs="Times New Roman"/>
        </w:rPr>
      </w:pPr>
      <w:r w:rsidRPr="007F4A69">
        <w:rPr>
          <w:rFonts w:ascii="Times New Roman" w:hAnsi="Times New Roman" w:cs="Times New Roman"/>
        </w:rPr>
        <w:t>Bezpredmetné</w:t>
      </w:r>
      <w:r>
        <w:rPr>
          <w:rFonts w:ascii="Times New Roman" w:hAnsi="Times New Roman" w:cs="Times New Roman"/>
        </w:rPr>
        <w:t>.</w:t>
      </w:r>
    </w:p>
    <w:p w:rsidR="0001006A" w:rsidP="00A70A69">
      <w:pPr>
        <w:pStyle w:val="Heading1"/>
        <w:keepLines/>
        <w:spacing w:before="600"/>
        <w:rPr>
          <w:rFonts w:ascii="Times New Roman" w:hAnsi="Times New Roman"/>
          <w:caps/>
        </w:rPr>
      </w:pPr>
      <w:r w:rsidRPr="00B16E7C">
        <w:rPr>
          <w:rFonts w:ascii="Times New Roman" w:hAnsi="Times New Roman"/>
          <w:caps/>
          <w:lang w:val="ru-RU"/>
        </w:rPr>
        <w:t>Doložka</w:t>
      </w:r>
    </w:p>
    <w:p w:rsidR="002C4F13" w:rsidRPr="002C4F13" w:rsidP="00A70A69">
      <w:pPr>
        <w:keepLines/>
        <w:jc w:val="center"/>
        <w:rPr>
          <w:rFonts w:ascii="Times New Roman" w:hAnsi="Times New Roman" w:cs="Times New Roman"/>
          <w:b/>
        </w:rPr>
      </w:pPr>
      <w:r w:rsidRPr="002C4F13">
        <w:rPr>
          <w:rFonts w:ascii="Times New Roman" w:hAnsi="Times New Roman" w:cs="Times New Roman"/>
          <w:b/>
        </w:rPr>
        <w:t>finančných, ekonomických,  environmentálnych vplyvov,  vplyvov</w:t>
      </w:r>
    </w:p>
    <w:p w:rsidR="002C4F13" w:rsidRPr="002C4F13" w:rsidP="00A70A69">
      <w:pPr>
        <w:keepLines/>
        <w:jc w:val="center"/>
        <w:rPr>
          <w:rFonts w:ascii="Times New Roman" w:hAnsi="Times New Roman" w:cs="Times New Roman"/>
          <w:b/>
        </w:rPr>
      </w:pPr>
      <w:r w:rsidRPr="002C4F13">
        <w:rPr>
          <w:rFonts w:ascii="Times New Roman" w:hAnsi="Times New Roman" w:cs="Times New Roman"/>
          <w:b/>
        </w:rPr>
        <w:t>na zamestnanosť a podnikateľské prostredie</w:t>
      </w:r>
    </w:p>
    <w:p w:rsidR="0001006A" w:rsidRPr="003A4C21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1.</w:t>
        <w:tab/>
        <w:t>Vplyvy na verejné financie:</w:t>
      </w:r>
    </w:p>
    <w:p w:rsidR="0001006A" w:rsidRPr="000F4765" w:rsidP="00A70A69">
      <w:pPr>
        <w:pStyle w:val="odsek"/>
        <w:keepLines/>
        <w:spacing w:before="240" w:after="240"/>
        <w:rPr>
          <w:rFonts w:ascii="Times New Roman" w:hAnsi="Times New Roman" w:cs="Times New Roman"/>
        </w:rPr>
      </w:pPr>
      <w:r w:rsidRPr="000F4765">
        <w:rPr>
          <w:rFonts w:ascii="Times New Roman" w:hAnsi="Times New Roman" w:cs="Times New Roman"/>
        </w:rPr>
        <w:t xml:space="preserve">Predkladaný návrh </w:t>
      </w:r>
      <w:r>
        <w:rPr>
          <w:rFonts w:ascii="Times New Roman" w:hAnsi="Times New Roman" w:cs="Times New Roman"/>
        </w:rPr>
        <w:t>zákona</w:t>
      </w:r>
      <w:r w:rsidRPr="000F4765">
        <w:rPr>
          <w:rFonts w:ascii="Times New Roman" w:hAnsi="Times New Roman" w:cs="Times New Roman"/>
        </w:rPr>
        <w:t xml:space="preserve"> nebude mať negatívny dopad na verejné financie.</w:t>
      </w:r>
    </w:p>
    <w:p w:rsidR="00CE6A46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color w:val="000000"/>
        </w:rPr>
      </w:pPr>
    </w:p>
    <w:p w:rsidR="0001006A" w:rsidRPr="008E77CB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  <w:lang w:val="ru-RU"/>
        </w:rPr>
        <w:t>2.</w:t>
        <w:tab/>
        <w:t xml:space="preserve">Vplyvy na obyvateľov, hospodárenie podnikateľskej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sféry a iných právnických osôb:</w:t>
      </w:r>
    </w:p>
    <w:p w:rsidR="0001006A" w:rsidRPr="003A4C21" w:rsidP="00A70A69">
      <w:pPr>
        <w:pStyle w:val="odsek"/>
        <w:keepLines/>
        <w:spacing w:before="240" w:after="240"/>
        <w:ind w:left="720" w:hanging="11"/>
        <w:rPr>
          <w:rFonts w:ascii="Times New Roman" w:hAnsi="Times New Roman" w:cs="Times New Roman"/>
          <w:noProof/>
        </w:rPr>
      </w:pPr>
      <w:r w:rsidRPr="003A4C21">
        <w:rPr>
          <w:rFonts w:ascii="Times New Roman" w:hAnsi="Times New Roman" w:cs="Times New Roman"/>
        </w:rPr>
        <w:t>Návrh zákona nebude mať ekonomický do</w:t>
      </w:r>
      <w:r>
        <w:rPr>
          <w:rFonts w:ascii="Times New Roman" w:hAnsi="Times New Roman" w:cs="Times New Roman"/>
        </w:rPr>
        <w:t xml:space="preserve">pad na obyvateľov, hospodárenie </w:t>
      </w:r>
      <w:r w:rsidRPr="003A4C21">
        <w:rPr>
          <w:rFonts w:ascii="Times New Roman" w:hAnsi="Times New Roman" w:cs="Times New Roman"/>
        </w:rPr>
        <w:t>podnikateľskej sféry a iných právnických osôb.</w:t>
      </w:r>
    </w:p>
    <w:p w:rsidR="0001006A" w:rsidRPr="003A4C21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3.</w:t>
      </w:r>
      <w:r>
        <w:rPr>
          <w:rFonts w:ascii="Times New Roman" w:hAnsi="Times New Roman" w:cs="Times New Roman"/>
          <w:b/>
          <w:bCs/>
          <w:color w:val="000000"/>
        </w:rPr>
        <w:tab/>
        <w:t>Vplyvy na životné prostredie:</w:t>
      </w:r>
    </w:p>
    <w:p w:rsidR="0001006A" w:rsidRPr="003A4C21" w:rsidP="00A70A69">
      <w:pPr>
        <w:pStyle w:val="odsek"/>
        <w:keepLines/>
        <w:spacing w:before="240" w:after="240"/>
        <w:rPr>
          <w:rFonts w:ascii="Times New Roman" w:hAnsi="Times New Roman" w:cs="Times New Roman"/>
          <w:b/>
          <w:bCs/>
          <w:noProof/>
        </w:rPr>
      </w:pPr>
      <w:r w:rsidRPr="003A4C21">
        <w:rPr>
          <w:rFonts w:ascii="Times New Roman" w:hAnsi="Times New Roman" w:cs="Times New Roman"/>
        </w:rPr>
        <w:t>Návrh zákona nebude m</w:t>
      </w:r>
      <w:r>
        <w:rPr>
          <w:rFonts w:ascii="Times New Roman" w:hAnsi="Times New Roman" w:cs="Times New Roman"/>
        </w:rPr>
        <w:t>ať vplyv na životné prostredie.</w:t>
      </w:r>
    </w:p>
    <w:p w:rsidR="0001006A" w:rsidRPr="003A4C21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4.</w:t>
        <w:tab/>
        <w:t>Vplyvy na zamestnanosť:</w:t>
      </w:r>
    </w:p>
    <w:p w:rsidR="0001006A" w:rsidRPr="003A4C21" w:rsidP="00A70A69">
      <w:pPr>
        <w:pStyle w:val="odsek"/>
        <w:keepLines/>
        <w:spacing w:before="240" w:after="240"/>
        <w:ind w:left="720" w:hanging="11"/>
        <w:rPr>
          <w:rFonts w:ascii="Times New Roman" w:hAnsi="Times New Roman" w:cs="Times New Roman"/>
          <w:b/>
          <w:bCs/>
          <w:noProof/>
        </w:rPr>
      </w:pPr>
      <w:r w:rsidRPr="003A4C21">
        <w:rPr>
          <w:rFonts w:ascii="Times New Roman" w:hAnsi="Times New Roman" w:cs="Times New Roman"/>
        </w:rPr>
        <w:t>Návrh zákona nebude mať vplyv na zamestnanosť a nevyžiada si zvýšenie počtu zamestnancov. </w:t>
      </w:r>
    </w:p>
    <w:p w:rsidR="0001006A" w:rsidRPr="003A4C21" w:rsidP="00A70A69">
      <w:pPr>
        <w:keepLines/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5.</w:t>
        <w:tab/>
        <w:t>Vplyvy na podnikateľské prostredie:</w:t>
      </w:r>
    </w:p>
    <w:p w:rsidR="0001006A" w:rsidRPr="006F3160" w:rsidP="00A70A69">
      <w:pPr>
        <w:pStyle w:val="odsek"/>
        <w:keepLines/>
        <w:spacing w:before="240" w:after="240"/>
        <w:rPr>
          <w:rFonts w:ascii="Times New Roman" w:hAnsi="Times New Roman" w:cs="Times New Roman"/>
          <w:b/>
        </w:rPr>
      </w:pPr>
      <w:r w:rsidRPr="003A4C2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 zákona nebude mať negatívny vplyv na podnikateľské prostredie.</w:t>
      </w:r>
    </w:p>
    <w:p w:rsidR="0001006A" w:rsidP="00A70A69">
      <w:pPr>
        <w:pStyle w:val="Heading3"/>
        <w:keepLines/>
        <w:spacing w:before="600"/>
        <w:rPr>
          <w:rFonts w:ascii="Times New Roman" w:hAnsi="Times New Roman"/>
        </w:rPr>
      </w:pPr>
      <w:r>
        <w:rPr>
          <w:rFonts w:ascii="Times New Roman" w:hAnsi="Times New Roman"/>
        </w:rPr>
        <w:t>Osobitná časť</w:t>
      </w:r>
    </w:p>
    <w:p w:rsidR="0001006A" w:rsidP="00A70A69">
      <w:pPr>
        <w:pStyle w:val="Heading3"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01006A" w:rsidP="00A70A69">
      <w:pPr>
        <w:pStyle w:val="Heading3"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K bodu 1</w:t>
      </w:r>
    </w:p>
    <w:p w:rsidR="0001006A" w:rsidP="00A70A69">
      <w:pPr>
        <w:pStyle w:val="odsek"/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E74791">
        <w:rPr>
          <w:rFonts w:ascii="Times New Roman" w:hAnsi="Times New Roman" w:cs="Times New Roman"/>
        </w:rPr>
        <w:t xml:space="preserve">§ 7 ods. 2 </w:t>
      </w:r>
      <w:r w:rsidR="00DD43E4">
        <w:rPr>
          <w:rFonts w:ascii="Times New Roman" w:hAnsi="Times New Roman" w:cs="Times New Roman"/>
        </w:rPr>
        <w:t>písm. f) sa zavádza spresnený názov vinohradníckej</w:t>
      </w:r>
      <w:r w:rsidR="00E74791">
        <w:rPr>
          <w:rFonts w:ascii="Times New Roman" w:hAnsi="Times New Roman" w:cs="Times New Roman"/>
        </w:rPr>
        <w:t xml:space="preserve"> oblasti Tokaj</w:t>
      </w:r>
      <w:r w:rsidR="00DD43E4">
        <w:rPr>
          <w:rFonts w:ascii="Times New Roman" w:hAnsi="Times New Roman" w:cs="Times New Roman"/>
        </w:rPr>
        <w:t>, aby nedochádzalo k nesprávnej interpretácii, že nejde o pôvodnú vinohradnícku oblasť ako podľa prechádzajúceho zákona</w:t>
      </w:r>
      <w:r w:rsidR="006A0401">
        <w:rPr>
          <w:rFonts w:ascii="Times New Roman" w:hAnsi="Times New Roman" w:cs="Times New Roman"/>
        </w:rPr>
        <w:t>.</w:t>
      </w:r>
    </w:p>
    <w:p w:rsidR="006A0401" w:rsidP="00A70A69">
      <w:pPr>
        <w:pStyle w:val="Heading3"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K bodu 2</w:t>
      </w:r>
    </w:p>
    <w:p w:rsidR="006A0401" w:rsidP="00A70A69">
      <w:pPr>
        <w:pStyle w:val="odsek"/>
        <w:keepLines/>
        <w:rPr>
          <w:rFonts w:ascii="Times New Roman" w:hAnsi="Times New Roman" w:cs="Times New Roman"/>
        </w:rPr>
      </w:pPr>
      <w:r w:rsidR="00081FD1">
        <w:rPr>
          <w:rFonts w:ascii="Times New Roman" w:hAnsi="Times New Roman" w:cs="Times New Roman"/>
        </w:rPr>
        <w:t>Legislatívno-technická úprava v súlade s prvým bodom</w:t>
      </w:r>
      <w:r>
        <w:rPr>
          <w:rFonts w:ascii="Times New Roman" w:hAnsi="Times New Roman" w:cs="Times New Roman"/>
        </w:rPr>
        <w:t>.</w:t>
      </w:r>
    </w:p>
    <w:p w:rsidR="0001006A" w:rsidRPr="00E4338C" w:rsidP="00A70A69">
      <w:pPr>
        <w:pStyle w:val="Heading3"/>
        <w:keepLines/>
        <w:rPr>
          <w:rFonts w:ascii="Times New Roman" w:hAnsi="Times New Roman"/>
        </w:rPr>
      </w:pPr>
      <w:r w:rsidRPr="00E4338C">
        <w:rPr>
          <w:rFonts w:ascii="Times New Roman" w:hAnsi="Times New Roman"/>
        </w:rPr>
        <w:t>Čl.</w:t>
      </w:r>
      <w:r>
        <w:rPr>
          <w:rFonts w:ascii="Times New Roman" w:hAnsi="Times New Roman"/>
        </w:rPr>
        <w:t xml:space="preserve"> </w:t>
      </w:r>
      <w:r w:rsidRPr="00E4338C">
        <w:rPr>
          <w:rFonts w:ascii="Times New Roman" w:hAnsi="Times New Roman"/>
        </w:rPr>
        <w:t>II</w:t>
      </w:r>
    </w:p>
    <w:p w:rsidR="00904E9F" w:rsidP="00A70A69">
      <w:pPr>
        <w:pStyle w:val="odsek"/>
        <w:keepLines/>
        <w:rPr>
          <w:rFonts w:ascii="Times New Roman" w:hAnsi="Times New Roman" w:cs="Times New Roman"/>
        </w:rPr>
      </w:pPr>
      <w:r w:rsidR="0001006A">
        <w:rPr>
          <w:rFonts w:ascii="Times New Roman" w:hAnsi="Times New Roman" w:cs="Times New Roman"/>
        </w:rPr>
        <w:t xml:space="preserve">Navrhuje sa účinnosť zákona na 1. </w:t>
      </w:r>
      <w:r w:rsidR="00DD43E4">
        <w:rPr>
          <w:rFonts w:ascii="Times New Roman" w:hAnsi="Times New Roman" w:cs="Times New Roman"/>
        </w:rPr>
        <w:t>júna</w:t>
      </w:r>
      <w:r w:rsidR="0001006A">
        <w:rPr>
          <w:rFonts w:ascii="Times New Roman" w:hAnsi="Times New Roman" w:cs="Times New Roman"/>
        </w:rPr>
        <w:t xml:space="preserve"> 2010.</w:t>
      </w:r>
    </w:p>
    <w:p w:rsidR="00CE6A46" w:rsidP="00A70A69">
      <w:pPr>
        <w:keepLines/>
        <w:rPr>
          <w:rFonts w:ascii="Times New Roman" w:hAnsi="Times New Roman" w:cs="Times New Roman"/>
        </w:rPr>
      </w:pPr>
    </w:p>
    <w:p w:rsidR="000A4577" w:rsidRPr="009B3B04" w:rsidP="00A70A69">
      <w:pPr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31. marca 2010</w:t>
      </w:r>
    </w:p>
    <w:p w:rsidR="000A4577" w:rsidP="00A70A69">
      <w:pPr>
        <w:keepLines/>
        <w:rPr>
          <w:rFonts w:ascii="Times New Roman" w:hAnsi="Times New Roman" w:cs="Times New Roman"/>
        </w:rPr>
      </w:pPr>
    </w:p>
    <w:p w:rsidR="000A4577" w:rsidP="00A70A69">
      <w:pPr>
        <w:keepLines/>
        <w:rPr>
          <w:rFonts w:ascii="Times New Roman" w:hAnsi="Times New Roman" w:cs="Times New Roman"/>
        </w:rPr>
      </w:pPr>
    </w:p>
    <w:p w:rsidR="000A4577" w:rsidRPr="009B3B04" w:rsidP="00A70A69">
      <w:pPr>
        <w:keepLines/>
        <w:rPr>
          <w:rFonts w:ascii="Times New Roman" w:hAnsi="Times New Roman" w:cs="Times New Roman"/>
        </w:rPr>
      </w:pPr>
    </w:p>
    <w:p w:rsidR="000A4577" w:rsidRPr="00CB10DB" w:rsidP="00A70A69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  <w:bCs/>
        </w:rPr>
        <w:t>Robert  F i c o</w:t>
      </w:r>
      <w:r w:rsidR="00B70411">
        <w:rPr>
          <w:rFonts w:ascii="Times New Roman" w:hAnsi="Times New Roman" w:cs="Times New Roman"/>
          <w:bCs/>
        </w:rPr>
        <w:t>, v. r.</w:t>
      </w:r>
    </w:p>
    <w:p w:rsidR="000A4577" w:rsidRPr="00CB10DB" w:rsidP="00A70A69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predseda vlády</w:t>
      </w:r>
    </w:p>
    <w:p w:rsidR="000A4577" w:rsidRPr="00CB10DB" w:rsidP="00A70A69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Slovenskej republiky</w:t>
      </w:r>
    </w:p>
    <w:p w:rsidR="000A4577" w:rsidP="00A70A69">
      <w:pPr>
        <w:keepLines/>
        <w:rPr>
          <w:rFonts w:ascii="Times New Roman" w:hAnsi="Times New Roman" w:cs="Times New Roman"/>
        </w:rPr>
      </w:pPr>
    </w:p>
    <w:p w:rsidR="000A4577" w:rsidRPr="00CB10DB" w:rsidP="00A70A69">
      <w:pPr>
        <w:keepLines/>
        <w:rPr>
          <w:rFonts w:ascii="Times New Roman" w:hAnsi="Times New Roman" w:cs="Times New Roman"/>
        </w:rPr>
      </w:pPr>
    </w:p>
    <w:p w:rsidR="000A4577" w:rsidRPr="00CB10DB" w:rsidP="00A70A69">
      <w:pPr>
        <w:keepLines/>
        <w:rPr>
          <w:rFonts w:ascii="Times New Roman" w:hAnsi="Times New Roman" w:cs="Times New Roman"/>
        </w:rPr>
      </w:pPr>
    </w:p>
    <w:p w:rsidR="000A4577" w:rsidRPr="00CB10DB" w:rsidP="00A70A69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Vladimír  C h o v a</w:t>
      </w:r>
      <w:r w:rsidR="00B704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n</w:t>
      </w:r>
      <w:r w:rsidR="00B70411">
        <w:rPr>
          <w:rFonts w:ascii="Times New Roman" w:hAnsi="Times New Roman" w:cs="Times New Roman"/>
          <w:bCs/>
        </w:rPr>
        <w:t>, v. r.</w:t>
      </w:r>
    </w:p>
    <w:p w:rsidR="000A4577" w:rsidP="00A70A69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 xml:space="preserve">minister </w:t>
      </w:r>
      <w:r>
        <w:rPr>
          <w:rFonts w:ascii="Times New Roman" w:hAnsi="Times New Roman" w:cs="Times New Roman"/>
        </w:rPr>
        <w:t>pôdohospodárstva</w:t>
      </w:r>
    </w:p>
    <w:p w:rsidR="000A4577" w:rsidRPr="008A3163" w:rsidP="008A3163">
      <w:pPr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Slovenskej republiky</w:t>
      </w:r>
    </w:p>
    <w:sectPr>
      <w:footerReference w:type="even" r:id="rId4"/>
      <w:footerReference w:type="default" r:id="rId5"/>
      <w:pgSz w:w="11906" w:h="16838"/>
      <w:pgMar w:top="1304" w:right="1418" w:bottom="130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3" w:rsidP="0001006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A316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3" w:rsidP="0001006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70411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A316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8BD"/>
    <w:multiLevelType w:val="multilevel"/>
    <w:tmpl w:val="9F249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902270E"/>
    <w:multiLevelType w:val="hybridMultilevel"/>
    <w:tmpl w:val="70CE266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 w:val="0"/>
        <w:i w:val="0"/>
        <w:strike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E1647"/>
    <w:multiLevelType w:val="hybridMultilevel"/>
    <w:tmpl w:val="CD7C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E4E75"/>
    <w:multiLevelType w:val="hybridMultilevel"/>
    <w:tmpl w:val="261ECA16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§ %2"/>
      <w:lvlJc w:val="left"/>
      <w:pPr>
        <w:tabs>
          <w:tab w:val="num" w:pos="2744"/>
        </w:tabs>
        <w:ind w:left="2517" w:firstLine="0"/>
      </w:pPr>
      <w:rPr>
        <w:rFonts w:ascii="Times New Roman" w:hAnsi="Times New Roman"/>
        <w:b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4">
    <w:nsid w:val="1B1F1F29"/>
    <w:multiLevelType w:val="hybridMultilevel"/>
    <w:tmpl w:val="A6A8F3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D08A4"/>
    <w:multiLevelType w:val="hybridMultilevel"/>
    <w:tmpl w:val="6DA49B66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EE2A35"/>
    <w:multiLevelType w:val="hybridMultilevel"/>
    <w:tmpl w:val="516AA880"/>
    <w:lvl w:ilvl="0">
      <w:start w:val="1"/>
      <w:numFmt w:val="decimal"/>
      <w:pStyle w:val="odsek1"/>
      <w:lvlText w:val="(%1)"/>
      <w:lvlJc w:val="left"/>
      <w:pPr>
        <w:tabs>
          <w:tab w:val="num" w:pos="-709"/>
        </w:tabs>
        <w:ind w:left="-709" w:firstLine="709"/>
      </w:pPr>
      <w:rPr>
        <w:b w:val="0"/>
        <w:i w:val="0"/>
        <w:strike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ascii="Times New Roman" w:hAnsi="Times New Roman"/>
        <w:b w:val="0"/>
        <w:i w:val="0"/>
        <w:strike w:val="0"/>
        <w:sz w:val="24"/>
        <w:rtl w:val="0"/>
      </w:rPr>
    </w:lvl>
    <w:lvl w:ilvl="2">
      <w:start w:val="1"/>
      <w:numFmt w:val="lowerRoman"/>
      <w:lvlText w:val="%3."/>
      <w:lvlJc w:val="right"/>
      <w:pPr>
        <w:ind w:left="1609" w:hanging="180"/>
      </w:pPr>
    </w:lvl>
    <w:lvl w:ilvl="3">
      <w:start w:val="1"/>
      <w:numFmt w:val="decimal"/>
      <w:lvlText w:val="%4."/>
      <w:lvlJc w:val="left"/>
      <w:pPr>
        <w:ind w:left="2329" w:hanging="360"/>
      </w:pPr>
    </w:lvl>
    <w:lvl w:ilvl="4">
      <w:start w:val="1"/>
      <w:numFmt w:val="lowerLetter"/>
      <w:lvlText w:val="%5."/>
      <w:lvlJc w:val="left"/>
      <w:pPr>
        <w:ind w:left="3049" w:hanging="360"/>
      </w:pPr>
    </w:lvl>
    <w:lvl w:ilvl="5">
      <w:start w:val="1"/>
      <w:numFmt w:val="lowerRoman"/>
      <w:lvlText w:val="%6."/>
      <w:lvlJc w:val="right"/>
      <w:pPr>
        <w:ind w:left="3769" w:hanging="180"/>
      </w:pPr>
    </w:lvl>
    <w:lvl w:ilvl="6">
      <w:start w:val="1"/>
      <w:numFmt w:val="decimal"/>
      <w:lvlText w:val="%7."/>
      <w:lvlJc w:val="left"/>
      <w:pPr>
        <w:ind w:left="4489" w:hanging="360"/>
      </w:pPr>
    </w:lvl>
    <w:lvl w:ilvl="7">
      <w:start w:val="1"/>
      <w:numFmt w:val="lowerLetter"/>
      <w:lvlText w:val="%8."/>
      <w:lvlJc w:val="left"/>
      <w:pPr>
        <w:ind w:left="5209" w:hanging="360"/>
      </w:pPr>
    </w:lvl>
    <w:lvl w:ilvl="8">
      <w:start w:val="1"/>
      <w:numFmt w:val="lowerRoman"/>
      <w:lvlText w:val="%9."/>
      <w:lvlJc w:val="right"/>
      <w:pPr>
        <w:ind w:left="5929" w:hanging="180"/>
      </w:pPr>
    </w:lvl>
  </w:abstractNum>
  <w:abstractNum w:abstractNumId="7">
    <w:nsid w:val="50CA1DC8"/>
    <w:multiLevelType w:val="hybridMultilevel"/>
    <w:tmpl w:val="2708E9CC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93507"/>
    <w:multiLevelType w:val="hybridMultilevel"/>
    <w:tmpl w:val="BCA4555A"/>
    <w:lvl w:ilvl="0">
      <w:start w:val="1"/>
      <w:numFmt w:val="decimal"/>
      <w:pStyle w:val="a"/>
      <w:lvlText w:val="§ %1"/>
      <w:lvlJc w:val="center"/>
      <w:pPr>
        <w:tabs>
          <w:tab w:val="num" w:pos="2520"/>
        </w:tabs>
        <w:ind w:left="1758" w:hanging="397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1">
      <w:start w:val="1"/>
      <w:numFmt w:val="decimal"/>
      <w:lvlText w:val="(%2)"/>
      <w:lvlJc w:val="left"/>
      <w:pPr>
        <w:tabs>
          <w:tab w:val="num" w:pos="-31680"/>
        </w:tabs>
        <w:ind w:left="0" w:firstLine="709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rtl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</w:lvl>
    <w:lvl w:ilvl="4">
      <w:start w:val="1"/>
      <w:numFmt w:val="decimal"/>
      <w:lvlText w:val="%5."/>
      <w:lvlJc w:val="left"/>
      <w:pPr>
        <w:tabs>
          <w:tab w:val="num" w:pos="870"/>
        </w:tabs>
        <w:ind w:left="870" w:hanging="39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2266DE"/>
    <w:multiLevelType w:val="hybridMultilevel"/>
    <w:tmpl w:val="E8FCC0D8"/>
    <w:lvl w:ilvl="0">
      <w:start w:val="1"/>
      <w:numFmt w:val="decimal"/>
      <w:lvlText w:val="§ %1"/>
      <w:lvlJc w:val="left"/>
      <w:pPr>
        <w:tabs>
          <w:tab w:val="num" w:pos="425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2F6A9A"/>
    <w:multiLevelType w:val="multilevel"/>
    <w:tmpl w:val="C6F88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2840E1E"/>
    <w:multiLevelType w:val="hybridMultilevel"/>
    <w:tmpl w:val="2594198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B1368C"/>
    <w:multiLevelType w:val="multilevel"/>
    <w:tmpl w:val="0ECAB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4">
    <w:nsid w:val="7AED2683"/>
    <w:multiLevelType w:val="hybridMultilevel"/>
    <w:tmpl w:val="EFDC4B9A"/>
    <w:lvl w:ilvl="0">
      <w:start w:val="1"/>
      <w:numFmt w:val="decimal"/>
      <w:lvlText w:val="%1."/>
      <w:lvlJc w:val="left"/>
      <w:pPr>
        <w:ind w:left="1068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4"/>
  </w:num>
  <w:num w:numId="9">
    <w:abstractNumId w:val="1"/>
  </w:num>
  <w:num w:numId="10">
    <w:abstractNumId w:val="4"/>
  </w:num>
  <w:num w:numId="11">
    <w:abstractNumId w:val="1"/>
  </w:num>
  <w:num w:numId="12">
    <w:abstractNumId w:val="1"/>
  </w:num>
  <w:num w:numId="13">
    <w:abstractNumId w:val="5"/>
  </w:num>
  <w:num w:numId="14">
    <w:abstractNumId w:val="8"/>
  </w:num>
  <w:num w:numId="15">
    <w:abstractNumId w:val="8"/>
  </w:num>
  <w:num w:numId="16">
    <w:abstractNumId w:val="5"/>
  </w:num>
  <w:num w:numId="17">
    <w:abstractNumId w:val="1"/>
  </w:num>
  <w:num w:numId="18">
    <w:abstractNumId w:val="8"/>
  </w:num>
  <w:num w:numId="19">
    <w:abstractNumId w:val="6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0"/>
  </w:num>
  <w:num w:numId="29">
    <w:abstractNumId w:val="10"/>
  </w:num>
  <w:num w:numId="30">
    <w:abstractNumId w:val="7"/>
  </w:num>
  <w:num w:numId="31">
    <w:abstractNumId w:val="7"/>
  </w:num>
  <w:num w:numId="32">
    <w:abstractNumId w:val="6"/>
  </w:num>
  <w:num w:numId="33">
    <w:abstractNumId w:val="7"/>
  </w:num>
  <w:num w:numId="34">
    <w:abstractNumId w:val="8"/>
  </w:num>
  <w:num w:numId="35">
    <w:abstractNumId w:val="6"/>
  </w:num>
  <w:num w:numId="36">
    <w:abstractNumId w:val="7"/>
  </w:num>
  <w:num w:numId="37">
    <w:abstractNumId w:val="14"/>
  </w:num>
  <w:num w:numId="38">
    <w:abstractNumId w:val="13"/>
  </w:num>
  <w:num w:numId="39">
    <w:abstractNumId w:val="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06A"/>
    <w:rsid w:val="00022A1B"/>
    <w:rsid w:val="00074C9D"/>
    <w:rsid w:val="00081FD1"/>
    <w:rsid w:val="000A4577"/>
    <w:rsid w:val="000F4765"/>
    <w:rsid w:val="001958E3"/>
    <w:rsid w:val="002421B0"/>
    <w:rsid w:val="002C4F13"/>
    <w:rsid w:val="003A4C21"/>
    <w:rsid w:val="006A0401"/>
    <w:rsid w:val="006F3160"/>
    <w:rsid w:val="0070716A"/>
    <w:rsid w:val="007B7A89"/>
    <w:rsid w:val="007F4A69"/>
    <w:rsid w:val="008A3163"/>
    <w:rsid w:val="008E77CB"/>
    <w:rsid w:val="00904E9F"/>
    <w:rsid w:val="009162C7"/>
    <w:rsid w:val="009627A0"/>
    <w:rsid w:val="009B3B04"/>
    <w:rsid w:val="00A70A69"/>
    <w:rsid w:val="00AA7630"/>
    <w:rsid w:val="00AB047D"/>
    <w:rsid w:val="00B16E7C"/>
    <w:rsid w:val="00B55FD7"/>
    <w:rsid w:val="00B70411"/>
    <w:rsid w:val="00CB10DB"/>
    <w:rsid w:val="00CB67BD"/>
    <w:rsid w:val="00CE6A46"/>
    <w:rsid w:val="00D07327"/>
    <w:rsid w:val="00D14E20"/>
    <w:rsid w:val="00D159BA"/>
    <w:rsid w:val="00D842F3"/>
    <w:rsid w:val="00DD43E4"/>
    <w:rsid w:val="00E17F89"/>
    <w:rsid w:val="00E4338C"/>
    <w:rsid w:val="00E74791"/>
    <w:rsid w:val="00E760EB"/>
    <w:rsid w:val="00E85443"/>
    <w:rsid w:val="00EA4CE2"/>
    <w:rsid w:val="00EF6A8A"/>
    <w:rsid w:val="00F12F33"/>
    <w:rsid w:val="00F61E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06A"/>
    <w:pPr>
      <w:keepNext/>
      <w:widowControl w:val="0"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11AF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4E6D44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181C99"/>
    <w:pPr>
      <w:spacing w:before="120"/>
      <w:jc w:val="both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9737B8"/>
    <w:pPr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  <w:rsid w:val="00181C99"/>
  </w:style>
  <w:style w:type="paragraph" w:styleId="FootnoteText">
    <w:name w:val="footnote text"/>
    <w:basedOn w:val="Normal"/>
    <w:semiHidden/>
    <w:rsid w:val="00D53CCF"/>
    <w:pPr>
      <w:spacing w:before="0" w:after="0"/>
      <w:ind w:left="227" w:hanging="227"/>
      <w:jc w:val="both"/>
    </w:pPr>
    <w:rPr>
      <w:sz w:val="20"/>
      <w:szCs w:val="20"/>
    </w:rPr>
  </w:style>
  <w:style w:type="paragraph" w:customStyle="1" w:styleId="odsek">
    <w:name w:val="odsek"/>
    <w:basedOn w:val="Normal"/>
    <w:rsid w:val="00BC06FF"/>
    <w:pPr>
      <w:spacing w:before="120" w:after="120"/>
      <w:ind w:firstLine="709"/>
      <w:jc w:val="both"/>
    </w:pPr>
  </w:style>
  <w:style w:type="paragraph" w:customStyle="1" w:styleId="adda">
    <w:name w:val="adda"/>
    <w:basedOn w:val="Normal"/>
    <w:qFormat/>
    <w:rsid w:val="00337832"/>
    <w:pPr>
      <w:numPr>
        <w:ilvl w:val="0"/>
        <w:numId w:val="36"/>
      </w:numPr>
      <w:ind w:left="720" w:hanging="360"/>
      <w:jc w:val="both"/>
    </w:pPr>
    <w:rPr>
      <w:bCs/>
    </w:rPr>
  </w:style>
  <w:style w:type="paragraph" w:customStyle="1" w:styleId="a">
    <w:name w:val="§"/>
    <w:basedOn w:val="Normal"/>
    <w:next w:val="Heading2"/>
    <w:rsid w:val="00337832"/>
    <w:pPr>
      <w:numPr>
        <w:ilvl w:val="0"/>
        <w:numId w:val="34"/>
      </w:numPr>
      <w:tabs>
        <w:tab w:val="left" w:pos="425"/>
        <w:tab w:val="left" w:pos="2520"/>
      </w:tabs>
      <w:suppressAutoHyphens/>
      <w:spacing w:before="360" w:after="120"/>
      <w:ind w:left="1758" w:hanging="397"/>
      <w:jc w:val="center"/>
    </w:pPr>
    <w:rPr>
      <w:b/>
      <w:color w:val="000000"/>
      <w:szCs w:val="20"/>
    </w:rPr>
  </w:style>
  <w:style w:type="paragraph" w:customStyle="1" w:styleId="odsek1">
    <w:name w:val="odsek1"/>
    <w:basedOn w:val="Normal"/>
    <w:qFormat/>
    <w:rsid w:val="00337832"/>
    <w:pPr>
      <w:numPr>
        <w:ilvl w:val="0"/>
        <w:numId w:val="35"/>
      </w:numPr>
      <w:tabs>
        <w:tab w:val="left" w:pos="-709"/>
      </w:tabs>
      <w:autoSpaceDE/>
      <w:autoSpaceDN/>
      <w:spacing w:before="120" w:after="120"/>
      <w:ind w:left="-709" w:firstLine="709"/>
      <w:jc w:val="both"/>
    </w:pPr>
  </w:style>
  <w:style w:type="character" w:styleId="FootnoteReference">
    <w:name w:val="footnote reference"/>
    <w:basedOn w:val="DefaultParagraphFont"/>
    <w:semiHidden/>
    <w:rsid w:val="00C45970"/>
    <w:rPr>
      <w:vertAlign w:val="superscript"/>
    </w:rPr>
  </w:style>
  <w:style w:type="paragraph" w:styleId="Footer">
    <w:name w:val="footer"/>
    <w:basedOn w:val="Normal"/>
    <w:rsid w:val="0001006A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01006A"/>
  </w:style>
  <w:style w:type="paragraph" w:customStyle="1" w:styleId="Odsek2">
    <w:name w:val="Odsek2"/>
    <w:basedOn w:val="Normal"/>
    <w:rsid w:val="00CC13CE"/>
    <w:pPr>
      <w:spacing w:before="120" w:after="120" w:line="360" w:lineRule="auto"/>
      <w:ind w:firstLine="709"/>
      <w:jc w:val="both"/>
    </w:pPr>
    <w:rPr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920</Words>
  <Characters>5245</Characters>
  <Application>Microsoft Office Word</Application>
  <DocSecurity>0</DocSecurity>
  <Lines>0</Lines>
  <Paragraphs>0</Paragraphs>
  <ScaleCrop>false</ScaleCrop>
  <Company>MP SR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pavol.nunuk</dc:creator>
  <cp:lastModifiedBy>timea.lengyelova</cp:lastModifiedBy>
  <cp:revision>15</cp:revision>
  <cp:lastPrinted>2010-03-31T11:47:00Z</cp:lastPrinted>
  <dcterms:created xsi:type="dcterms:W3CDTF">2010-03-02T10:23:00Z</dcterms:created>
  <dcterms:modified xsi:type="dcterms:W3CDTF">2010-03-31T11:56:00Z</dcterms:modified>
</cp:coreProperties>
</file>