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228">
      <w:pPr>
        <w:pStyle w:val="Heading2"/>
        <w:rPr>
          <w:rFonts w:ascii="Arial Narrow" w:hAnsi="Arial Narrow"/>
          <w:sz w:val="22"/>
          <w:szCs w:val="22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P="00E9688F">
      <w:pPr>
        <w:rPr>
          <w:rFonts w:ascii="Times New Roman" w:hAnsi="Times New Roman" w:cs="Times New Roman"/>
        </w:rPr>
      </w:pPr>
    </w:p>
    <w:p w:rsidR="00E9688F" w:rsidRPr="00E9688F" w:rsidP="00E9688F">
      <w:pPr>
        <w:rPr>
          <w:rFonts w:ascii="Times New Roman" w:hAnsi="Times New Roman" w:cs="Times New Roman"/>
        </w:rPr>
      </w:pPr>
    </w:p>
    <w:p w:rsidR="00344228" w:rsidRPr="00E9688F">
      <w:pPr>
        <w:pStyle w:val="Heading2"/>
        <w:rPr>
          <w:rFonts w:ascii="Arial Narrow" w:hAnsi="Arial Narrow"/>
          <w:b w:val="0"/>
          <w:sz w:val="22"/>
          <w:szCs w:val="22"/>
        </w:rPr>
      </w:pPr>
      <w:r w:rsidRPr="00E9688F">
        <w:rPr>
          <w:rFonts w:ascii="Arial Narrow" w:hAnsi="Arial Narrow"/>
          <w:b w:val="0"/>
          <w:sz w:val="22"/>
          <w:szCs w:val="22"/>
        </w:rPr>
        <w:t>zo 4. marca 2010</w:t>
      </w: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 xml:space="preserve">o neprimeraných podmienkach v obchodných vzťahoch medzi odberateľom a dodávateľom tovaru, ktorým sú potraviny </w:t>
      </w:r>
    </w:p>
    <w:p w:rsidR="00CD65B0" w:rsidRPr="00E9688F">
      <w:pPr>
        <w:pStyle w:val="odsek"/>
        <w:spacing w:before="600" w:after="600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Národná rada Slovenskej republiky sa uzniesla na tomto zákone: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Predmet úpravy</w:t>
      </w:r>
    </w:p>
    <w:p w:rsidR="00CD65B0" w:rsidRPr="00E9688F">
      <w:pPr>
        <w:pStyle w:val="odsek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Tento zákon upravuje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vymedzenie neprimeraných podmienok v obchodných vzťahoch (ďalej len „neprimerané podmienky“) medzi odberateľom a dodávateľom tovaru, ktorým sú potraviny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2"/>
      </w:r>
      <w:r w:rsidRPr="00E9688F">
        <w:rPr>
          <w:rFonts w:ascii="Arial Narrow" w:hAnsi="Arial Narrow" w:cs="Times New Roman"/>
          <w:sz w:val="22"/>
          <w:szCs w:val="22"/>
        </w:rPr>
        <w:t>) (ďalej len „tovar“) alebo služby spojené s  predajom tovaru,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kontrolu neprimeraných podmienok,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konanie vo veciach neprim</w:t>
      </w:r>
      <w:r w:rsidRPr="00E9688F">
        <w:rPr>
          <w:rFonts w:ascii="Arial Narrow" w:hAnsi="Arial Narrow" w:cs="Times New Roman"/>
          <w:sz w:val="22"/>
          <w:szCs w:val="22"/>
        </w:rPr>
        <w:t>eraných podmienok.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Vymedzenie niektorých pojmov</w:t>
      </w:r>
    </w:p>
    <w:p w:rsidR="00CD65B0" w:rsidRPr="00E9688F">
      <w:pPr>
        <w:pStyle w:val="odsek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Na účely tohto zákona sa rozumie</w:t>
      </w:r>
    </w:p>
    <w:p w:rsidR="00CD65B0" w:rsidRPr="00E9688F">
      <w:pPr>
        <w:pStyle w:val="adda"/>
        <w:numPr>
          <w:numId w:val="25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účastníkom obchodného vzťahu podnikateľ podľa § 2 ods. 1 Obchodného zákonníka, ktorý je odberateľom alebo dodávateľom tovaru, 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obchodným vzťahom vzťah medzi odberateľom a dodávateľom tovaru upravený Obchodným zákonníkom,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všeobecnými obchodnými podmienkami obchodné podmienky upravené Obchodným zákonníkom,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peňažným plnením platba poskytnutá účastníkom obchodného vzťahu súvisiaca s dodávkou tovaru, vrátane platby na obchodné aktivity odberateľa tovaru, najmä zľavy, dary, bonusy, rabaty, skontá, 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nepeňažným plnením iné plnenie, ako plnenie podľa písmena d) súvisiace s dodávkou tovaru, najmä vecné dary a služby, marketingová podpora pri otvorení novej prevádzkarne, rozvoz tovaru zo skladov odberateľa do jeho prevádzkarní, 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obchodnou aktivitou aktivita, za ktorú sa považuje aj reklamná akcia a letáková akcia, vrátane tlače a distribúcie, akcia na podporu ďalšieho predaja tovaru, rozhlasová produkcia v prevádzkarni.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br w:type="page"/>
      </w: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Všeobecné obchodn</w:t>
      </w:r>
      <w:r w:rsidRPr="00E9688F">
        <w:rPr>
          <w:rFonts w:ascii="Arial Narrow" w:hAnsi="Arial Narrow"/>
          <w:sz w:val="22"/>
          <w:szCs w:val="22"/>
        </w:rPr>
        <w:t>é podmienky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Odberateľ je povinný poskytnúť všeobecné obchodné podmienky dodávateľovi, ktorý o to požiada. Tieto všeobecné obchodné podmienky sú základom obchodných rokovaní.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Všeobecné obchodné podmienky zahŕňajú:</w:t>
      </w:r>
    </w:p>
    <w:p w:rsidR="00CD65B0" w:rsidRPr="00E9688F">
      <w:pPr>
        <w:pStyle w:val="adda"/>
        <w:numPr>
          <w:numId w:val="27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podmienky nákupu tovaru,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cenové podmienky,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zníženie cien,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podmienky úhrady,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stanovenie objemu nákupu tovaru podľa § 409 Obchodného zákonníka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služby súvisiace s obchodnou spoluprácou pri propagácii a ďalších marketingových aktivitách spojených s dodanými potravinami.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Každý nákup alebo predaj tovaru alebo služby musí byť predmetom fakturácie. Faktúra musí obsahovať základné náležitosti podľa osobitného právneho predpisu.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3"/>
      </w:r>
      <w:r w:rsidRPr="00E9688F">
        <w:rPr>
          <w:rFonts w:ascii="Arial Narrow" w:hAnsi="Arial Narrow" w:cs="Times New Roman"/>
          <w:sz w:val="22"/>
          <w:szCs w:val="22"/>
        </w:rPr>
        <w:t>)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Neprimerané podmienky</w:t>
      </w:r>
    </w:p>
    <w:p w:rsidR="00CD65B0" w:rsidRPr="00E9688F">
      <w:pPr>
        <w:pStyle w:val="odsek1"/>
        <w:numPr>
          <w:numId w:val="28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Neprimeranou podmienkou je peňažné plnenie dodávateľa</w:t>
      </w:r>
    </w:p>
    <w:p w:rsidR="00CD65B0" w:rsidRPr="00E9688F">
      <w:pPr>
        <w:pStyle w:val="adda"/>
        <w:numPr>
          <w:numId w:val="30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jeho zaradenie do registra dodávateľov u odberateľ</w:t>
      </w:r>
      <w:r w:rsidRPr="00E9688F">
        <w:rPr>
          <w:rFonts w:ascii="Arial Narrow" w:hAnsi="Arial Narrow" w:cs="Times New Roman"/>
          <w:sz w:val="22"/>
          <w:szCs w:val="22"/>
        </w:rPr>
        <w:t>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zaradenie jeho tovaru do evidencie výrobkov predávaných odberateľom a úhrada za prevádzku elektronických zariadení,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využitie distribučnej siete odberateľa,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časovo obmedzené umiestnenie tovaru dodávateľa v prevádzkarni odberateľa,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na obchodné aktivity odberateľa zamerané na podporu predaja odberateľa,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za </w:t>
      </w:r>
      <w:r w:rsidRPr="00E9688F" w:rsidR="00103D31">
        <w:rPr>
          <w:rFonts w:ascii="Arial Narrow" w:hAnsi="Arial Narrow" w:cs="Times New Roman"/>
          <w:sz w:val="22"/>
          <w:szCs w:val="22"/>
        </w:rPr>
        <w:t>platby na obchodné aktivity odberateľa tovaru, na tovar dodávaný a predávaný</w:t>
      </w:r>
      <w:r w:rsidRPr="00E9688F">
        <w:rPr>
          <w:rFonts w:ascii="Arial Narrow" w:hAnsi="Arial Narrow" w:cs="Times New Roman"/>
          <w:sz w:val="22"/>
          <w:szCs w:val="22"/>
        </w:rPr>
        <w:t xml:space="preserve"> pod obchodnou značkou odberateľa, naj</w:t>
      </w:r>
      <w:r w:rsidRPr="00E9688F" w:rsidR="00103D31">
        <w:rPr>
          <w:rFonts w:ascii="Arial Narrow" w:hAnsi="Arial Narrow" w:cs="Times New Roman"/>
          <w:sz w:val="22"/>
          <w:szCs w:val="22"/>
        </w:rPr>
        <w:t>mä zľavy, dary, bonusy, rabaty a</w:t>
      </w:r>
      <w:r w:rsidRPr="00E9688F" w:rsidR="00344228">
        <w:rPr>
          <w:rFonts w:ascii="Arial Narrow" w:hAnsi="Arial Narrow" w:cs="Times New Roman"/>
          <w:sz w:val="22"/>
          <w:szCs w:val="22"/>
        </w:rPr>
        <w:t xml:space="preserve"> </w:t>
      </w:r>
      <w:r w:rsidRPr="00E9688F">
        <w:rPr>
          <w:rFonts w:ascii="Arial Narrow" w:hAnsi="Arial Narrow" w:cs="Times New Roman"/>
          <w:sz w:val="22"/>
          <w:szCs w:val="22"/>
        </w:rPr>
        <w:t>skontá,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umiestnenie jeho tovaru na určitom mieste v prevádzkarni odberateľa,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za realizáciu obchodnej propagácie odberateľa, nákupu alebo investícií odberateľa, hlavne v rámci obnovy prevádzkarní alebo v rámci rozširovania obchodnej siete odberateľa alebo na budovanie a prevádzku zúčtovacích alebo nákupných a logistických stredísk odberateľa, 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dodatočné kompenzácie zníženého zisku ako predpokladal odberateľ</w:t>
      </w:r>
      <w:r w:rsidRPr="00E9688F" w:rsidR="002E5D05">
        <w:rPr>
          <w:rFonts w:ascii="Arial Narrow" w:hAnsi="Arial Narrow" w:cs="Times New Roman"/>
          <w:sz w:val="22"/>
          <w:szCs w:val="22"/>
        </w:rPr>
        <w:t xml:space="preserve"> so spätnou platnosťou</w:t>
      </w:r>
      <w:r w:rsidRPr="00E9688F">
        <w:rPr>
          <w:rFonts w:ascii="Arial Narrow" w:hAnsi="Arial Narrow" w:cs="Times New Roman"/>
          <w:sz w:val="22"/>
          <w:szCs w:val="22"/>
        </w:rPr>
        <w:t xml:space="preserve">, 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zvýšený predaj tovaru dodávat</w:t>
      </w:r>
      <w:r w:rsidRPr="00E9688F" w:rsidR="00344228">
        <w:rPr>
          <w:rFonts w:ascii="Arial Narrow" w:hAnsi="Arial Narrow" w:cs="Times New Roman"/>
          <w:sz w:val="22"/>
          <w:szCs w:val="22"/>
        </w:rPr>
        <w:t>eľa ako predpokladal odberateľ</w:t>
      </w:r>
      <w:r w:rsidRPr="00E9688F">
        <w:rPr>
          <w:rFonts w:ascii="Arial Narrow" w:hAnsi="Arial Narrow" w:cs="Times New Roman"/>
          <w:sz w:val="22"/>
          <w:szCs w:val="22"/>
        </w:rPr>
        <w:t xml:space="preserve"> </w:t>
      </w:r>
      <w:r w:rsidRPr="00E9688F" w:rsidR="00344228">
        <w:rPr>
          <w:rFonts w:ascii="Arial Narrow" w:hAnsi="Arial Narrow" w:cs="Times New Roman"/>
          <w:sz w:val="22"/>
          <w:szCs w:val="22"/>
        </w:rPr>
        <w:t>so spätnou platnosťou,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služby poskytované treťou osobou zamerané na podporu predaja odberateľa a jeho propagáciu,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návštevy nákupcu odberateľa u nových alebo perspektívnych dodávateľov,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dizajn súvisiaci s vonkajšou prezentáciou a zabalením,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spotrebiteľský a trhový prieskum vykonávaný odberateľom.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Peňažné plnenie podľa odseku 1 je neprimeranou podmienkou v obchodnom vzťahu, ak celková suma peňažného plnenia je viac ako 3 % z ročných tržieb dodávateľa za tovar predaný jednotlivému odberateľovi v kalendárnom roku, kedy došlo k peňažnému plneniu. Do sumy peňažného plnenia a ročných tržieb sa nezahŕňa daň z pridanej hodnoty a v prípade tovaru, na ktorý sa uplatňuje spotrebná daň ani spotrebná daň.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Za neprimeranú podmienku sa považuje aj</w:t>
      </w:r>
    </w:p>
    <w:p w:rsidR="00CD65B0" w:rsidRPr="00E9688F">
      <w:pPr>
        <w:pStyle w:val="adda"/>
        <w:numPr>
          <w:numId w:val="32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peňažné plnenie</w:t>
      </w:r>
      <w:r w:rsidRPr="00E9688F" w:rsidR="002E5D05">
        <w:rPr>
          <w:rFonts w:ascii="Arial Narrow" w:hAnsi="Arial Narrow" w:cs="Times New Roman"/>
          <w:sz w:val="22"/>
          <w:szCs w:val="22"/>
        </w:rPr>
        <w:t xml:space="preserve"> za služby, ktoré neboli poskytnuté</w:t>
      </w:r>
      <w:r w:rsidRPr="00E9688F">
        <w:rPr>
          <w:rFonts w:ascii="Arial Narrow" w:hAnsi="Arial Narrow" w:cs="Times New Roman"/>
          <w:sz w:val="22"/>
          <w:szCs w:val="22"/>
        </w:rPr>
        <w:t>,</w:t>
      </w:r>
    </w:p>
    <w:p w:rsidR="00CD65B0" w:rsidRPr="00E9688F">
      <w:pPr>
        <w:pStyle w:val="adda"/>
        <w:numPr>
          <w:numId w:val="32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vykonávanie kontrol, na náklady výrobcu alebo dodávateľa, priestorov výrobcu alebo dodávateľa odberateľom alebo ním poverenou fyzickou, alebo právnickou osobou, vrátane požadovania vykonania rozborov a skúšok predmetných potravín na náklady výrobcu alebo dodávateľa,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vrátenie tovaru odberateľom dodávateľovi na náklady dodávateľa, bez právneho dôvodu,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povinnosť neodôvodnenej výmeny dodaného tovaru na náklady dodávateľa,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určenie dlhšej lehoty na splnenie peňažného záväzku ako 30 dní odo dňa </w:t>
      </w:r>
      <w:r w:rsidRPr="00E9688F" w:rsidR="002E5D05">
        <w:rPr>
          <w:rFonts w:ascii="Arial Narrow" w:hAnsi="Arial Narrow" w:cs="Times New Roman"/>
          <w:sz w:val="22"/>
          <w:szCs w:val="22"/>
        </w:rPr>
        <w:t>doručenia</w:t>
      </w:r>
      <w:r w:rsidRPr="00E9688F">
        <w:rPr>
          <w:rFonts w:ascii="Arial Narrow" w:hAnsi="Arial Narrow" w:cs="Times New Roman"/>
          <w:sz w:val="22"/>
          <w:szCs w:val="22"/>
        </w:rPr>
        <w:t xml:space="preserve"> faktúry za dodaný tovar,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zníženie dohodnutej ceny tovaru za zaplatenie peňažného záväzku do lehoty splatnosti,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požadovanie dodatočného nepeňažného plnenia účastníkom obchodného vzťahu po odovzdaní a prevzatí tovaru,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prenesenie sankcií, uložených kontrolnými orgánmi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4"/>
      </w:r>
      <w:r w:rsidRPr="00E9688F">
        <w:rPr>
          <w:rFonts w:ascii="Arial Narrow" w:hAnsi="Arial Narrow" w:cs="Times New Roman"/>
          <w:sz w:val="22"/>
          <w:szCs w:val="22"/>
        </w:rPr>
        <w:t>) účastníkovi obchodného vzťahu na druhého účastníka tohto vzťahu</w:t>
      </w:r>
      <w:r w:rsidRPr="00E9688F" w:rsidR="00103D31">
        <w:rPr>
          <w:rFonts w:ascii="Arial Narrow" w:hAnsi="Arial Narrow" w:cs="Times New Roman"/>
          <w:sz w:val="22"/>
          <w:szCs w:val="22"/>
        </w:rPr>
        <w:t xml:space="preserve"> bez právneho dôvodu</w:t>
      </w:r>
      <w:r w:rsidRPr="00E9688F">
        <w:rPr>
          <w:rFonts w:ascii="Arial Narrow" w:hAnsi="Arial Narrow" w:cs="Times New Roman"/>
          <w:sz w:val="22"/>
          <w:szCs w:val="22"/>
        </w:rPr>
        <w:t>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prenesenie sankcií za riešenie sťažností konečného spotrebiteľa odberateľom vrátením peňazí za tovar vo výške maloobchodnej ceny alebo výmenou tovaru okrem prípadov ak odberateľ písomne vyrozumie dodávateľa o tejto sťažnosti, ktorej príčinou bola odôvodnená chyba dodávateľa,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okamžité vypovedanie zmluvy o opakujúcom sa plnení bez výpovednej lehoty a bez dôvodu,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podmieňovanie možnosti postúpenia pohľadávky bez písomného zdôvodnenia dlžníka,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vylúčenie nároku na úroky z omeškania za oneskorené splnenie peňažného záväzku,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dodatočné zníženie dohodnutej ceny dodaného tovaru odberateľom na náklady dodávateľa bez osobitnej uzavretej písomnej dohody odberateľa s dodávateľom o dôvode a rozsahu zníženia</w:t>
      </w:r>
      <w:r w:rsidRPr="00E9688F">
        <w:rPr>
          <w:rFonts w:ascii="Arial Narrow" w:hAnsi="Arial Narrow" w:cs="Times New Roman"/>
          <w:sz w:val="22"/>
          <w:szCs w:val="22"/>
        </w:rPr>
        <w:t xml:space="preserve"> dohodnutej ceny,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predaj tovaru odberateľom za vyššiu cenu ako bola dohodnutá cena dodaného tovaru </w:t>
      </w:r>
      <w:r w:rsidRPr="00E9688F" w:rsidR="00103D31">
        <w:rPr>
          <w:rFonts w:ascii="Arial Narrow" w:hAnsi="Arial Narrow" w:cs="Times New Roman"/>
          <w:sz w:val="22"/>
          <w:szCs w:val="22"/>
        </w:rPr>
        <w:t>v konkrétnej časovo vymedzenej propagačnej akcii</w:t>
      </w:r>
      <w:r w:rsidRPr="00E9688F">
        <w:rPr>
          <w:rFonts w:ascii="Arial Narrow" w:hAnsi="Arial Narrow" w:cs="Times New Roman"/>
          <w:sz w:val="22"/>
          <w:szCs w:val="22"/>
        </w:rPr>
        <w:t>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neprevzatie vopred dohodnutého objemu tovaru dodávaného a predávaného pod obchodnou značkou odberateľa,</w:t>
      </w:r>
    </w:p>
    <w:p w:rsidR="00103D31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 w:rsidR="00CD65B0">
        <w:rPr>
          <w:rFonts w:ascii="Arial Narrow" w:hAnsi="Arial Narrow" w:cs="Times New Roman"/>
          <w:sz w:val="22"/>
          <w:szCs w:val="22"/>
        </w:rPr>
        <w:t>predaj tovaru odberateľom konečnému spotrebiteľovi za nižšiu jednotkovú cenu ako uhradil za dodávku toho istého druhu tovaru dodávateľovi</w:t>
      </w:r>
      <w:r w:rsidRPr="00E9688F">
        <w:rPr>
          <w:rFonts w:ascii="Arial Narrow" w:hAnsi="Arial Narrow" w:cs="Times New Roman"/>
          <w:sz w:val="22"/>
          <w:szCs w:val="22"/>
        </w:rPr>
        <w:t xml:space="preserve"> okrem prípadov, ak ide</w:t>
      </w:r>
    </w:p>
    <w:p w:rsidR="002E5D05" w:rsidRPr="00E9688F" w:rsidP="002E5D05">
      <w:pPr>
        <w:ind w:left="851" w:hanging="425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1. o predaj tovaru, ktorého dôvodom je zrušenie predajne, ukončenie alebo zmena     obchodnej činn</w:t>
      </w:r>
      <w:r w:rsidRPr="00E9688F">
        <w:rPr>
          <w:rFonts w:ascii="Arial Narrow" w:hAnsi="Arial Narrow" w:cs="Times New Roman"/>
          <w:sz w:val="22"/>
          <w:szCs w:val="22"/>
        </w:rPr>
        <w:t>osti,</w:t>
      </w:r>
    </w:p>
    <w:p w:rsidR="002E5D05" w:rsidRPr="00E9688F" w:rsidP="002E5D05">
      <w:pPr>
        <w:ind w:left="426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2.  o predaj tovaru s uvedeným dátumom spotreby uplynutím troch štvrtín doby spotreby, </w:t>
      </w:r>
    </w:p>
    <w:p w:rsidR="002E5D05" w:rsidRPr="00E9688F" w:rsidP="002E5D05">
      <w:pPr>
        <w:ind w:left="426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3.  o výpredaj sezónneho tovaru, </w:t>
      </w:r>
    </w:p>
    <w:p w:rsidR="002E5D05" w:rsidRPr="00E9688F" w:rsidP="002E5D05">
      <w:pPr>
        <w:ind w:left="426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4.  o predaj poškodeného tovaru, </w:t>
      </w:r>
    </w:p>
    <w:p w:rsidR="00CD65B0" w:rsidRPr="00E9688F" w:rsidP="00103D31">
      <w:pPr>
        <w:pStyle w:val="adda"/>
        <w:numPr>
          <w:numId w:val="0"/>
        </w:numPr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financovanie propagačných akcií odberateľa dodávateľom,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požadovanie kratšej doby čerpania trvanlivosti tovaru dodávateľom ako umožňuje zákon,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vykonanie vzájomného zápočtu pohľadávok z obchodného vzťahu bez predchádzajúceho  písomného súhlasu dodávateľa,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podmieňovanie predaja tovaru dodávateľa výrobou výrobkov pod privátnou značkou odberateľa,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odmietnutie uviesť na obale v</w:t>
      </w:r>
      <w:r w:rsidRPr="00E9688F" w:rsidR="002E5D05">
        <w:rPr>
          <w:rFonts w:ascii="Arial Narrow" w:hAnsi="Arial Narrow" w:cs="Times New Roman"/>
          <w:sz w:val="22"/>
          <w:szCs w:val="22"/>
        </w:rPr>
        <w:t>ýrobku predávaného pod obchodnou</w:t>
      </w:r>
      <w:r w:rsidRPr="00E9688F">
        <w:rPr>
          <w:rFonts w:ascii="Arial Narrow" w:hAnsi="Arial Narrow" w:cs="Times New Roman"/>
          <w:sz w:val="22"/>
          <w:szCs w:val="22"/>
        </w:rPr>
        <w:t xml:space="preserve"> značkou odberateľa meno a adresu dodávateľa, pokiaľ tento o to požiada,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retroaktívne peňažné plnenia k propagačným aktivitám odberateľa, ktoré sa uskutočnili v minulosti a neboli </w:t>
      </w:r>
      <w:r w:rsidRPr="00E9688F" w:rsidR="002E5D05">
        <w:rPr>
          <w:rFonts w:ascii="Arial Narrow" w:hAnsi="Arial Narrow" w:cs="Times New Roman"/>
          <w:sz w:val="22"/>
          <w:szCs w:val="22"/>
        </w:rPr>
        <w:t>predmetom zmluv</w:t>
      </w:r>
      <w:r w:rsidRPr="00E9688F" w:rsidR="002E5D05">
        <w:rPr>
          <w:rFonts w:ascii="Arial Narrow" w:hAnsi="Arial Narrow" w:cs="Times New Roman"/>
          <w:sz w:val="22"/>
          <w:szCs w:val="22"/>
        </w:rPr>
        <w:t>ného vzťahu,</w:t>
      </w:r>
    </w:p>
    <w:p w:rsidR="002E5D05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dohodnutie inej doby, kedy sa stane odberateľ vlastníkom tovaru, ako je dátum prevzatia tovaru odberateľom.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Peňažné plnenie za využitie distribúcie odberateľa sa nepovažuje za neprimeranú podmienku, ak dodávateľ nemá možnosť dodať odberateľovi tovar v dohodnutom objeme a na dohodnuté miesto iným spôsobom.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Dohodnúť neprimerané podmienky medzi účastníkmi obchodných vzťahov sa zakazuje.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Etický kódex účastníkov obchodných vzťahov</w:t>
      </w:r>
    </w:p>
    <w:p w:rsidR="00CD65B0" w:rsidRPr="00E9688F">
      <w:pPr>
        <w:pStyle w:val="odsek1"/>
        <w:numPr>
          <w:numId w:val="41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Na účely zamedzenia neprimeraných podmienok sa môžu účastníci obchodných vzťahov dohodnúť na prijatí etického kódexu, ktorý v súlade s týmto zákonom a ostatnými všeobecne záväznými právnymi predpismi podrobnejšie ustanoví kritériá čestných a transparentných obchodných vzťahov.</w:t>
      </w:r>
    </w:p>
    <w:p w:rsidR="00CD65B0" w:rsidRPr="00E9688F">
      <w:pPr>
        <w:pStyle w:val="odsek1"/>
        <w:numPr>
          <w:numId w:val="41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Dňom pristúpenia účastníka obchodného vzťahu k etickému kódexu sa etický kódex stáva pre tohto účastníka záväzným.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Kontrolu neprimeraných podmienok v obchodných vzťahoch podľa etického kódexu vykoná osoba poverená signatármi etického kódexu.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color w:val="303030"/>
          <w:sz w:val="22"/>
          <w:szCs w:val="22"/>
        </w:rPr>
      </w:pPr>
      <w:r w:rsidRPr="00E9688F">
        <w:rPr>
          <w:rFonts w:ascii="Arial Narrow" w:hAnsi="Arial Narrow"/>
          <w:color w:val="303030"/>
          <w:sz w:val="22"/>
          <w:szCs w:val="22"/>
        </w:rPr>
        <w:t xml:space="preserve">Výkon kontroly </w:t>
      </w:r>
      <w:r w:rsidRPr="00E9688F">
        <w:rPr>
          <w:rFonts w:ascii="Arial Narrow" w:hAnsi="Arial Narrow"/>
          <w:sz w:val="22"/>
          <w:szCs w:val="22"/>
        </w:rPr>
        <w:t>neprimeraných podmienok</w:t>
      </w:r>
    </w:p>
    <w:p w:rsidR="00CD65B0" w:rsidRPr="00E9688F">
      <w:pPr>
        <w:pStyle w:val="odsek1"/>
        <w:numPr>
          <w:numId w:val="33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Kontrolu neprimeraných podmienok podľa tohto zákona, kde tovarom sú potraviny vykonáva Ministerstvo pôdohospodárstva Slovenskej republiky (ďalej len „ministerstvo“).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5"/>
      </w:r>
      <w:r w:rsidRPr="00E9688F">
        <w:rPr>
          <w:rFonts w:ascii="Arial Narrow" w:hAnsi="Arial Narrow" w:cs="Times New Roman"/>
          <w:sz w:val="22"/>
          <w:szCs w:val="22"/>
        </w:rPr>
        <w:t>)</w:t>
      </w:r>
    </w:p>
    <w:p w:rsidR="00CD65B0" w:rsidRPr="00E9688F">
      <w:pPr>
        <w:pStyle w:val="odsek1"/>
        <w:numPr>
          <w:numId w:val="33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Ministerstvo vykoná kontrolu u účastníka obchodného vzťahu z vlastného podnetu, z podnetu účastníka obchodného vzťahu, z podnetu profesijnej organizácie oprávnenej podľa stanov, štatútu alebo písomného splnomocnenia alebo z podnetu verejnoprávnej samosprávnej inštitúcie vo veciach ochrany práv a oprávnených záujmov jej členov.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bCs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Podnet na vykonanie kontroly u účastníka obchodného vzťahu podľa odseku 2, iný ako vlastný podnet, musí obsahovať</w:t>
      </w:r>
    </w:p>
    <w:p w:rsidR="00CD65B0" w:rsidRPr="00E9688F">
      <w:pPr>
        <w:pStyle w:val="adda"/>
        <w:numPr>
          <w:numId w:val="35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identifikáciu predkladateľa podnetu,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identifikáciu toho, proti komu je podnet podaný,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opis predmetu podnetu podľa § 4.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Ak podnet neobsahuje náležitosti podľa odseku 3, orgán kontroly podľa odseku 1 vyzve predkladateľa podnetu, aby ich v určenej lehote doplnil a súčasne ho poučí, že inak kontrolu nezačne.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Predmetom kontroly sú údaje, informácie, doklady a písomnosti, z ktorých sa dá zistiť dohodnutie a uplatňovanie neprimeraných podmienok medzi účastníkmi obchodného vzťahu.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Na výkon kontroly podľa tohto zákona môže ministerstvo na účely rozhodovania prizvať podľa osobitného predpisu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6"/>
      </w:r>
      <w:r w:rsidRPr="00E9688F">
        <w:rPr>
          <w:rFonts w:ascii="Arial Narrow" w:hAnsi="Arial Narrow" w:cs="Times New Roman"/>
          <w:sz w:val="22"/>
          <w:szCs w:val="22"/>
        </w:rPr>
        <w:t>) nestrannú právnickú osobu alebo fyzickú osobu.</w:t>
      </w:r>
    </w:p>
    <w:p w:rsidR="00CD65B0" w:rsidRPr="00E9688F">
      <w:pPr>
        <w:pStyle w:val="odsek1"/>
        <w:tabs>
          <w:tab w:val="left" w:pos="0"/>
        </w:tabs>
        <w:spacing w:before="0" w:after="0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Ak tento zákon neustanovuje inak, pri výkone kontroly sa postupuje podľa osobitného predpisu.</w:t>
      </w:r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7"/>
      </w:r>
      <w:r w:rsidRPr="00E9688F">
        <w:rPr>
          <w:rFonts w:ascii="Arial Narrow" w:hAnsi="Arial Narrow" w:cs="Times New Roman"/>
          <w:sz w:val="22"/>
          <w:szCs w:val="22"/>
        </w:rPr>
        <w:t>)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Pokuty a sankcie</w:t>
      </w:r>
    </w:p>
    <w:p w:rsidR="00CD65B0" w:rsidRPr="00E9688F">
      <w:pPr>
        <w:pStyle w:val="odsek1"/>
        <w:numPr>
          <w:numId w:val="36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Ak sa kontrolou preukáže, že medzi účastníkmi obchodného vzťahu bola dohodnutá neprimeraná podmienka, ministerstvo určí účastníkom obchodného vzťahu lehotu na odstránenie neprimeranej podmienky a zároveň uloží účastníkovi obchodného vzťahu, ktorý získal z neprimeranej podmienky prospech, povinnosť vrátiť peňažné plnenie za tovary alebo služby poskytnuté na základe neprimeranej podmienky. Zároveň tomuto účastníkovi uloží pokutu v nasledujúcej výške:</w:t>
      </w:r>
    </w:p>
    <w:p w:rsidR="00CD65B0" w:rsidRPr="00E9688F">
      <w:pPr>
        <w:pStyle w:val="adda"/>
        <w:numPr>
          <w:numId w:val="38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podľa § 4 ods. 1 do 150 000 eur,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podľa § 4 ods. 3 do 300 000 eur.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Ministerstvo je pri výkone kontroly oprávnené uložiť pokutu do 5 000 eur aj účastníkovi obchodného vzťahu, ak neplní povinnosti</w:t>
      </w:r>
    </w:p>
    <w:p w:rsidR="00CD65B0" w:rsidRPr="00E9688F">
      <w:pPr>
        <w:pStyle w:val="adda"/>
        <w:numPr>
          <w:numId w:val="48"/>
        </w:numPr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predložiť v určenej lehote požadované podklady alebo informácie,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predložiť pravdivé a úplné podklady alebo informácie a umožniť ich preverenie,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umožniť vstup do objektov kontrolovaného subjektu,</w:t>
      </w:r>
    </w:p>
    <w:p w:rsidR="00CD65B0" w:rsidRPr="00E9688F">
      <w:pPr>
        <w:pStyle w:val="adda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poskytnúť informácie od zamestnancov kontrolovaného subjektu</w:t>
      </w:r>
      <w:bookmarkStart w:id="0" w:name="_Ref246904368"/>
      <w:r>
        <w:rPr>
          <w:rStyle w:val="FootnoteReference"/>
          <w:rFonts w:ascii="Arial Narrow" w:hAnsi="Arial Narrow" w:cs="Times New Roman"/>
          <w:sz w:val="22"/>
          <w:szCs w:val="22"/>
          <w:rtl w:val="0"/>
        </w:rPr>
        <w:footnoteReference w:id="8"/>
      </w:r>
      <w:bookmarkEnd w:id="0"/>
      <w:r w:rsidRPr="00E9688F">
        <w:rPr>
          <w:rFonts w:ascii="Arial Narrow" w:hAnsi="Arial Narrow" w:cs="Times New Roman"/>
          <w:sz w:val="22"/>
          <w:szCs w:val="22"/>
        </w:rPr>
        <w:t>).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 rozhodnutí o uložení pokuty podľa odseku 2 orgán kontroly uloží účastníkovi obchodného vzťahu aj primeranú lehotu na odstránenie neprimeranej podmienky. Ak tieto nedostatky účastník obchodného vzťahu v určenej lehote neodstráni, orgán kontroly môže uložiť pokutu opakovane.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Pri uložení pokuty podľa odsekov 2 a 3 ministerstvo prihliada na závažnosť protiprávneho konania, jeho následky a čas trvania alebo opakovanie takéhoto konania.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Pokutu podľa odsekov 2 a 3 je ministerstvo oprávnené uložiť aj opakovane, a to až do dvojnásobku výšky uloženej pokuty.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Konanie o uložení pokuty možno začať do jedného roka odo dňa, keď sa ministerstvo o porušení povinnosti dozvedelo, najneskôr do troch rokov kedy k porušeniu povinnosti došlo.</w:t>
      </w:r>
    </w:p>
    <w:p w:rsidR="00CD65B0" w:rsidRPr="00E9688F">
      <w:pPr>
        <w:pStyle w:val="odsek1"/>
        <w:tabs>
          <w:tab w:val="left" w:pos="0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Výnos pokút je príjmom štátneho rozpočtu.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odsek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Na konanie o pokutách podľa § 7 ods. 2 a 3 sa vzťahuje zákon o správnom konaní</w:t>
      </w:r>
      <w:r>
        <w:rPr>
          <w:rStyle w:val="FootnoteReference"/>
          <w:rFonts w:ascii="Arial Narrow" w:hAnsi="Arial Narrow" w:cs="Times New Roman"/>
          <w:color w:val="000000"/>
          <w:sz w:val="22"/>
          <w:szCs w:val="22"/>
          <w:rtl w:val="0"/>
        </w:rPr>
        <w:footnoteReference w:id="9"/>
      </w:r>
      <w:r w:rsidRPr="00E9688F">
        <w:rPr>
          <w:rFonts w:ascii="Arial Narrow" w:hAnsi="Arial Narrow" w:cs="Times New Roman"/>
          <w:sz w:val="22"/>
          <w:szCs w:val="22"/>
        </w:rPr>
        <w:t>), ak tento zákon neustanovuje inak.</w:t>
      </w:r>
    </w:p>
    <w:p w:rsidR="00CD65B0" w:rsidRPr="00E9688F">
      <w:pPr>
        <w:pStyle w:val="a"/>
        <w:tabs>
          <w:tab w:val="clear" w:pos="2520"/>
        </w:tabs>
        <w:ind w:left="0" w:firstLine="0"/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Prístup k informáciám o vykonaných kontrolách</w:t>
      </w:r>
    </w:p>
    <w:p w:rsidR="00CD65B0" w:rsidRPr="00E9688F">
      <w:pPr>
        <w:pStyle w:val="odsek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Ministerstvo na svojej internetovej stránke každoročne do 31. januára zverejňuje informáciu o počte začatých a o počte ukončených kontrol v predchádzajúcom kalendárnom roku.</w:t>
      </w:r>
    </w:p>
    <w:p w:rsidR="00CD65B0" w:rsidRPr="00E9688F">
      <w:pPr>
        <w:pStyle w:val="a"/>
        <w:numPr>
          <w:numId w:val="0"/>
        </w:numPr>
        <w:tabs>
          <w:tab w:val="left" w:pos="0"/>
          <w:tab w:val="clear" w:pos="425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§ 10</w:t>
      </w:r>
    </w:p>
    <w:p w:rsidR="00CD65B0" w:rsidRPr="00E9688F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Prechodné ustanovenie</w:t>
      </w:r>
    </w:p>
    <w:p w:rsidR="00CD65B0" w:rsidRPr="00E9688F">
      <w:pPr>
        <w:pStyle w:val="odsek"/>
        <w:numPr>
          <w:ilvl w:val="1"/>
          <w:numId w:val="40"/>
        </w:numPr>
        <w:tabs>
          <w:tab w:val="clear" w:pos="2250"/>
        </w:tabs>
        <w:ind w:left="0" w:firstLine="720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Účastníci obchodných vzťahov sú povinní do 30</w:t>
      </w:r>
      <w:r w:rsidRPr="00E9688F" w:rsidR="002E5D05">
        <w:rPr>
          <w:rFonts w:ascii="Arial Narrow" w:hAnsi="Arial Narrow" w:cs="Times New Roman"/>
          <w:sz w:val="22"/>
          <w:szCs w:val="22"/>
        </w:rPr>
        <w:t>. septembra</w:t>
      </w:r>
      <w:r w:rsidRPr="00E9688F">
        <w:rPr>
          <w:rFonts w:ascii="Arial Narrow" w:hAnsi="Arial Narrow" w:cs="Times New Roman"/>
          <w:sz w:val="22"/>
          <w:szCs w:val="22"/>
        </w:rPr>
        <w:t xml:space="preserve"> 2010 uviesť zmluvy uzavreté pred 1. májom 2010 do súladu s týmto zákonom.</w:t>
      </w:r>
    </w:p>
    <w:p w:rsidR="00CD65B0" w:rsidRPr="00E9688F">
      <w:pPr>
        <w:pStyle w:val="odsek"/>
        <w:numPr>
          <w:ilvl w:val="1"/>
          <w:numId w:val="40"/>
        </w:numPr>
        <w:tabs>
          <w:tab w:val="clear" w:pos="2250"/>
        </w:tabs>
        <w:ind w:left="0" w:firstLine="720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Kontroly začaté pred 1. májom 2010 sa ukončia podľa tohto zákona; ministerstvo o týchto prípadoch písomne upovedomí kontrolované subjekty.</w:t>
      </w:r>
    </w:p>
    <w:p w:rsidR="00E9688F">
      <w:pPr>
        <w:pStyle w:val="a"/>
        <w:numPr>
          <w:numId w:val="0"/>
        </w:numPr>
        <w:tabs>
          <w:tab w:val="left" w:pos="0"/>
          <w:tab w:val="clear" w:pos="425"/>
        </w:tabs>
        <w:rPr>
          <w:rFonts w:ascii="Arial Narrow" w:hAnsi="Arial Narrow" w:cs="Times New Roman"/>
          <w:sz w:val="22"/>
          <w:szCs w:val="22"/>
        </w:rPr>
      </w:pPr>
    </w:p>
    <w:p w:rsidR="00E9688F">
      <w:pPr>
        <w:pStyle w:val="a"/>
        <w:numPr>
          <w:numId w:val="0"/>
        </w:numPr>
        <w:tabs>
          <w:tab w:val="left" w:pos="0"/>
          <w:tab w:val="clear" w:pos="425"/>
        </w:tabs>
        <w:rPr>
          <w:rFonts w:ascii="Arial Narrow" w:hAnsi="Arial Narrow" w:cs="Times New Roman"/>
          <w:sz w:val="22"/>
          <w:szCs w:val="22"/>
        </w:rPr>
      </w:pPr>
    </w:p>
    <w:p w:rsidR="00CD65B0" w:rsidRPr="00E9688F">
      <w:pPr>
        <w:pStyle w:val="a"/>
        <w:numPr>
          <w:numId w:val="0"/>
        </w:numPr>
        <w:tabs>
          <w:tab w:val="left" w:pos="0"/>
          <w:tab w:val="clear" w:pos="425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§ 11</w:t>
      </w:r>
    </w:p>
    <w:p w:rsidR="00CD65B0" w:rsidRPr="00E9688F">
      <w:pPr>
        <w:pStyle w:val="Heading2"/>
        <w:rPr>
          <w:rFonts w:ascii="Arial Narrow" w:hAnsi="Arial Narrow"/>
          <w:color w:val="000000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Zrušovacie ustanovenie</w:t>
      </w:r>
    </w:p>
    <w:p w:rsidR="00CD65B0" w:rsidRPr="00E9688F">
      <w:pPr>
        <w:pStyle w:val="odsek"/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Zrušuje sa zákon č. 172/2008 Z. z. o neprimeraných podmienkach v obchodných vzťahoch a o doplnení zákona Slovenskej národnej rady č. 30/1992 Zb. o Slovenskej poľnohospodárskej a potravinárskej komore v znení neskorších predpisov v znení zákona č. 55/2009 Z. z.</w:t>
      </w:r>
    </w:p>
    <w:p w:rsidR="00CD65B0" w:rsidRPr="00E9688F">
      <w:pPr>
        <w:pStyle w:val="a"/>
        <w:numPr>
          <w:numId w:val="0"/>
        </w:numPr>
        <w:tabs>
          <w:tab w:val="left" w:pos="0"/>
          <w:tab w:val="clear" w:pos="425"/>
        </w:tabs>
        <w:rPr>
          <w:rFonts w:ascii="Arial Narrow" w:hAnsi="Arial Narrow" w:cs="Times New Roman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>§ 12</w:t>
      </w:r>
    </w:p>
    <w:p w:rsidR="00CD65B0">
      <w:pPr>
        <w:pStyle w:val="Heading2"/>
        <w:rPr>
          <w:rFonts w:ascii="Arial Narrow" w:hAnsi="Arial Narrow"/>
          <w:sz w:val="22"/>
          <w:szCs w:val="22"/>
        </w:rPr>
      </w:pPr>
      <w:r w:rsidRPr="00E9688F">
        <w:rPr>
          <w:rFonts w:ascii="Arial Narrow" w:hAnsi="Arial Narrow"/>
          <w:sz w:val="22"/>
          <w:szCs w:val="22"/>
        </w:rPr>
        <w:t>Účinnosť</w:t>
      </w:r>
    </w:p>
    <w:p w:rsidR="00E9688F" w:rsidRPr="00E9688F" w:rsidP="00E9688F">
      <w:pPr>
        <w:rPr>
          <w:rFonts w:ascii="Times New Roman" w:hAnsi="Times New Roman" w:cs="Times New Roman"/>
        </w:rPr>
      </w:pPr>
    </w:p>
    <w:p w:rsidR="00CD65B0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  <w:r w:rsidRPr="00E9688F">
        <w:rPr>
          <w:rFonts w:ascii="Arial Narrow" w:hAnsi="Arial Narrow" w:cs="Times New Roman"/>
          <w:sz w:val="22"/>
          <w:szCs w:val="22"/>
        </w:rPr>
        <w:t xml:space="preserve">Tento zákon nadobúda účinnosť </w:t>
      </w:r>
      <w:r w:rsidRPr="00E9688F">
        <w:rPr>
          <w:rFonts w:ascii="Arial Narrow" w:hAnsi="Arial Narrow" w:cs="Times New Roman"/>
          <w:color w:val="000000"/>
          <w:sz w:val="22"/>
          <w:szCs w:val="22"/>
        </w:rPr>
        <w:t>1. mája 2010.</w:t>
      </w:r>
    </w:p>
    <w:p w:rsidR="00E9688F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</w:p>
    <w:p w:rsidR="00E9688F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</w:p>
    <w:p w:rsidR="00E9688F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</w:p>
    <w:p w:rsidR="00E9688F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</w:p>
    <w:p w:rsidR="00E9688F">
      <w:pPr>
        <w:pStyle w:val="odsek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prezident Slovenskej republiky</w:t>
      </w: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predseda Národnej rady Slovenskej republiky</w:t>
      </w: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E9688F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predseda vlády Slovenskej republiky</w:t>
      </w: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P="00E9688F">
      <w:pPr>
        <w:pStyle w:val="odsek"/>
        <w:jc w:val="center"/>
        <w:rPr>
          <w:rFonts w:ascii="Arial Narrow" w:hAnsi="Arial Narrow" w:cs="Times New Roman"/>
          <w:color w:val="000000"/>
          <w:sz w:val="22"/>
          <w:szCs w:val="22"/>
        </w:rPr>
      </w:pPr>
    </w:p>
    <w:p w:rsidR="006E0D88" w:rsidRPr="00E9688F" w:rsidP="00E9688F">
      <w:pPr>
        <w:pStyle w:val="odsek"/>
        <w:jc w:val="center"/>
        <w:rPr>
          <w:rFonts w:ascii="Arial Narrow" w:hAnsi="Arial Narrow" w:cs="Times New Roman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B1B2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C3C19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BB1B2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74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 xml:space="preserve">) </w:t>
      </w:r>
      <w:r w:rsidR="00BB1B2D">
        <w:rPr>
          <w:rFonts w:ascii="Times New Roman" w:hAnsi="Times New Roman" w:cs="Times New Roman"/>
          <w:color w:val="000000"/>
        </w:rPr>
        <w:t>Zákon Národnej rady Slovenskej republiky č. 152/1995 Z. z. o potravinách v znení neskorších predpisov.</w:t>
      </w:r>
    </w:p>
  </w:footnote>
  <w:footnote w:id="3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 xml:space="preserve">) </w:t>
      </w:r>
      <w:r w:rsidR="00BB1B2D">
        <w:rPr>
          <w:rFonts w:ascii="Times New Roman" w:hAnsi="Times New Roman" w:cs="Times New Roman"/>
          <w:color w:val="000000"/>
        </w:rPr>
        <w:t>§ 71 ods. 2 zákona č. 222/2004 Z. z. o dani z pridanej hodnoty v znení neskorších predpisov.</w:t>
      </w:r>
    </w:p>
  </w:footnote>
  <w:footnote w:id="4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>) Napríklad zákon č. 128/2002 Z. z. o štátnej kontrole vnútorného trhu vo veciach ochrany spotrebiteľa a o zmene a doplnení niektorých zákonov v znení neskorších predpisov, zákon č. 39/2007 Z. z. o veterinárnej starostlivosti v znení neskorších predpisov.</w:t>
      </w:r>
    </w:p>
  </w:footnote>
  <w:footnote w:id="5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 xml:space="preserve">) Napríklad zákon Národnej rady Slovenskej republiky č. 10/1996 Z. z. o kontrole v štátnej správe v znení neskorších predpisov, zákon </w:t>
      </w:r>
      <w:r w:rsidR="00BB1B2D">
        <w:rPr>
          <w:rFonts w:ascii="Times New Roman" w:hAnsi="Times New Roman" w:cs="Times New Roman"/>
          <w:color w:val="000000"/>
        </w:rPr>
        <w:t xml:space="preserve">č. 222/2004 Z. z. o dani z pridanej hodnoty v znení neskorších predpisov, </w:t>
      </w:r>
      <w:r w:rsidR="00BB1B2D">
        <w:rPr>
          <w:rFonts w:ascii="Times New Roman" w:hAnsi="Times New Roman" w:cs="Times New Roman"/>
        </w:rPr>
        <w:t xml:space="preserve">zákon č. 128/2002 Z. z., zákon č. 39/2007 Z. z. o veterinárnej starostlivosti v znení neskorších predpisov, </w:t>
      </w:r>
      <w:r w:rsidR="00BB1B2D">
        <w:rPr>
          <w:rFonts w:ascii="Times New Roman" w:hAnsi="Times New Roman" w:cs="Times New Roman"/>
          <w:color w:val="000000"/>
        </w:rPr>
        <w:t>zákon č. 222/2004 Z. z., zákon č. 431/2002 Z .z. o účtovníctve v znení neskorších predpisov.</w:t>
      </w:r>
    </w:p>
  </w:footnote>
  <w:footnote w:id="6">
    <w:p>
      <w:pPr>
        <w:pStyle w:val="FootnoteText"/>
        <w:rPr>
          <w:rFonts w:ascii="Times New Roman" w:hAnsi="Times New Roman" w:cs="Times New Roman"/>
        </w:rPr>
      </w:pPr>
      <w:r w:rsidR="00BB1B2D">
        <w:rPr>
          <w:rFonts w:ascii="Times New Roman" w:hAnsi="Times New Roman" w:cs="Times New Roman"/>
          <w:vertAlign w:val="superscript"/>
        </w:rPr>
        <w:footnoteRef/>
      </w:r>
      <w:r w:rsidR="00BB1B2D">
        <w:rPr>
          <w:rFonts w:ascii="Times New Roman" w:hAnsi="Times New Roman" w:cs="Times New Roman"/>
        </w:rPr>
        <w:t>) Zákon č. 25/2006 Z. z. o verejnom obstarávaní a o zmene a doplnení niektorých zákonov</w:t>
      </w:r>
      <w:r w:rsidR="00BB1B2D">
        <w:rPr>
          <w:rFonts w:ascii="Times New Roman" w:hAnsi="Times New Roman" w:cs="Times New Roman"/>
          <w:color w:val="000000"/>
        </w:rPr>
        <w:t xml:space="preserve"> v znení neskorších prepisov.</w:t>
      </w:r>
    </w:p>
  </w:footnote>
  <w:footnote w:id="7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>) § 8 až 15 zákona Národnej rady Slovenskej republiky č. 10/1996 Z. z.</w:t>
      </w:r>
    </w:p>
  </w:footnote>
  <w:footnote w:id="8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>) § 11 ods. 1 písm. a) a b) a § 12 ods. 2 až 5 zákona č. 10/1996 Z. z.</w:t>
      </w:r>
    </w:p>
  </w:footnote>
  <w:footnote w:id="9">
    <w:p>
      <w:pPr>
        <w:pStyle w:val="FootnoteText"/>
        <w:rPr>
          <w:rFonts w:ascii="Times New Roman" w:hAnsi="Times New Roman" w:cs="Times New Roman"/>
        </w:rPr>
      </w:pPr>
      <w:r w:rsidR="00BB1B2D">
        <w:rPr>
          <w:rStyle w:val="FootnoteReference"/>
          <w:rFonts w:ascii="Times New Roman" w:hAnsi="Times New Roman" w:cs="Times New Roman"/>
        </w:rPr>
        <w:footnoteRef/>
      </w:r>
      <w:r w:rsidR="00BB1B2D">
        <w:rPr>
          <w:rFonts w:ascii="Times New Roman" w:hAnsi="Times New Roman" w:cs="Times New Roman"/>
        </w:rPr>
        <w:t xml:space="preserve">) </w:t>
      </w:r>
      <w:r w:rsidR="00BB1B2D">
        <w:rPr>
          <w:rFonts w:ascii="Times New Roman" w:hAnsi="Times New Roman" w:cs="Times New Roman"/>
          <w:color w:val="000000"/>
        </w:rPr>
        <w:t>Zákon č. 71/1967 Zb. o správnom konaní (správny poriadok)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pPr>
        <w:ind w:left="0"/>
      </w:pPr>
    </w:lvl>
  </w:abstractNum>
  <w:abstractNum w:abstractNumId="1">
    <w:nsid w:val="09C91712"/>
    <w:multiLevelType w:val="hybridMultilevel"/>
    <w:tmpl w:val="6034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9198C"/>
    <w:multiLevelType w:val="hybridMultilevel"/>
    <w:tmpl w:val="B53C5B0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00D3F"/>
    <w:multiLevelType w:val="hybridMultilevel"/>
    <w:tmpl w:val="B4CCA7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2270E"/>
    <w:multiLevelType w:val="hybridMultilevel"/>
    <w:tmpl w:val="11DCABC6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 w:val="0"/>
        <w:i w:val="0"/>
        <w:strike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516CD"/>
    <w:multiLevelType w:val="hybridMultilevel"/>
    <w:tmpl w:val="FC5AD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7139B"/>
    <w:multiLevelType w:val="singleLevel"/>
    <w:tmpl w:val="C1BCCB8E"/>
    <w:lvl w:ilvl="0">
      <w:start w:val="1"/>
      <w:numFmt w:val="decimal"/>
      <w:lvlText w:val="%1."/>
      <w:legacy w:legacy="1" w:legacySpace="0" w:legacyIndent="235"/>
      <w:lvlJc w:val="left"/>
      <w:pPr>
        <w:ind w:left="0"/>
      </w:pPr>
      <w:rPr>
        <w:rFonts w:ascii="Times New Roman" w:hAnsi="Times New Roman"/>
        <w:rtl w:val="0"/>
      </w:rPr>
    </w:lvl>
  </w:abstractNum>
  <w:abstractNum w:abstractNumId="7">
    <w:nsid w:val="34EE5864"/>
    <w:multiLevelType w:val="hybridMultilevel"/>
    <w:tmpl w:val="652CAD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D08A4"/>
    <w:multiLevelType w:val="hybridMultilevel"/>
    <w:tmpl w:val="8CF8B200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(%2)"/>
      <w:lvlJc w:val="left"/>
      <w:pPr>
        <w:tabs>
          <w:tab w:val="num" w:pos="2250"/>
        </w:tabs>
        <w:ind w:left="2250" w:hanging="117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96B4A"/>
    <w:multiLevelType w:val="hybridMultilevel"/>
    <w:tmpl w:val="AB3A7E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36460"/>
    <w:multiLevelType w:val="hybridMultilevel"/>
    <w:tmpl w:val="0BFC0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223D4"/>
    <w:multiLevelType w:val="singleLevel"/>
    <w:tmpl w:val="C1BCCB8E"/>
    <w:lvl w:ilvl="0">
      <w:start w:val="1"/>
      <w:numFmt w:val="decimal"/>
      <w:lvlText w:val="%1."/>
      <w:legacy w:legacy="1" w:legacySpace="0" w:legacyIndent="235"/>
      <w:lvlJc w:val="left"/>
      <w:pPr>
        <w:ind w:left="0"/>
      </w:pPr>
      <w:rPr>
        <w:rFonts w:ascii="Times New Roman" w:hAnsi="Times New Roman"/>
        <w:rtl w:val="0"/>
      </w:rPr>
    </w:lvl>
  </w:abstractNum>
  <w:abstractNum w:abstractNumId="12">
    <w:nsid w:val="474D22D8"/>
    <w:multiLevelType w:val="hybridMultilevel"/>
    <w:tmpl w:val="33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43D44"/>
    <w:multiLevelType w:val="hybridMultilevel"/>
    <w:tmpl w:val="5D7A852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93507"/>
    <w:multiLevelType w:val="hybridMultilevel"/>
    <w:tmpl w:val="BCA4555A"/>
    <w:lvl w:ilvl="0">
      <w:start w:val="1"/>
      <w:numFmt w:val="decimal"/>
      <w:pStyle w:val="a"/>
      <w:lvlText w:val="§ %1"/>
      <w:lvlJc w:val="center"/>
      <w:pPr>
        <w:tabs>
          <w:tab w:val="num" w:pos="2520"/>
        </w:tabs>
        <w:ind w:left="1758" w:hanging="397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decimal"/>
      <w:lvlText w:val="(%2)"/>
      <w:lvlJc w:val="left"/>
      <w:pPr>
        <w:tabs>
          <w:tab w:val="num" w:pos="-31680"/>
        </w:tabs>
        <w:ind w:left="0" w:firstLine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rtl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</w:lvl>
    <w:lvl w:ilvl="4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D1ABC"/>
    <w:multiLevelType w:val="hybridMultilevel"/>
    <w:tmpl w:val="3758A0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E1CFF"/>
    <w:multiLevelType w:val="singleLevel"/>
    <w:tmpl w:val="2BB059A4"/>
    <w:lvl w:ilvl="0">
      <w:start w:val="1"/>
      <w:numFmt w:val="decimal"/>
      <w:lvlText w:val="%1."/>
      <w:legacy w:legacy="1" w:legacySpace="0" w:legacyIndent="245"/>
      <w:lvlJc w:val="left"/>
      <w:pPr>
        <w:ind w:left="0"/>
      </w:pPr>
      <w:rPr>
        <w:rFonts w:ascii="Times New Roman" w:hAnsi="Times New Roman"/>
        <w:rtl w:val="0"/>
      </w:rPr>
    </w:lvl>
  </w:abstractNum>
  <w:abstractNum w:abstractNumId="17">
    <w:nsid w:val="67F332C2"/>
    <w:multiLevelType w:val="hybridMultilevel"/>
    <w:tmpl w:val="632C18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26760"/>
    <w:multiLevelType w:val="hybridMultilevel"/>
    <w:tmpl w:val="65FE415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5E692A"/>
    <w:multiLevelType w:val="hybridMultilevel"/>
    <w:tmpl w:val="E2DC9A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34AB6"/>
    <w:multiLevelType w:val="hybridMultilevel"/>
    <w:tmpl w:val="64ACB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33632"/>
    <w:multiLevelType w:val="hybridMultilevel"/>
    <w:tmpl w:val="9E92B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60D51"/>
    <w:multiLevelType w:val="hybridMultilevel"/>
    <w:tmpl w:val="3724C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343F6"/>
    <w:multiLevelType w:val="hybridMultilevel"/>
    <w:tmpl w:val="937C6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F0EF2"/>
    <w:multiLevelType w:val="hybridMultilevel"/>
    <w:tmpl w:val="F002F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22"/>
  </w:num>
  <w:num w:numId="8">
    <w:abstractNumId w:val="9"/>
  </w:num>
  <w:num w:numId="9">
    <w:abstractNumId w:val="21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-"/>
        <w:legacy w:legacy="1" w:legacySpace="0" w:legacyIndent="130"/>
        <w:lvlJc w:val="left"/>
        <w:pPr>
          <w:ind w:left="0"/>
        </w:pPr>
        <w:rPr>
          <w:rFonts w:ascii="Times New Roman" w:hAnsi="Times New Roman"/>
          <w:rtl w:val="0"/>
        </w:rPr>
      </w:lvl>
    </w:lvlOverride>
  </w:num>
  <w:num w:numId="17">
    <w:abstractNumId w:val="18"/>
  </w:num>
  <w:num w:numId="18">
    <w:abstractNumId w:val="6"/>
  </w:num>
  <w:num w:numId="19">
    <w:abstractNumId w:val="17"/>
  </w:num>
  <w:num w:numId="20">
    <w:abstractNumId w:val="15"/>
  </w:num>
  <w:num w:numId="21">
    <w:abstractNumId w:val="3"/>
  </w:num>
  <w:num w:numId="22">
    <w:abstractNumId w:val="14"/>
  </w:num>
  <w:num w:numId="23">
    <w:abstractNumId w:val="8"/>
  </w:num>
  <w:num w:numId="24">
    <w:abstractNumId w:val="4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</w:num>
  <w:num w:numId="41">
    <w:abstractNumId w:val="4"/>
    <w:lvlOverride w:ilvl="0">
      <w:startOverride w:val="1"/>
    </w:lvlOverride>
  </w:num>
  <w:num w:numId="42">
    <w:abstractNumId w:val="19"/>
  </w:num>
  <w:num w:numId="43">
    <w:abstractNumId w:val="4"/>
  </w:num>
  <w:num w:numId="44">
    <w:abstractNumId w:val="8"/>
  </w:num>
  <w:num w:numId="45">
    <w:abstractNumId w:val="8"/>
  </w:num>
  <w:num w:numId="46">
    <w:abstractNumId w:val="8"/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3D31"/>
    <w:rsid w:val="002E5D05"/>
    <w:rsid w:val="00344228"/>
    <w:rsid w:val="005C3C19"/>
    <w:rsid w:val="006E0D88"/>
    <w:rsid w:val="00BB1B2D"/>
    <w:rsid w:val="00CD65B0"/>
    <w:rsid w:val="00E968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pPr>
      <w:spacing w:before="120"/>
      <w:jc w:val="both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  <w:style w:type="paragraph" w:customStyle="1" w:styleId="Nadpisparagrafu">
    <w:name w:val="Nadpis paragrafu"/>
    <w:basedOn w:val="Normal"/>
    <w:next w:val="Normal"/>
    <w:pPr>
      <w:keepLines/>
      <w:spacing w:before="240"/>
      <w:jc w:val="center"/>
      <w:outlineLvl w:val="5"/>
    </w:pPr>
    <w:rPr>
      <w:b/>
      <w:szCs w:val="20"/>
      <w:lang w:val="cs-CZ"/>
    </w:rPr>
  </w:style>
  <w:style w:type="paragraph" w:styleId="BalloonText">
    <w:name w:val="Balloon Text"/>
    <w:basedOn w:val="Normal"/>
    <w:semiHidden/>
    <w:pPr>
      <w:jc w:val="both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customStyle="1" w:styleId="a">
    <w:name w:val="§"/>
    <w:basedOn w:val="Normal"/>
    <w:next w:val="Heading2"/>
    <w:pPr>
      <w:numPr>
        <w:ilvl w:val="0"/>
        <w:numId w:val="22"/>
      </w:numPr>
      <w:tabs>
        <w:tab w:val="left" w:pos="425"/>
      </w:tabs>
      <w:suppressAutoHyphens/>
      <w:spacing w:before="360" w:after="120"/>
      <w:ind w:firstLine="0"/>
      <w:jc w:val="center"/>
    </w:pPr>
    <w:rPr>
      <w:b/>
      <w:color w:val="000000"/>
      <w:szCs w:val="20"/>
    </w:rPr>
  </w:style>
  <w:style w:type="paragraph" w:customStyle="1" w:styleId="adda">
    <w:name w:val="adda"/>
    <w:basedOn w:val="Normal"/>
    <w:pPr>
      <w:numPr>
        <w:ilvl w:val="0"/>
        <w:numId w:val="40"/>
      </w:numPr>
      <w:tabs>
        <w:tab w:val="left" w:pos="0"/>
      </w:tabs>
      <w:ind w:left="357" w:hanging="357"/>
      <w:jc w:val="both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odsek">
    <w:name w:val="odsek"/>
    <w:basedOn w:val="Normal"/>
    <w:pPr>
      <w:spacing w:before="120" w:after="120"/>
      <w:ind w:firstLine="709"/>
      <w:jc w:val="both"/>
    </w:pPr>
  </w:style>
  <w:style w:type="paragraph" w:customStyle="1" w:styleId="odsek1">
    <w:name w:val="odsek1"/>
    <w:basedOn w:val="Normal"/>
    <w:pPr>
      <w:numPr>
        <w:ilvl w:val="0"/>
        <w:numId w:val="24"/>
      </w:numPr>
      <w:tabs>
        <w:tab w:val="left" w:pos="0"/>
      </w:tabs>
      <w:ind w:firstLine="709"/>
      <w:jc w:val="both"/>
    </w:pPr>
  </w:style>
  <w:style w:type="paragraph" w:styleId="FootnoteText">
    <w:name w:val="footnote text"/>
    <w:basedOn w:val="Normal"/>
    <w:semiHidden/>
    <w:pPr>
      <w:spacing w:before="0" w:after="0"/>
      <w:ind w:left="227" w:hanging="227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1802</Words>
  <Characters>10278</Characters>
  <Application>Microsoft Office Word</Application>
  <DocSecurity>0</DocSecurity>
  <Lines>0</Lines>
  <Paragraphs>0</Paragraphs>
  <ScaleCrop>false</ScaleCrop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 á v r h)</dc:title>
  <dc:creator>jan.pocci</dc:creator>
  <cp:lastModifiedBy>Administrator</cp:lastModifiedBy>
  <cp:revision>2</cp:revision>
  <cp:lastPrinted>2010-03-04T14:45:00Z</cp:lastPrinted>
  <dcterms:created xsi:type="dcterms:W3CDTF">2010-03-08T13:39:00Z</dcterms:created>
  <dcterms:modified xsi:type="dcterms:W3CDTF">2010-03-08T13:39:00Z</dcterms:modified>
</cp:coreProperties>
</file>