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5E203D" w:rsidP="005E203D">
      <w:pPr>
        <w:pStyle w:val="BodyText"/>
        <w:rPr>
          <w:b/>
          <w:bCs/>
        </w:rPr>
      </w:pPr>
      <w:r>
        <w:t xml:space="preserve">                                     </w:t>
      </w:r>
      <w:r>
        <w:rPr>
          <w:b/>
          <w:bCs/>
        </w:rPr>
        <w:t>D ô v o d o v á  s p r á v a</w:t>
      </w:r>
    </w:p>
    <w:p w:rsidR="005E203D" w:rsidP="005E203D">
      <w:pPr>
        <w:pStyle w:val="BodyText"/>
        <w:rPr>
          <w:b/>
          <w:bCs/>
        </w:rPr>
      </w:pPr>
    </w:p>
    <w:p w:rsidR="005E203D" w:rsidP="005E203D">
      <w:pPr>
        <w:pStyle w:val="BodyText"/>
        <w:rPr>
          <w:b/>
          <w:bCs/>
        </w:rPr>
      </w:pPr>
    </w:p>
    <w:p w:rsidR="005E203D" w:rsidP="005E203D">
      <w:pPr>
        <w:pStyle w:val="BodyText"/>
        <w:rPr>
          <w:b/>
          <w:bCs/>
        </w:rPr>
      </w:pPr>
      <w:r>
        <w:rPr>
          <w:b/>
          <w:bCs/>
        </w:rPr>
        <w:t>A. Všeobecná časť</w:t>
      </w:r>
    </w:p>
    <w:p w:rsidR="005E203D" w:rsidP="005E203D">
      <w:pPr>
        <w:pStyle w:val="BodyText"/>
      </w:pPr>
    </w:p>
    <w:p w:rsidR="005E203D" w:rsidP="005E203D">
      <w:pPr>
        <w:pStyle w:val="BodyText"/>
      </w:pPr>
      <w:r>
        <w:t xml:space="preserve">     Dôvodom na vypracovanie tohto návrhu zákona o čiastočnom odškodnení vkladateľov do nebankových subjektov je skutočnosť, že štát </w:t>
      </w:r>
      <w:r>
        <w:rPr>
          <w:b/>
          <w:bCs/>
        </w:rPr>
        <w:t xml:space="preserve">z titulu nečinnosti  príslušných štátnych orgánov, nesie určitý podiel spoluzodpovednosti za škody, </w:t>
      </w:r>
      <w:r>
        <w:t>ktoré boli nebankovými subjektami spôsobené občanom– vkladateľom do týchto nebankových subjektov.</w:t>
      </w:r>
    </w:p>
    <w:p w:rsidR="005E203D" w:rsidP="005E203D">
      <w:pPr>
        <w:pStyle w:val="BodyText"/>
      </w:pPr>
    </w:p>
    <w:p w:rsidR="005E203D" w:rsidP="005E203D">
      <w:pPr>
        <w:pStyle w:val="BodyText"/>
      </w:pPr>
      <w:r>
        <w:t xml:space="preserve">      Cieľom predloženého návrhu zákona je upraviť podmienky na čiastočné odškodnenie osôb, ktoré boli vkladateľmi do nebankových subjektov, a to z  dôvodu, že príslušné štátne orgány, na rozdiel od občanov – vkladateľov, mali dostatočné informácie, prehľad a vedomosti o vysokej rizikovosti vkladov do týchto nebankových inštitúcií. Zároveň mali vedomosť o porušovaní zákona zo strany nebankových subjektov. Napriek tomu, že už mali skúsenosť s podvodným konaním nebankových subjektov aj v predchádzajúcich rokoch, v prípade uvedených subjektov nekonali dôsledne a rázne proti nim nezakročili a nezabránili tak defraudácii miliardových vkladov občanov – vkladateľov do týchto nebankových subjektov.</w:t>
      </w:r>
    </w:p>
    <w:p w:rsidR="005E203D" w:rsidP="005E203D">
      <w:pPr>
        <w:pStyle w:val="BodyText"/>
      </w:pPr>
    </w:p>
    <w:p w:rsidR="005E203D" w:rsidP="005E203D">
      <w:pPr>
        <w:pStyle w:val="BodyText"/>
      </w:pPr>
      <w:r>
        <w:t xml:space="preserve">    Štát si v tomto prípade, tak kľúčovom z pohľadu reálnej sociálnej situácie mnohých občanov – vkladateľov, najmä dôchodcov, v zásadnej miere neplnil svoju úlohu pri vedomí si faktov a riziku stavu. Nečinne sa prizeral porušovaniu </w:t>
      </w:r>
      <w:r>
        <w:rPr>
          <w:b/>
          <w:bCs/>
        </w:rPr>
        <w:t xml:space="preserve">základných práv jeho občanov </w:t>
      </w:r>
      <w:r>
        <w:t xml:space="preserve">a preto má povinnosť za túto nečinnosť niesť určitý diel zodpovednosti. </w:t>
      </w:r>
    </w:p>
    <w:p w:rsidR="005E203D" w:rsidP="005E203D">
      <w:pPr>
        <w:pStyle w:val="BodyText"/>
      </w:pPr>
    </w:p>
    <w:p w:rsidR="005E203D" w:rsidP="005E203D">
      <w:pPr>
        <w:pStyle w:val="BodyText"/>
      </w:pPr>
      <w:r>
        <w:t xml:space="preserve">     Konaním nebankových subjektov a nečinnosťou štátnych orgánov boli porušené základné ľudské práva a slobody občanov. Na jednej strane tu síce existoval dobrovoľný komerčný vzťah medzi občanom – vkladateľom a finančnou inštitúciou /nebankovým subjektom/ do ktorého štát prostredníctvom svojich orgánov nebol oprávnený vstupovať, na druhej strane si štát však svoju povinnosť zabezpečiť všetkými zákonnými prostriedkami ochranu majetku svojich občanov nesplnil.</w:t>
      </w:r>
    </w:p>
    <w:p w:rsidR="005E203D" w:rsidP="005E203D">
      <w:pPr>
        <w:pStyle w:val="BodyText"/>
      </w:pPr>
    </w:p>
    <w:p w:rsidR="005E203D" w:rsidP="005E203D">
      <w:pPr>
        <w:pStyle w:val="BodyText"/>
      </w:pPr>
      <w:r>
        <w:t xml:space="preserve">     Národná banka Slovenska /NBS/ od začiatku roka 1998 dala síce niekoľko podnetov na orgány Finančnej polície, aby preverili reklamované a inzerované aktivity nebankových subjektov, a aj predstavitelia NBS poukázali na to, že činnosť nebankových subjektov je z hľadiska zákona podozrivá a že s takýmto spôsobom investovania peňazí je pre vkladateľov spojené určité riziko a aj Ministerstvo financií SR upozorňovalo na riziká, ktoré sú spojené s investovaním do nelicencovaných subjektov, toto všetko bolo nedostatočné a doslova prevalcované masívnou  reklamou týchto subjektov, najmä v televízii.</w:t>
      </w:r>
    </w:p>
    <w:p w:rsidR="005E203D" w:rsidP="005E203D">
      <w:pPr>
        <w:pStyle w:val="BodyText"/>
      </w:pPr>
      <w:r>
        <w:t>Štát si v zásadnej miere neplnil svoju úlohu a viac menej sa iba prizeral, resp. prijímal opatrenia, ktoré síce skomplikovali podnikanie nebankových subjektov, ale v konečnom  dôsledku nezabránil defraudácii miliardových vkladov občanov – vkladateľov.</w:t>
      </w:r>
    </w:p>
    <w:p w:rsidR="005E203D" w:rsidP="005E203D">
      <w:pPr>
        <w:pStyle w:val="BodyText"/>
      </w:pPr>
    </w:p>
    <w:p w:rsidR="005E203D" w:rsidP="005E203D">
      <w:pPr>
        <w:pStyle w:val="BodyText"/>
      </w:pPr>
      <w:r>
        <w:t xml:space="preserve">     Napriek tomu, že existovali jasné signály, že vklady občanov – vkladateľov sú reálne ohrozené, že existovali spôsoby a nástroje, ktoré mohol štát aplikovať na kontrolu a preverovanie skutočného stavu vnútornej štruktúry zdrojov a systému financovania vo vnútri týchto nebankových inštitúcií – analýzou daňových priznaní, uvalením nútenej správy na subjekty, včasným blokovaním bankových účtov atď., štátne orgány nekonali. Príslušné štátne orgány mali využiť svoje kompetencie a vyhlásiť napr. reklamu nebankových subjektov za klamlivú a mali zakázať jej vysielanie. Bol by to jasný signál pre veľkú časť verejnosti, že s nebankovými subjektami nie je niečo v poriadku. Štát mal nástroje  na to, aby mohol zaistiť majetok nebankových subjektov ešte pred ich definitívnym krachom a zabezpečiť tak vyplatenie aspoň časti vkladov všetkých veriteľov. </w:t>
      </w:r>
    </w:p>
    <w:p w:rsidR="005E203D" w:rsidP="005E203D">
      <w:pPr>
        <w:pStyle w:val="BodyText"/>
      </w:pPr>
      <w:r>
        <w:t xml:space="preserve">     </w:t>
      </w:r>
      <w:r>
        <w:rPr>
          <w:b/>
          <w:bCs/>
        </w:rPr>
        <w:t>Z dostupných dôkazov vyplýva, že príslušné štátne orgány mali dostatok informácií o porušovaní zákonnosti</w:t>
      </w:r>
      <w:r>
        <w:t>, disponovali dostatkom nástrojov na zamedzenie jej porušovania, ale napriek tomu nekonali, prípadne konali povrchne, zdĺhavo, čím umožnili nebankovým subjektom páchať trestnú činnosť, za čo musí niesť istý diel spoluzodpovednosti štát.</w:t>
      </w:r>
    </w:p>
    <w:p w:rsidR="005E203D" w:rsidP="005E203D">
      <w:pPr>
        <w:pStyle w:val="BodyText"/>
      </w:pPr>
    </w:p>
    <w:p w:rsidR="005E203D" w:rsidP="005E203D">
      <w:pPr>
        <w:pStyle w:val="BodyText"/>
        <w:rPr>
          <w:b/>
          <w:bCs/>
        </w:rPr>
      </w:pPr>
      <w:r>
        <w:t xml:space="preserve">     Veríme, že trestnoprávnu zodpovednosť za spôsobenú škodu veriteľom nebankových subjektov ponesú ich majitelia a kona</w:t>
      </w:r>
      <w:r>
        <w:t xml:space="preserve">telia. </w:t>
      </w:r>
      <w:r>
        <w:rPr>
          <w:b/>
          <w:bCs/>
        </w:rPr>
        <w:t>Spoluzodpovednosť za spôsobenú škodu veriteľom nebankových subjektov však musí niesť aj štát, a to za nekvalitnú legislatívu, za to, že príslušné orgány tým, že nekonali podľa zákonov, prípadne konali nedôsledne a zdĺhavo, umožnili páchanie trestnej činnosti,  a aj tým porušovanie základných práv a slobôd občanov.</w:t>
      </w:r>
    </w:p>
    <w:p w:rsidR="005E203D" w:rsidP="005E203D">
      <w:pPr>
        <w:pStyle w:val="BodyText"/>
        <w:rPr>
          <w:b/>
          <w:bCs/>
        </w:rPr>
      </w:pPr>
    </w:p>
    <w:p w:rsidR="005E203D" w:rsidP="005E203D">
      <w:pPr>
        <w:pStyle w:val="BodyText"/>
      </w:pPr>
      <w:r>
        <w:rPr>
          <w:b/>
          <w:bCs/>
        </w:rPr>
        <w:t xml:space="preserve">     </w:t>
      </w:r>
      <w:r>
        <w:t>V Českej republike, v ktorej tiež mali v minulosti podobné skúsenosti s činnosťou obdobných nebankových subjektov ako v Slovenskej republike, s tzv. družstevnými záložňami – kampeličkami, príslušné štátne orgány postupovali razantnejšie a tieto nebankové subjekty museli vďaka zásahom štátu v krátkom čase odísť z trhu. Štátne orgány Českej republiky napriek tomu všetkému uznali svoj diel zodpovednosti za svoju nečinnosť a za krach tzv. kampeličiek a klientov tejto nebankovej inštitúcie aspoň čiastočne odškodnili.</w:t>
      </w:r>
    </w:p>
    <w:p w:rsidR="005E203D" w:rsidP="005E203D">
      <w:pPr>
        <w:pStyle w:val="BodyText"/>
      </w:pPr>
    </w:p>
    <w:p w:rsidR="005E203D" w:rsidP="005E203D">
      <w:pPr>
        <w:pStyle w:val="BodyText"/>
      </w:pPr>
      <w:r>
        <w:t xml:space="preserve">     Na záver si dovoľujeme tvrdiť, že prijatím tohto zákona o čiastočnom odškodnení vkladateľov do nebankových subjektov a následne, čo i len čiastočné odškodnenie občanov – vkladateľov, je najrýchlejšou a napriek </w:t>
      </w:r>
      <w:r>
        <w:rPr>
          <w:b/>
          <w:bCs/>
        </w:rPr>
        <w:t>zaťaženiu štátneho rozpočtu vo výške cca 120 miliónov €</w:t>
      </w:r>
      <w:r>
        <w:t xml:space="preserve"> aj najlacnejšou formou urovnania tejto kauzy, ktorá vznikla žiaľ aj z titulu nedôslednosti a nečinnosti príslušných orgánov štátnej moci.</w:t>
      </w:r>
    </w:p>
    <w:p w:rsidR="005E203D" w:rsidP="005E203D">
      <w:pPr>
        <w:pStyle w:val="BodyText"/>
      </w:pPr>
    </w:p>
    <w:p w:rsidR="005E203D" w:rsidP="005E203D">
      <w:pPr>
        <w:pStyle w:val="BodyText"/>
      </w:pPr>
      <w:r>
        <w:t>Návrh zákona nemá dosah na rozpočty obcí a na rozpočty vyšších územných celkov.</w:t>
      </w:r>
    </w:p>
    <w:p w:rsidR="005E203D" w:rsidP="005E203D">
      <w:pPr>
        <w:pStyle w:val="BodyText"/>
      </w:pPr>
      <w:r>
        <w:t>Návrh zákona nemá bezprostredný vplyv na zamestnanosť a tvorbu pracovných miest.</w:t>
      </w:r>
    </w:p>
    <w:p w:rsidR="005E203D" w:rsidP="005E203D">
      <w:pPr>
        <w:pStyle w:val="BodyText"/>
      </w:pPr>
      <w:r>
        <w:t>Návrh zákona je v súlade s Ústavou SR a nie je v rozpore s medzinárodnými zmluvami, ktorými je Slovenská republika viazaná.</w:t>
      </w:r>
    </w:p>
    <w:p w:rsidR="005E203D" w:rsidP="005E203D">
      <w:pPr>
        <w:pStyle w:val="BodyText"/>
      </w:pPr>
      <w:r>
        <w:t xml:space="preserve">     </w:t>
      </w:r>
    </w:p>
    <w:p w:rsidR="005E203D" w:rsidP="005E203D">
      <w:pPr>
        <w:pStyle w:val="BodyText"/>
      </w:pPr>
    </w:p>
    <w:p w:rsidR="005E203D" w:rsidP="005E203D">
      <w:pPr>
        <w:pStyle w:val="BodyText"/>
      </w:pPr>
    </w:p>
    <w:p w:rsidR="005E203D" w:rsidP="005E203D">
      <w:pPr>
        <w:pStyle w:val="BodyText"/>
      </w:pPr>
    </w:p>
    <w:p w:rsidR="005E203D" w:rsidP="005E203D">
      <w:pPr>
        <w:pStyle w:val="BodyText"/>
      </w:pPr>
    </w:p>
    <w:p w:rsidR="005E203D" w:rsidP="005E203D">
      <w:pPr>
        <w:pStyle w:val="BodyText"/>
      </w:pPr>
    </w:p>
    <w:p w:rsidR="005E203D" w:rsidP="005E203D">
      <w:pPr>
        <w:pStyle w:val="BodyText"/>
        <w:rPr>
          <w:b/>
          <w:bCs/>
        </w:rPr>
      </w:pPr>
    </w:p>
    <w:p w:rsidR="005E203D" w:rsidP="005E203D">
      <w:pPr>
        <w:pStyle w:val="BodyText"/>
        <w:rPr>
          <w:b/>
          <w:bCs/>
        </w:rPr>
      </w:pPr>
    </w:p>
    <w:p w:rsidR="005E203D" w:rsidP="005E203D">
      <w:pPr>
        <w:pStyle w:val="BodyText"/>
        <w:rPr>
          <w:b/>
          <w:bCs/>
        </w:rPr>
      </w:pPr>
    </w:p>
    <w:p w:rsidR="005E203D" w:rsidP="005E203D">
      <w:pPr>
        <w:pStyle w:val="BodyText"/>
        <w:rPr>
          <w:b/>
          <w:bCs/>
        </w:rPr>
      </w:pPr>
    </w:p>
    <w:p w:rsidR="005E203D" w:rsidP="005E203D">
      <w:pPr>
        <w:pStyle w:val="BodyText"/>
        <w:rPr>
          <w:b/>
          <w:bCs/>
        </w:rPr>
      </w:pPr>
      <w:r>
        <w:rPr>
          <w:b/>
          <w:bCs/>
        </w:rPr>
        <w:t xml:space="preserve">B. Osobitná časť </w:t>
      </w:r>
    </w:p>
    <w:p w:rsidR="005E203D" w:rsidP="005E203D">
      <w:pPr>
        <w:pStyle w:val="BodyText"/>
        <w:rPr>
          <w:b/>
          <w:bCs/>
        </w:rPr>
      </w:pPr>
    </w:p>
    <w:p w:rsidR="005E203D" w:rsidP="005E203D">
      <w:pPr>
        <w:pStyle w:val="BodyText"/>
        <w:rPr>
          <w:b/>
          <w:bCs/>
        </w:rPr>
      </w:pPr>
      <w:r>
        <w:rPr>
          <w:b/>
          <w:bCs/>
        </w:rPr>
        <w:t>K § 1</w:t>
      </w:r>
    </w:p>
    <w:p w:rsidR="005E203D" w:rsidP="005E203D">
      <w:pPr>
        <w:pStyle w:val="BodyText"/>
      </w:pPr>
      <w:r>
        <w:t xml:space="preserve">     Vyjadruje sa </w:t>
      </w:r>
      <w:r>
        <w:rPr>
          <w:b/>
          <w:bCs/>
        </w:rPr>
        <w:t xml:space="preserve">účel </w:t>
      </w:r>
      <w:r>
        <w:t>tohto návrhu zákona, ktorý upravuje podmienky pre čiastočné odškodnenie osôb finančnými inštitúciami HORIZONT SLOVAKIA a.s., B.M.G. INVEST s.r.o, DRUKOS a.s., BDV družstvo, AUTODRUKOS s.r.o, AGW HOLDING a.s., AGW s.r.o a SPOROINVEST a.s. a ďalšie</w:t>
      </w:r>
    </w:p>
    <w:p w:rsidR="005E203D" w:rsidP="005E203D">
      <w:pPr>
        <w:pStyle w:val="BodyText"/>
      </w:pPr>
    </w:p>
    <w:p w:rsidR="005E203D" w:rsidP="005E203D">
      <w:pPr>
        <w:pStyle w:val="BodyText"/>
      </w:pPr>
      <w:r>
        <w:rPr>
          <w:b/>
          <w:bCs/>
        </w:rPr>
        <w:t>K § 2</w:t>
      </w:r>
    </w:p>
    <w:p w:rsidR="005E203D" w:rsidP="005E203D">
      <w:pPr>
        <w:pStyle w:val="BodyText"/>
      </w:pPr>
    </w:p>
    <w:p w:rsidR="005E203D" w:rsidP="005E203D">
      <w:pPr>
        <w:pStyle w:val="BodyText"/>
        <w:rPr>
          <w:b/>
          <w:bCs/>
        </w:rPr>
      </w:pPr>
      <w:r>
        <w:rPr>
          <w:b/>
          <w:bCs/>
          <w:u w:val="single"/>
        </w:rPr>
        <w:t>K bodu 1</w:t>
      </w:r>
      <w:r>
        <w:rPr>
          <w:b/>
          <w:bCs/>
        </w:rPr>
        <w:t>.</w:t>
      </w:r>
    </w:p>
    <w:p w:rsidR="005E203D" w:rsidP="005E203D">
      <w:pPr>
        <w:pStyle w:val="BodyText"/>
      </w:pPr>
      <w:r>
        <w:t xml:space="preserve">    Vymedzuje sa pojem </w:t>
      </w:r>
      <w:r>
        <w:rPr>
          <w:b/>
          <w:bCs/>
        </w:rPr>
        <w:t>oprávnená osoba</w:t>
      </w:r>
      <w:r>
        <w:t>, ktorá je kompetentná žiadať čiastočné odškodnenie v zmysle predloženého návrhu zákona.</w:t>
      </w:r>
    </w:p>
    <w:p w:rsidR="005E203D" w:rsidP="005E203D">
      <w:pPr>
        <w:pStyle w:val="BodyText"/>
        <w:rPr>
          <w:b/>
          <w:bCs/>
        </w:rPr>
      </w:pPr>
    </w:p>
    <w:p w:rsidR="005E203D" w:rsidP="005E203D">
      <w:pPr>
        <w:pStyle w:val="BodyText"/>
        <w:rPr>
          <w:b/>
          <w:bCs/>
        </w:rPr>
      </w:pPr>
      <w:r>
        <w:rPr>
          <w:b/>
          <w:bCs/>
          <w:u w:val="single"/>
        </w:rPr>
        <w:t>K bodu 2</w:t>
      </w:r>
      <w:r>
        <w:rPr>
          <w:b/>
          <w:bCs/>
        </w:rPr>
        <w:t>.</w:t>
      </w:r>
    </w:p>
    <w:p w:rsidR="005E203D" w:rsidP="005E203D">
      <w:pPr>
        <w:pStyle w:val="BodyText"/>
        <w:rPr>
          <w:b/>
          <w:bCs/>
        </w:rPr>
      </w:pPr>
      <w:r>
        <w:t xml:space="preserve">    Vymedzuje sa pojem </w:t>
      </w:r>
      <w:r>
        <w:rPr>
          <w:b/>
          <w:bCs/>
        </w:rPr>
        <w:t>povinná osoba</w:t>
      </w:r>
      <w:r>
        <w:t>, ktorou je v zmysle predkladaného návrhu zákona Slovenská republika.</w:t>
      </w:r>
    </w:p>
    <w:p w:rsidR="005E203D" w:rsidP="005E203D">
      <w:pPr>
        <w:pStyle w:val="BodyText"/>
        <w:rPr>
          <w:b/>
          <w:bCs/>
        </w:rPr>
      </w:pPr>
    </w:p>
    <w:p w:rsidR="005E203D" w:rsidP="005E203D">
      <w:pPr>
        <w:pStyle w:val="BodyText"/>
        <w:rPr>
          <w:b/>
          <w:bCs/>
        </w:rPr>
      </w:pPr>
    </w:p>
    <w:p w:rsidR="005E203D" w:rsidP="005E203D">
      <w:pPr>
        <w:pStyle w:val="BodyText"/>
        <w:rPr>
          <w:b/>
          <w:bCs/>
        </w:rPr>
      </w:pPr>
      <w:r>
        <w:rPr>
          <w:b/>
          <w:bCs/>
          <w:u w:val="single"/>
        </w:rPr>
        <w:t>K bodu 3</w:t>
      </w:r>
      <w:r>
        <w:rPr>
          <w:b/>
          <w:bCs/>
        </w:rPr>
        <w:t>.</w:t>
      </w:r>
    </w:p>
    <w:p w:rsidR="005E203D" w:rsidP="005E203D">
      <w:pPr>
        <w:pStyle w:val="BodyText"/>
        <w:rPr>
          <w:b/>
          <w:bCs/>
        </w:rPr>
      </w:pPr>
      <w:r>
        <w:t xml:space="preserve">    Určuje sa zákonná lehota, šesť mesiacov odo dňa nadobudnutia účinnosti tohto zákona, v ktorej môže oprávnená osoba požiadať ministerstvo o čiastočné odškodnenie v zmysle navrhovaného zákona.</w:t>
      </w:r>
    </w:p>
    <w:p w:rsidR="005E203D" w:rsidP="005E203D">
      <w:pPr>
        <w:pStyle w:val="BodyText"/>
        <w:rPr>
          <w:b/>
          <w:bCs/>
        </w:rPr>
      </w:pPr>
    </w:p>
    <w:p w:rsidR="005E203D" w:rsidP="005E203D">
      <w:pPr>
        <w:pStyle w:val="BodyText"/>
        <w:rPr>
          <w:b/>
          <w:bCs/>
        </w:rPr>
      </w:pPr>
      <w:r>
        <w:rPr>
          <w:b/>
          <w:bCs/>
          <w:u w:val="single"/>
        </w:rPr>
        <w:t>K bodu 4</w:t>
      </w:r>
      <w:r>
        <w:rPr>
          <w:b/>
          <w:bCs/>
        </w:rPr>
        <w:t>.</w:t>
      </w:r>
    </w:p>
    <w:p w:rsidR="005E203D" w:rsidP="005E203D">
      <w:pPr>
        <w:pStyle w:val="BodyText"/>
      </w:pPr>
      <w:r>
        <w:t xml:space="preserve">    Vymedzujú sa podmienky, kedy nie je možné  preniesť právo vkladateľa na čiastočné odškodnenie.</w:t>
      </w:r>
    </w:p>
    <w:p w:rsidR="005E203D" w:rsidP="005E203D">
      <w:pPr>
        <w:pStyle w:val="BodyText"/>
        <w:rPr>
          <w:b/>
          <w:bCs/>
        </w:rPr>
      </w:pPr>
    </w:p>
    <w:p w:rsidR="005E203D" w:rsidP="005E203D">
      <w:pPr>
        <w:pStyle w:val="BodyText"/>
        <w:rPr>
          <w:b/>
          <w:bCs/>
        </w:rPr>
      </w:pPr>
    </w:p>
    <w:p w:rsidR="005E203D" w:rsidP="005E203D">
      <w:pPr>
        <w:pStyle w:val="BodyText"/>
      </w:pPr>
      <w:r>
        <w:rPr>
          <w:b/>
          <w:bCs/>
        </w:rPr>
        <w:t>K § 3</w:t>
      </w:r>
    </w:p>
    <w:p w:rsidR="005E203D" w:rsidP="005E203D">
      <w:pPr>
        <w:pStyle w:val="BodyText"/>
      </w:pPr>
    </w:p>
    <w:p w:rsidR="005E203D" w:rsidP="005E203D">
      <w:pPr>
        <w:pStyle w:val="BodyText"/>
        <w:rPr>
          <w:b/>
          <w:bCs/>
        </w:rPr>
      </w:pPr>
      <w:r>
        <w:rPr>
          <w:b/>
          <w:bCs/>
          <w:u w:val="single"/>
        </w:rPr>
        <w:t>K bodu 1</w:t>
      </w:r>
      <w:r>
        <w:rPr>
          <w:b/>
          <w:bCs/>
        </w:rPr>
        <w:t>.</w:t>
      </w:r>
    </w:p>
    <w:p w:rsidR="005E203D" w:rsidP="005E203D">
      <w:pPr>
        <w:pStyle w:val="BodyText"/>
      </w:pPr>
      <w:r>
        <w:t xml:space="preserve">    Určuje sa lehota Ministerstvu financií SR - do dvanástich mesiacov odo dňa doručenia žiadosti , v ktorej na základe obdržania </w:t>
      </w:r>
      <w:r>
        <w:rPr>
          <w:b/>
          <w:bCs/>
        </w:rPr>
        <w:t xml:space="preserve">písomnej </w:t>
      </w:r>
      <w:r>
        <w:t>žiadosti a </w:t>
      </w:r>
      <w:r>
        <w:rPr>
          <w:b/>
          <w:bCs/>
        </w:rPr>
        <w:t>potrebných dokumentov,</w:t>
      </w:r>
      <w:r>
        <w:t xml:space="preserve"> potvrdzujúcich, že ide o osobu oprávnenú konať v zmysle navrhovaného zákona rozhodne o čiastočnom odškodnení.</w:t>
      </w:r>
    </w:p>
    <w:p w:rsidR="005E203D" w:rsidP="005E203D">
      <w:pPr>
        <w:pStyle w:val="BodyText"/>
        <w:rPr>
          <w:b/>
          <w:bCs/>
        </w:rPr>
      </w:pPr>
    </w:p>
    <w:p w:rsidR="005E203D" w:rsidP="005E203D">
      <w:pPr>
        <w:pStyle w:val="BodyText"/>
        <w:rPr>
          <w:b/>
          <w:bCs/>
        </w:rPr>
      </w:pPr>
      <w:r>
        <w:rPr>
          <w:b/>
          <w:bCs/>
          <w:u w:val="single"/>
        </w:rPr>
        <w:t>K bodu 2</w:t>
      </w:r>
      <w:r>
        <w:rPr>
          <w:b/>
          <w:bCs/>
        </w:rPr>
        <w:t>.</w:t>
      </w:r>
    </w:p>
    <w:p w:rsidR="005E203D" w:rsidP="005E203D">
      <w:pPr>
        <w:pStyle w:val="BodyText"/>
        <w:rPr>
          <w:b/>
          <w:bCs/>
        </w:rPr>
      </w:pPr>
      <w:r>
        <w:t xml:space="preserve">    Určuje sa maximálna výška istiny – 33 tisíc €, z ktorej ministerstvo určí výšku odškodnenia vkladateľa, ktorá platí aj v tom prípade, ak vkladateľ vložil istinu do viacerých nebankových subjektov. </w:t>
      </w:r>
    </w:p>
    <w:p w:rsidR="005E203D" w:rsidP="005E203D">
      <w:pPr>
        <w:pStyle w:val="BodyText"/>
        <w:rPr>
          <w:b/>
          <w:bCs/>
        </w:rPr>
      </w:pPr>
    </w:p>
    <w:p w:rsidR="005E203D" w:rsidP="005E203D">
      <w:pPr>
        <w:pStyle w:val="BodyText"/>
        <w:rPr>
          <w:b/>
          <w:bCs/>
        </w:rPr>
      </w:pPr>
    </w:p>
    <w:p w:rsidR="005E203D" w:rsidP="005E203D">
      <w:pPr>
        <w:pStyle w:val="BodyText"/>
        <w:rPr>
          <w:b/>
          <w:bCs/>
        </w:rPr>
      </w:pPr>
      <w:r>
        <w:rPr>
          <w:b/>
          <w:bCs/>
          <w:u w:val="single"/>
        </w:rPr>
        <w:t>K bodu 3</w:t>
      </w:r>
      <w:r>
        <w:rPr>
          <w:b/>
          <w:bCs/>
        </w:rPr>
        <w:t>.</w:t>
      </w:r>
    </w:p>
    <w:p w:rsidR="005E203D" w:rsidP="005E203D">
      <w:pPr>
        <w:pStyle w:val="BodyText"/>
      </w:pPr>
      <w:r>
        <w:t xml:space="preserve">    Určuje sa výpočet sumy, ktorá bude vyplatená oprávnenej osobe.</w:t>
      </w:r>
    </w:p>
    <w:p w:rsidR="005E203D" w:rsidP="005E203D">
      <w:pPr>
        <w:pStyle w:val="BodyText"/>
        <w:rPr>
          <w:b/>
          <w:bCs/>
        </w:rPr>
      </w:pPr>
    </w:p>
    <w:p w:rsidR="005E203D" w:rsidP="005E203D">
      <w:pPr>
        <w:pStyle w:val="BodyText"/>
        <w:rPr>
          <w:b/>
          <w:bCs/>
        </w:rPr>
      </w:pPr>
      <w:r>
        <w:rPr>
          <w:b/>
          <w:bCs/>
          <w:u w:val="single"/>
        </w:rPr>
        <w:t>K bodu 4</w:t>
      </w:r>
      <w:r>
        <w:rPr>
          <w:b/>
          <w:bCs/>
        </w:rPr>
        <w:t>.</w:t>
      </w:r>
    </w:p>
    <w:p w:rsidR="005E203D" w:rsidP="005E203D">
      <w:pPr>
        <w:pStyle w:val="BodyText"/>
        <w:rPr>
          <w:b/>
          <w:bCs/>
        </w:rPr>
      </w:pPr>
      <w:r>
        <w:t xml:space="preserve">    Ustanovuje sa lehota  30 dní, kedy ministerstvo vyplatí oprávnenej osobe čiastočné odškodnenie. </w:t>
      </w:r>
    </w:p>
    <w:p w:rsidR="005E203D" w:rsidP="005E203D">
      <w:pPr>
        <w:pStyle w:val="BodyText"/>
        <w:rPr>
          <w:b/>
          <w:bCs/>
        </w:rPr>
      </w:pPr>
    </w:p>
    <w:p w:rsidR="005E203D" w:rsidP="005E203D">
      <w:pPr>
        <w:pStyle w:val="BodyText"/>
        <w:rPr>
          <w:b/>
          <w:bCs/>
        </w:rPr>
      </w:pPr>
    </w:p>
    <w:p w:rsidR="005E203D" w:rsidP="005E203D">
      <w:pPr>
        <w:pStyle w:val="BodyText"/>
      </w:pPr>
      <w:r>
        <w:rPr>
          <w:b/>
          <w:bCs/>
        </w:rPr>
        <w:t>K § 4</w:t>
      </w:r>
    </w:p>
    <w:p w:rsidR="005E203D" w:rsidP="005E203D">
      <w:pPr>
        <w:pStyle w:val="BodyText"/>
      </w:pPr>
    </w:p>
    <w:p w:rsidR="005E203D" w:rsidP="005E203D">
      <w:pPr>
        <w:pStyle w:val="BodyText"/>
        <w:rPr>
          <w:b/>
          <w:bCs/>
        </w:rPr>
      </w:pPr>
      <w:r>
        <w:rPr>
          <w:b/>
          <w:bCs/>
          <w:u w:val="single"/>
        </w:rPr>
        <w:t>K bodu 1</w:t>
      </w:r>
      <w:r>
        <w:rPr>
          <w:b/>
          <w:bCs/>
        </w:rPr>
        <w:t>.</w:t>
      </w:r>
    </w:p>
    <w:p w:rsidR="005E203D" w:rsidP="005E203D">
      <w:pPr>
        <w:pStyle w:val="BodyText"/>
      </w:pPr>
      <w:r>
        <w:t xml:space="preserve">    Ustanovuje sa možnosť odvolacieho prostriedku a určuje sa lehota jeho podania /do dvoch mesiacov odo dňa doručenia rozhodnutia ministerstva/ v prípade, že ministerstvo nerozhodne o čiastočnom odškodnení podľa ustanovení tohto zákona.</w:t>
      </w:r>
    </w:p>
    <w:p w:rsidR="005E203D" w:rsidP="005E203D">
      <w:pPr>
        <w:pStyle w:val="BodyText"/>
      </w:pPr>
    </w:p>
    <w:p w:rsidR="005E203D" w:rsidP="005E203D">
      <w:pPr>
        <w:pStyle w:val="BodyText"/>
        <w:rPr>
          <w:b/>
          <w:bCs/>
        </w:rPr>
      </w:pPr>
      <w:r>
        <w:rPr>
          <w:b/>
          <w:bCs/>
          <w:u w:val="single"/>
        </w:rPr>
        <w:t>K bodu 2</w:t>
      </w:r>
      <w:r>
        <w:rPr>
          <w:b/>
          <w:bCs/>
        </w:rPr>
        <w:t>.</w:t>
      </w:r>
    </w:p>
    <w:p w:rsidR="005E203D" w:rsidP="005E203D">
      <w:pPr>
        <w:pStyle w:val="BodyText"/>
        <w:rPr>
          <w:b/>
          <w:bCs/>
        </w:rPr>
      </w:pPr>
      <w:r>
        <w:t xml:space="preserve">    Stanovuje sa kompetencia na konanie o návrhu vkladateľa na preskúmanie rozhodnutia ministerstva, ktorá prináleží príslušnému Okresnému súdu.</w:t>
      </w:r>
      <w:r>
        <w:rPr>
          <w:b/>
          <w:bCs/>
        </w:rPr>
        <w:t xml:space="preserve"> </w:t>
      </w:r>
    </w:p>
    <w:p w:rsidR="005E203D" w:rsidP="005E203D">
      <w:pPr>
        <w:pStyle w:val="BodyText"/>
        <w:rPr>
          <w:b/>
          <w:bCs/>
        </w:rPr>
      </w:pPr>
    </w:p>
    <w:p w:rsidR="005E203D" w:rsidP="005E203D">
      <w:pPr>
        <w:pStyle w:val="BodyText"/>
      </w:pPr>
      <w:r>
        <w:rPr>
          <w:b/>
          <w:bCs/>
        </w:rPr>
        <w:t>K § 5</w:t>
      </w:r>
    </w:p>
    <w:p w:rsidR="005E203D" w:rsidP="005E203D">
      <w:pPr>
        <w:pStyle w:val="BodyText"/>
        <w:rPr>
          <w:b/>
          <w:bCs/>
        </w:rPr>
      </w:pPr>
    </w:p>
    <w:p w:rsidR="005E203D" w:rsidP="005E203D">
      <w:pPr>
        <w:pStyle w:val="BodyText"/>
      </w:pPr>
      <w:r>
        <w:t xml:space="preserve">Tento zákon nadobúda účinnosť dňom 1.1.2011. </w:t>
      </w:r>
    </w:p>
    <w:p w:rsidR="005E203D">
      <w:pPr>
        <w:rPr>
          <w:rFonts w:ascii="Times New Roman" w:hAnsi="Times New Roman" w:cs="Times New Roman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000000"/>
    <w:rsid w:val="005E203D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rsid w:val="005E203D"/>
    <w:pPr>
      <w:jc w:val="both"/>
    </w:pPr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1149</Words>
  <Characters>6554</Characters>
  <Application>Microsoft Office Word</Application>
  <DocSecurity>0</DocSecurity>
  <Lines>0</Lines>
  <Paragraphs>0</Paragraphs>
  <ScaleCrop>false</ScaleCrop>
  <Company>Kancelaria NR SR</Company>
  <LinksUpToDate>false</LinksUpToDate>
  <CharactersWithSpaces>7688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ô v o d o v á  s p r á v a</dc:title>
  <dc:creator>ivan.farkas</dc:creator>
  <cp:lastModifiedBy>ivan.farkas</cp:lastModifiedBy>
  <cp:revision>2</cp:revision>
  <dcterms:created xsi:type="dcterms:W3CDTF">2010-02-10T13:43:00Z</dcterms:created>
  <dcterms:modified xsi:type="dcterms:W3CDTF">2010-02-10T13:43:00Z</dcterms:modified>
</cp:coreProperties>
</file>