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2796" w:rsidP="00413212">
      <w:pPr>
        <w:pStyle w:val="Heading1"/>
        <w:pBdr>
          <w:bottom w:val="single" w:sz="4" w:space="1" w:color="auto"/>
        </w:pBdr>
        <w:jc w:val="center"/>
      </w:pPr>
      <w:r>
        <w:t>N á r o d n á   r a d a   S l o v e n s k e j   r e p u b l i k y</w:t>
      </w:r>
    </w:p>
    <w:p w:rsidR="009D2796">
      <w:pPr>
        <w:pBdr>
          <w:bottom w:val="single" w:sz="4" w:space="1" w:color="auto"/>
        </w:pBdr>
        <w:rPr>
          <w:rFonts w:ascii="Arial" w:hAnsi="Arial" w:cs="Arial"/>
          <w:b/>
          <w:bCs/>
          <w:caps/>
        </w:rPr>
      </w:pPr>
    </w:p>
    <w:p w:rsidR="009D2796">
      <w:pPr>
        <w:rPr>
          <w:rFonts w:ascii="Arial" w:hAnsi="Arial" w:cs="Arial"/>
          <w:b/>
          <w:bCs/>
          <w:caps/>
        </w:rPr>
      </w:pPr>
      <w:r>
        <w:rPr>
          <w:rFonts w:ascii="Arial" w:hAnsi="Arial" w:cs="Arial"/>
          <w:b/>
          <w:bCs/>
          <w:caps/>
        </w:rPr>
        <w:t xml:space="preserve">   </w:t>
      </w:r>
    </w:p>
    <w:p w:rsidR="009D2796">
      <w:pPr>
        <w:jc w:val="both"/>
        <w:rPr>
          <w:rFonts w:ascii="Arial" w:hAnsi="Arial" w:cs="Arial"/>
          <w:b/>
          <w:bCs/>
        </w:rPr>
      </w:pPr>
      <w:r>
        <w:rPr>
          <w:rFonts w:ascii="Arial" w:hAnsi="Arial" w:cs="Arial"/>
          <w:b/>
          <w:bCs/>
          <w:caps/>
        </w:rPr>
        <w:t xml:space="preserve">              </w:t>
      </w:r>
      <w:r w:rsidR="004D7F06">
        <w:rPr>
          <w:rFonts w:ascii="Arial" w:hAnsi="Arial" w:cs="Arial"/>
          <w:b/>
          <w:bCs/>
          <w:caps/>
        </w:rPr>
        <w:t xml:space="preserve">                             IV</w:t>
      </w:r>
      <w:r>
        <w:rPr>
          <w:rFonts w:ascii="Arial" w:hAnsi="Arial" w:cs="Arial"/>
          <w:b/>
          <w:bCs/>
          <w:caps/>
        </w:rPr>
        <w:t xml:space="preserve">. </w:t>
      </w:r>
      <w:r>
        <w:rPr>
          <w:rFonts w:ascii="Arial" w:hAnsi="Arial" w:cs="Arial"/>
          <w:b/>
          <w:bCs/>
        </w:rPr>
        <w:t>volebné obdobie</w:t>
      </w:r>
    </w:p>
    <w:p w:rsidR="009D2796">
      <w:pPr>
        <w:rPr>
          <w:rFonts w:ascii="Arial" w:hAnsi="Arial" w:cs="Arial"/>
          <w:b/>
          <w:bCs/>
        </w:rPr>
      </w:pPr>
    </w:p>
    <w:p w:rsidR="009D2796">
      <w:pPr>
        <w:rPr>
          <w:rFonts w:ascii="Arial" w:hAnsi="Arial" w:cs="Arial"/>
        </w:rPr>
      </w:pPr>
      <w:r>
        <w:rPr>
          <w:rFonts w:ascii="Arial" w:hAnsi="Arial" w:cs="Arial"/>
          <w:b/>
          <w:bCs/>
        </w:rPr>
        <w:t xml:space="preserve">                                                                                                   </w:t>
      </w:r>
    </w:p>
    <w:p w:rsidR="009D2796">
      <w:pPr>
        <w:rPr>
          <w:rFonts w:ascii="Arial" w:hAnsi="Arial" w:cs="Arial"/>
          <w:b/>
          <w:bCs/>
        </w:rPr>
      </w:pPr>
      <w:r>
        <w:rPr>
          <w:rFonts w:ascii="Arial" w:hAnsi="Arial" w:cs="Arial"/>
        </w:rPr>
        <w:t xml:space="preserve">                                                   </w:t>
      </w:r>
      <w:r>
        <w:rPr>
          <w:rFonts w:ascii="Arial" w:hAnsi="Arial" w:cs="Arial"/>
          <w:b/>
          <w:bCs/>
        </w:rPr>
        <w:t>Z á k o n</w:t>
      </w:r>
    </w:p>
    <w:p w:rsidR="009D2796">
      <w:pPr>
        <w:rPr>
          <w:rFonts w:ascii="Arial" w:hAnsi="Arial" w:cs="Arial"/>
          <w:b/>
          <w:bCs/>
        </w:rPr>
      </w:pPr>
    </w:p>
    <w:p w:rsidR="009D2796">
      <w:pPr>
        <w:rPr>
          <w:rFonts w:ascii="Arial" w:hAnsi="Arial" w:cs="Arial"/>
          <w:b/>
          <w:bCs/>
        </w:rPr>
      </w:pPr>
    </w:p>
    <w:p w:rsidR="009D2796">
      <w:pPr>
        <w:rPr>
          <w:rFonts w:ascii="Arial" w:hAnsi="Arial" w:cs="Arial"/>
        </w:rPr>
      </w:pPr>
      <w:r>
        <w:rPr>
          <w:rFonts w:ascii="Arial" w:hAnsi="Arial" w:cs="Arial"/>
        </w:rPr>
        <w:t xml:space="preserve">                                   z ...........</w:t>
      </w:r>
      <w:r w:rsidR="004D7F06">
        <w:rPr>
          <w:rFonts w:ascii="Arial" w:hAnsi="Arial" w:cs="Arial"/>
        </w:rPr>
        <w:t>............................ 2010</w:t>
      </w:r>
      <w:r>
        <w:rPr>
          <w:rFonts w:ascii="Arial" w:hAnsi="Arial" w:cs="Arial"/>
        </w:rPr>
        <w:t>,</w:t>
      </w:r>
    </w:p>
    <w:p w:rsidR="009D2796">
      <w:pPr>
        <w:rPr>
          <w:rFonts w:ascii="Arial" w:hAnsi="Arial" w:cs="Arial"/>
        </w:rPr>
      </w:pPr>
    </w:p>
    <w:p w:rsidR="009D2796">
      <w:pPr>
        <w:rPr>
          <w:rFonts w:ascii="Arial" w:hAnsi="Arial" w:cs="Arial"/>
        </w:rPr>
      </w:pPr>
    </w:p>
    <w:p w:rsidR="009D2796">
      <w:pPr>
        <w:rPr>
          <w:rFonts w:ascii="Arial" w:hAnsi="Arial" w:cs="Arial"/>
        </w:rPr>
      </w:pPr>
    </w:p>
    <w:p w:rsidR="009D2796">
      <w:pPr>
        <w:rPr>
          <w:rFonts w:ascii="Arial" w:hAnsi="Arial" w:cs="Arial"/>
          <w:b/>
          <w:bCs/>
        </w:rPr>
      </w:pPr>
      <w:r>
        <w:rPr>
          <w:rFonts w:ascii="Arial" w:hAnsi="Arial" w:cs="Arial"/>
        </w:rPr>
        <w:t xml:space="preserve">     </w:t>
      </w:r>
      <w:r>
        <w:rPr>
          <w:rFonts w:ascii="Arial" w:hAnsi="Arial" w:cs="Arial"/>
          <w:b/>
          <w:bCs/>
        </w:rPr>
        <w:t>o čiastočnom odškodnení vkladateľov do nebankových subjektov.</w:t>
      </w:r>
    </w:p>
    <w:p w:rsidR="009D2796">
      <w:pPr>
        <w:rPr>
          <w:rFonts w:ascii="Arial" w:hAnsi="Arial" w:cs="Arial"/>
          <w:b/>
          <w:bCs/>
        </w:rPr>
      </w:pPr>
    </w:p>
    <w:p w:rsidR="009D2796">
      <w:pPr>
        <w:rPr>
          <w:rFonts w:ascii="Arial" w:hAnsi="Arial" w:cs="Arial"/>
          <w:b/>
          <w:bCs/>
        </w:rPr>
      </w:pPr>
    </w:p>
    <w:p w:rsidR="009D2796">
      <w:pPr>
        <w:rPr>
          <w:rFonts w:ascii="Arial" w:hAnsi="Arial" w:cs="Arial"/>
          <w:b/>
          <w:bCs/>
        </w:rPr>
      </w:pPr>
    </w:p>
    <w:p w:rsidR="009D2796">
      <w:pPr>
        <w:rPr>
          <w:rFonts w:ascii="Arial" w:hAnsi="Arial" w:cs="Arial"/>
          <w:b/>
          <w:bCs/>
        </w:rPr>
      </w:pPr>
    </w:p>
    <w:p w:rsidR="009D2796">
      <w:pPr>
        <w:rPr>
          <w:rFonts w:ascii="Arial" w:hAnsi="Arial" w:cs="Arial"/>
        </w:rPr>
      </w:pPr>
      <w:r>
        <w:rPr>
          <w:rFonts w:ascii="Arial" w:hAnsi="Arial" w:cs="Arial"/>
        </w:rPr>
        <w:t xml:space="preserve">                 Národná rada Slovenskej republiky sa uzniesla na tomto zákone:</w:t>
      </w:r>
    </w:p>
    <w:p w:rsidR="009D2796">
      <w:pPr>
        <w:rPr>
          <w:rFonts w:ascii="Arial" w:hAnsi="Arial" w:cs="Arial"/>
        </w:rPr>
      </w:pPr>
    </w:p>
    <w:p w:rsidR="009D2796">
      <w:pPr>
        <w:rPr>
          <w:rFonts w:ascii="Arial" w:hAnsi="Arial" w:cs="Arial"/>
        </w:rPr>
      </w:pPr>
    </w:p>
    <w:p w:rsidR="009D2796">
      <w:pPr>
        <w:jc w:val="center"/>
        <w:rPr>
          <w:rFonts w:ascii="Arial" w:hAnsi="Arial" w:cs="Arial"/>
        </w:rPr>
      </w:pPr>
      <w:r>
        <w:rPr>
          <w:rFonts w:ascii="Arial" w:hAnsi="Arial" w:cs="Arial"/>
        </w:rPr>
        <w:t>§ 1</w:t>
      </w:r>
    </w:p>
    <w:p w:rsidR="009D2796">
      <w:pPr>
        <w:jc w:val="both"/>
        <w:rPr>
          <w:rFonts w:ascii="Arial" w:hAnsi="Arial" w:cs="Arial"/>
        </w:rPr>
      </w:pPr>
    </w:p>
    <w:p w:rsidR="009D2796">
      <w:pPr>
        <w:rPr>
          <w:rFonts w:ascii="Arial" w:hAnsi="Arial" w:cs="Arial"/>
        </w:rPr>
      </w:pPr>
    </w:p>
    <w:p w:rsidR="009D2796">
      <w:pPr>
        <w:rPr>
          <w:rFonts w:ascii="Arial" w:hAnsi="Arial" w:cs="Arial"/>
        </w:rPr>
      </w:pPr>
      <w:r>
        <w:rPr>
          <w:rFonts w:ascii="Arial" w:hAnsi="Arial" w:cs="Arial"/>
        </w:rPr>
        <w:t xml:space="preserve">     Predmetom tohto zákona je úprava podmienok na čiastočné odškodnenie osôb, ktoré boli vkladateľmi do finančných inštitúcií HORIZONT SLOVAKIA a.s., B.M.G. INVEST s.r.o. DRUKOS a.s. BDV družstvo, AUTODRUKOS, s.r.o. AGW HOLDING a.s., AGW s. r. o. a SPOROINVEST a.s.</w:t>
      </w:r>
      <w:r w:rsidR="00EA681C">
        <w:rPr>
          <w:rFonts w:ascii="Arial" w:hAnsi="Arial" w:cs="Arial"/>
        </w:rPr>
        <w:t xml:space="preserve"> a ďalšie </w:t>
      </w:r>
      <w:r>
        <w:rPr>
          <w:rFonts w:ascii="Arial" w:hAnsi="Arial" w:cs="Arial"/>
        </w:rPr>
        <w:t xml:space="preserve"> /ďalej len“ nebankový subjekt“/.</w:t>
      </w:r>
    </w:p>
    <w:p w:rsidR="009D2796">
      <w:pPr>
        <w:rPr>
          <w:rFonts w:ascii="Arial" w:hAnsi="Arial" w:cs="Arial"/>
        </w:rPr>
      </w:pPr>
    </w:p>
    <w:p w:rsidR="009D2796">
      <w:pPr>
        <w:rPr>
          <w:rFonts w:ascii="Arial" w:hAnsi="Arial" w:cs="Arial"/>
        </w:rPr>
      </w:pPr>
    </w:p>
    <w:p w:rsidR="009D2796">
      <w:pPr>
        <w:jc w:val="center"/>
        <w:rPr>
          <w:rFonts w:ascii="Arial" w:hAnsi="Arial" w:cs="Arial"/>
        </w:rPr>
      </w:pPr>
      <w:r>
        <w:rPr>
          <w:rFonts w:ascii="Arial" w:hAnsi="Arial" w:cs="Arial"/>
          <w:sz w:val="20"/>
        </w:rPr>
        <w:t xml:space="preserve">    </w:t>
      </w:r>
      <w:r>
        <w:rPr>
          <w:rFonts w:ascii="Arial" w:hAnsi="Arial" w:cs="Arial"/>
        </w:rPr>
        <w:t>§ 2</w:t>
      </w:r>
    </w:p>
    <w:p w:rsidR="009D2796">
      <w:pPr>
        <w:jc w:val="center"/>
        <w:rPr>
          <w:rFonts w:ascii="Arial" w:hAnsi="Arial" w:cs="Arial"/>
        </w:rPr>
      </w:pPr>
    </w:p>
    <w:p w:rsidR="009D2796">
      <w:pPr>
        <w:pStyle w:val="BodyText"/>
      </w:pPr>
      <w:r>
        <w:t xml:space="preserve">      /1/ Oprávnená osoba podľa tohto zákona je každý, kto hodnoverne preukáže, že do jedného alebo viacerých nebankových subjektov vložil finančné prostriedky a že mu do skončenia činnosti týchto nebankových subjektov nebola vyplatená vložená istina alebo že výška výnosov z istiny vyplatených do skončenia činnosti nebankových subjektov nepredstavuje výšku vloženej istiny /ďalej len „vkladateľ“/. </w:t>
      </w:r>
    </w:p>
    <w:p w:rsidR="009D2796">
      <w:pPr>
        <w:jc w:val="center"/>
        <w:rPr>
          <w:rFonts w:ascii="Arial" w:hAnsi="Arial" w:cs="Arial"/>
        </w:rPr>
      </w:pPr>
    </w:p>
    <w:p w:rsidR="009D2796">
      <w:pPr>
        <w:pStyle w:val="BodyText"/>
      </w:pPr>
      <w:r>
        <w:t xml:space="preserve">      /2/ Povinná osoba podľa tohto zákona je Slovenská republika, zastúpená Ministerstvom financií Slovenskej republiky / ďalej len „ ministerstvo“/.</w:t>
      </w:r>
    </w:p>
    <w:p w:rsidR="009D2796">
      <w:pPr>
        <w:pStyle w:val="BodyText"/>
      </w:pPr>
    </w:p>
    <w:p w:rsidR="009D2796">
      <w:pPr>
        <w:pStyle w:val="BodyText"/>
      </w:pPr>
      <w:r>
        <w:t xml:space="preserve">      /3/ Vkladateľ môže požiadať ministerstvo o čiastočné odškodnenie podľa tohto zákona v lehote šesť mesiacov odo dňa nadobudnutia účinnosti tohto zákona. Na žiadosti podané po tejto lehote sa nebude prihliadať.</w:t>
      </w:r>
    </w:p>
    <w:p w:rsidR="009D2796">
      <w:pPr>
        <w:pStyle w:val="BodyText"/>
      </w:pPr>
    </w:p>
    <w:p w:rsidR="009D2796">
      <w:pPr>
        <w:jc w:val="both"/>
        <w:rPr>
          <w:rFonts w:ascii="Arial" w:hAnsi="Arial" w:cs="Arial"/>
          <w:sz w:val="20"/>
        </w:rPr>
      </w:pPr>
      <w:r>
        <w:rPr>
          <w:rFonts w:ascii="Arial" w:hAnsi="Arial" w:cs="Arial"/>
        </w:rPr>
        <w:t xml:space="preserve">      /4/ Právo vkladateľa na čiastočné odškodnenie nemožno preniesť, ak bolo toto právo postúpené na inú fyzickú osobu alebo právnickú osobu. Inak právo vkladateľa prechádza na inú fyzickú osobu len dedením.</w:t>
      </w:r>
      <w:r>
        <w:rPr>
          <w:rFonts w:ascii="Arial" w:hAnsi="Arial" w:cs="Arial"/>
          <w:sz w:val="20"/>
        </w:rPr>
        <w:t xml:space="preserve">    </w:t>
      </w:r>
    </w:p>
    <w:p w:rsidR="009D2796">
      <w:pPr>
        <w:jc w:val="center"/>
        <w:rPr>
          <w:rFonts w:ascii="Arial" w:hAnsi="Arial" w:cs="Arial"/>
        </w:rPr>
      </w:pPr>
    </w:p>
    <w:p w:rsidR="009D2796">
      <w:pPr>
        <w:jc w:val="center"/>
        <w:rPr>
          <w:rFonts w:ascii="Arial" w:hAnsi="Arial" w:cs="Arial"/>
        </w:rPr>
      </w:pPr>
    </w:p>
    <w:p w:rsidR="009D2796">
      <w:pPr>
        <w:jc w:val="center"/>
        <w:rPr>
          <w:rFonts w:ascii="Arial" w:hAnsi="Arial" w:cs="Arial"/>
        </w:rPr>
      </w:pPr>
      <w:r>
        <w:rPr>
          <w:rFonts w:ascii="Arial" w:hAnsi="Arial" w:cs="Arial"/>
        </w:rPr>
        <w:t>§ 3</w:t>
      </w:r>
    </w:p>
    <w:p w:rsidR="009D2796">
      <w:pPr>
        <w:jc w:val="center"/>
        <w:rPr>
          <w:rFonts w:ascii="Arial" w:hAnsi="Arial" w:cs="Arial"/>
        </w:rPr>
      </w:pPr>
    </w:p>
    <w:p w:rsidR="009D2796">
      <w:pPr>
        <w:pStyle w:val="BodyText"/>
      </w:pPr>
      <w:r>
        <w:t xml:space="preserve">      /1/ Ministerstvo po tom, čo dostane písomnú žiadosť o čiastočné odškodnenie obsahujúcu všetky potrebné písomné dokumenty potvrdzujúce, že ide o osobu oprávnenú podľa tohto zákona, rozhodne o čiastočnom odškodnení vkladateľa v lehote do dvanástich mesiacov odo dňa doručenia žiadosti.</w:t>
      </w:r>
      <w:r w:rsidR="00EA681C">
        <w:t xml:space="preserve"> </w:t>
      </w:r>
    </w:p>
    <w:p w:rsidR="009D2796">
      <w:pPr>
        <w:pStyle w:val="BodyText"/>
      </w:pPr>
    </w:p>
    <w:p w:rsidR="009D2796">
      <w:pPr>
        <w:pStyle w:val="BodyText"/>
      </w:pPr>
      <w:r>
        <w:t xml:space="preserve">     /2/  Pri určení výšky odškodnenia ministerstvo vychádza z istiny vloženej do nebankového subjektu. Maximálna výška istiny, z ktorej ministerstvo určí výšku odškodn</w:t>
      </w:r>
      <w:r w:rsidR="00EA681C">
        <w:t>enia vkladateľa, je 33 tisíc €</w:t>
      </w:r>
      <w:r>
        <w:t>. Táto suma, rozhodujúca na určenie výšky odškodnenia platí aj v prípade, ak vkladateľ vložil istinu do viacerých nebankových subjektov a súhrn takto vložen</w:t>
      </w:r>
      <w:r w:rsidR="00EA681C">
        <w:t>ých istín presahuje  33 tisíc €</w:t>
      </w:r>
      <w:r>
        <w:t>.</w:t>
      </w:r>
    </w:p>
    <w:p w:rsidR="009D2796">
      <w:pPr>
        <w:pStyle w:val="BodyText"/>
      </w:pPr>
    </w:p>
    <w:p w:rsidR="009D2796">
      <w:pPr>
        <w:pStyle w:val="BodyText"/>
      </w:pPr>
      <w:r>
        <w:t xml:space="preserve">    /3/ Ministerstvo odpočíta z istiny, ktorej maximálna výška  je uvedená v odseku 2, všetky výnosy vyplatené vkladateľovi. Zistenú sumu vynásobí ustanovenými koeficientmi takto:</w:t>
      </w:r>
    </w:p>
    <w:p w:rsidR="009D2796">
      <w:pPr>
        <w:pStyle w:val="BodyText"/>
      </w:pPr>
    </w:p>
    <w:p w:rsidR="009D2796">
      <w:pPr>
        <w:pStyle w:val="BodyText"/>
      </w:pPr>
      <w:r w:rsidR="00EA681C">
        <w:t>a/ do 10 000 €</w:t>
      </w:r>
      <w:r>
        <w:t xml:space="preserve"> koeficientom 0,5</w:t>
      </w:r>
    </w:p>
    <w:p w:rsidR="009D2796">
      <w:pPr>
        <w:pStyle w:val="BodyText"/>
      </w:pPr>
      <w:r w:rsidR="00EA681C">
        <w:t xml:space="preserve">b/ od </w:t>
      </w:r>
      <w:r>
        <w:t>1</w:t>
      </w:r>
      <w:r w:rsidR="00EA681C">
        <w:t xml:space="preserve">0 001 do 13 000 € </w:t>
      </w:r>
      <w:r>
        <w:t xml:space="preserve"> koeficientom 0,48</w:t>
      </w:r>
    </w:p>
    <w:p w:rsidR="009D2796">
      <w:pPr>
        <w:pStyle w:val="BodyText"/>
      </w:pPr>
      <w:r w:rsidR="00EA681C">
        <w:t xml:space="preserve">c/ od 13 001 do 16 000 € </w:t>
      </w:r>
      <w:r>
        <w:t xml:space="preserve"> koeficientom  0,46</w:t>
      </w:r>
    </w:p>
    <w:p w:rsidR="009D2796">
      <w:pPr>
        <w:pStyle w:val="BodyText"/>
      </w:pPr>
      <w:r w:rsidR="00EA681C">
        <w:t>d/ od 16 001 do 20 000 €</w:t>
      </w:r>
      <w:r>
        <w:t xml:space="preserve"> koeficientom 0,44</w:t>
      </w:r>
    </w:p>
    <w:p w:rsidR="009D2796">
      <w:pPr>
        <w:pStyle w:val="BodyText"/>
      </w:pPr>
      <w:r w:rsidR="00EA681C">
        <w:t>e/ od 20 001 do 23 000 €</w:t>
      </w:r>
      <w:r>
        <w:t xml:space="preserve"> koeficientom 0,42</w:t>
      </w:r>
    </w:p>
    <w:p w:rsidR="009D2796">
      <w:pPr>
        <w:pStyle w:val="BodyText"/>
      </w:pPr>
      <w:r w:rsidR="00EA681C">
        <w:t>f/  od 23 00</w:t>
      </w:r>
      <w:r>
        <w:t>1</w:t>
      </w:r>
      <w:r w:rsidR="00EA681C">
        <w:t xml:space="preserve"> do 33 000 €</w:t>
      </w:r>
      <w:r>
        <w:t xml:space="preserve"> koeficientom 0,4.</w:t>
      </w:r>
    </w:p>
    <w:p w:rsidR="009D2796">
      <w:pPr>
        <w:pStyle w:val="BodyText"/>
      </w:pPr>
    </w:p>
    <w:p w:rsidR="009D2796">
      <w:pPr>
        <w:pStyle w:val="BodyText"/>
      </w:pPr>
      <w:r>
        <w:t xml:space="preserve">    /4/ Ministerstvo vyplatí oprávnenej osobe čiastočné odškodnenie, vypočítané podľa odseku 3/ do 30 dní od uplynutia lehoty uvedenej v odseku 1.</w:t>
      </w:r>
    </w:p>
    <w:p w:rsidR="009D2796">
      <w:pPr>
        <w:pStyle w:val="BodyText"/>
      </w:pPr>
    </w:p>
    <w:p w:rsidR="009D2796">
      <w:pPr>
        <w:pStyle w:val="BodyText"/>
      </w:pPr>
    </w:p>
    <w:p w:rsidR="009D2796">
      <w:pPr>
        <w:pStyle w:val="BodyText"/>
      </w:pPr>
      <w:r>
        <w:t xml:space="preserve">                                                            § 4</w:t>
      </w:r>
    </w:p>
    <w:p w:rsidR="009D2796">
      <w:pPr>
        <w:pStyle w:val="BodyText"/>
      </w:pPr>
    </w:p>
    <w:p w:rsidR="009D2796">
      <w:pPr>
        <w:pStyle w:val="BodyText"/>
      </w:pPr>
      <w:r>
        <w:t xml:space="preserve">     /1/  Ak ministerstvo nerozhodne o čiastočnom odškodnení podľa ustanovení tohto zákona, vkladateľ je oprávnený podať návrh na preskúmanie rozhodnutia ministerstva na súd. Návrh možno podať do dvoch mesiacov odo dňa doručenia rozhodnutia ministerstva.</w:t>
      </w:r>
    </w:p>
    <w:p w:rsidR="009D2796">
      <w:pPr>
        <w:pStyle w:val="BodyText"/>
      </w:pPr>
    </w:p>
    <w:p w:rsidR="009D2796">
      <w:pPr>
        <w:pStyle w:val="BodyText"/>
      </w:pPr>
      <w:r>
        <w:t xml:space="preserve">    /2/ Na rozhodnutie o návrhu podľa odseku 1 je vecne príslušný okresný súd. Na konanie o návrhu podľa odseku 1 sa primerane použijú ustanovenia osobitného zákona.</w:t>
      </w:r>
      <w:r>
        <w:rPr>
          <w:vertAlign w:val="superscript"/>
        </w:rPr>
        <w:t>1/</w:t>
      </w:r>
      <w:r>
        <w:t xml:space="preserve"> </w:t>
      </w:r>
    </w:p>
    <w:p w:rsidR="009D2796">
      <w:pPr>
        <w:pStyle w:val="BodyText"/>
      </w:pPr>
    </w:p>
    <w:p w:rsidR="009D2796">
      <w:pPr>
        <w:pStyle w:val="BodyText"/>
      </w:pPr>
      <w:r>
        <w:t xml:space="preserve">                                                            § 5</w:t>
      </w:r>
    </w:p>
    <w:p w:rsidR="009D2796">
      <w:pPr>
        <w:pStyle w:val="BodyText"/>
      </w:pPr>
    </w:p>
    <w:p w:rsidR="00C76E2B">
      <w:pPr>
        <w:pStyle w:val="BodyText"/>
      </w:pPr>
    </w:p>
    <w:p w:rsidR="009D2796">
      <w:pPr>
        <w:pStyle w:val="BodyText"/>
      </w:pPr>
      <w:r>
        <w:t xml:space="preserve">Tento zákon nadobúda účinnosť dňom </w:t>
      </w:r>
      <w:r w:rsidR="00EA681C">
        <w:t>1.1.2011</w:t>
      </w:r>
      <w:r w:rsidR="005B1482">
        <w:t xml:space="preserve">  </w:t>
      </w:r>
    </w:p>
    <w:p w:rsidR="009D2796">
      <w:pPr>
        <w:pStyle w:val="BodyText"/>
      </w:pPr>
    </w:p>
    <w:p w:rsidR="009D2796">
      <w:pPr>
        <w:pStyle w:val="BodyText"/>
      </w:pPr>
    </w:p>
    <w:p w:rsidR="009D2796">
      <w:pPr>
        <w:pStyle w:val="BodyText"/>
      </w:pPr>
    </w:p>
    <w:p w:rsidR="009D2796">
      <w:pPr>
        <w:pStyle w:val="BodyText"/>
        <w:pBdr>
          <w:bottom w:val="single" w:sz="4" w:space="1" w:color="auto"/>
        </w:pBdr>
      </w:pPr>
    </w:p>
    <w:p w:rsidR="009D2796">
      <w:pPr>
        <w:pStyle w:val="BodyText"/>
      </w:pPr>
      <w:r>
        <w:t>1/ Občiansky súdny poriadok.</w:t>
      </w:r>
    </w:p>
    <w:p w:rsidR="009D2796">
      <w:pPr>
        <w:pStyle w:val="BodyText"/>
      </w:pPr>
    </w:p>
    <w:p w:rsidR="009D2796">
      <w:pPr>
        <w:pStyle w:val="BodyText"/>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7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64D7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7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92D00">
      <w:rPr>
        <w:rStyle w:val="PageNumber"/>
        <w:rFonts w:ascii="Times New Roman" w:hAnsi="Times New Roman" w:cs="Times New Roman"/>
        <w:noProof/>
      </w:rPr>
      <w:t>1</w:t>
    </w:r>
    <w:r>
      <w:rPr>
        <w:rStyle w:val="PageNumber"/>
        <w:rFonts w:ascii="Times New Roman" w:hAnsi="Times New Roman" w:cs="Times New Roman"/>
      </w:rPr>
      <w:fldChar w:fldCharType="end"/>
    </w:r>
  </w:p>
  <w:p w:rsidR="00464D7A">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6544F6"/>
    <w:multiLevelType w:val="hybridMultilevel"/>
    <w:tmpl w:val="D356382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2D00"/>
    <w:rsid w:val="00413212"/>
    <w:rsid w:val="00464D7A"/>
    <w:rsid w:val="004D7F06"/>
    <w:rsid w:val="005B1482"/>
    <w:rsid w:val="009D2796"/>
    <w:rsid w:val="00C76E2B"/>
    <w:rsid w:val="00EA681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rFonts w:ascii="Arial" w:hAnsi="Arial" w:cs="Arial"/>
      <w:b/>
      <w:bCs/>
      <w:caps/>
    </w:rPr>
  </w:style>
  <w:style w:type="paragraph" w:styleId="Heading2">
    <w:name w:val="heading 2"/>
    <w:basedOn w:val="Normal"/>
    <w:next w:val="Normal"/>
    <w:qFormat/>
    <w:pPr>
      <w:keepNext/>
      <w:jc w:val="left"/>
      <w:outlineLvl w:val="1"/>
    </w:pPr>
    <w:rPr>
      <w:rFonts w:ascii="Arial" w:hAnsi="Arial" w:cs="Arial"/>
      <w:b/>
      <w:bCs/>
      <w:sz w:val="28"/>
    </w:rPr>
  </w:style>
  <w:style w:type="paragraph" w:styleId="Heading3">
    <w:name w:val="heading 3"/>
    <w:basedOn w:val="Normal"/>
    <w:next w:val="Normal"/>
    <w:qFormat/>
    <w:pPr>
      <w:keepNext/>
      <w:jc w:val="left"/>
      <w:outlineLvl w:val="2"/>
    </w:pPr>
    <w:rPr>
      <w:rFonts w:ascii="Arial" w:hAnsi="Arial" w:cs="Arial"/>
      <w:b/>
      <w:bCs/>
      <w:sz w:val="20"/>
    </w:rPr>
  </w:style>
  <w:style w:type="character" w:default="1" w:styleId="DefaultParagraphFont">
    <w:name w:val="Default Paragraph Font"/>
    <w:semiHidden/>
  </w:style>
  <w:style w:type="paragraph" w:styleId="BodyText">
    <w:name w:val="Body Text"/>
    <w:basedOn w:val="Normal"/>
    <w:pPr>
      <w:jc w:val="both"/>
    </w:pPr>
    <w:rPr>
      <w:rFonts w:ascii="Arial" w:hAnsi="Arial" w:cs="Arial"/>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A409AF"/>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2</Pages>
  <Words>560</Words>
  <Characters>3194</Characters>
  <Application>Microsoft Office Word</Application>
  <DocSecurity>0</DocSecurity>
  <Lines>0</Lines>
  <Paragraphs>0</Paragraphs>
  <ScaleCrop>false</ScaleCrop>
  <Company>...</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Administrator</dc:creator>
  <cp:lastModifiedBy>GaspJarm</cp:lastModifiedBy>
  <cp:revision>8</cp:revision>
  <cp:lastPrinted>2005-12-08T16:47:00Z</cp:lastPrinted>
  <dcterms:created xsi:type="dcterms:W3CDTF">2010-02-10T13:42:00Z</dcterms:created>
  <dcterms:modified xsi:type="dcterms:W3CDTF">2010-02-12T13:53:00Z</dcterms:modified>
</cp:coreProperties>
</file>