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</w:rPr>
      </w:pPr>
      <w:r w:rsidRPr="00A7209D">
        <w:rPr>
          <w:rFonts w:ascii="Times New Roman" w:hAnsi="Times New Roman" w:cs="Calibri"/>
          <w:b/>
          <w:caps/>
          <w:sz w:val="24"/>
          <w:szCs w:val="24"/>
        </w:rPr>
        <w:t>národná rada slovenskej republiky</w:t>
      </w:r>
    </w:p>
    <w:p w:rsidR="00731CAA" w:rsidRPr="00A7209D" w:rsidP="00A7209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IV. volebné obdobie</w:t>
      </w: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(Návrh)</w:t>
      </w: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ZÁKON</w:t>
      </w: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731CAA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z ...........2010,</w:t>
      </w:r>
    </w:p>
    <w:p w:rsidR="00C76B2C" w:rsidRPr="00A7209D" w:rsidP="00A7209D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p w:rsidR="00AE38A9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 xml:space="preserve">ktorým sa mení a dopĺňa zákon </w:t>
      </w:r>
      <w:r w:rsidR="006C3AFE">
        <w:rPr>
          <w:rFonts w:ascii="Times New Roman" w:hAnsi="Times New Roman" w:cs="Calibri"/>
          <w:b/>
          <w:bCs/>
          <w:sz w:val="24"/>
          <w:szCs w:val="24"/>
        </w:rPr>
        <w:t>č. 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>140/1998</w:t>
      </w:r>
      <w:r w:rsidR="006C3AFE">
        <w:rPr>
          <w:rFonts w:ascii="Times New Roman" w:hAnsi="Times New Roman" w:cs="Calibri"/>
          <w:b/>
          <w:bCs/>
          <w:sz w:val="24"/>
          <w:szCs w:val="24"/>
        </w:rPr>
        <w:t> Z. z.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 xml:space="preserve"> o liekoch a zdravotníckych pomôckach, o zmene zákona </w:t>
      </w:r>
      <w:r w:rsidR="006C3AFE">
        <w:rPr>
          <w:rFonts w:ascii="Times New Roman" w:hAnsi="Times New Roman" w:cs="Calibri"/>
          <w:b/>
          <w:bCs/>
          <w:sz w:val="24"/>
          <w:szCs w:val="24"/>
        </w:rPr>
        <w:t>č. 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>455/1991 Zb. o živnostenskom podnikaní (živnostenský zákon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>) v</w:t>
      </w:r>
      <w:r w:rsidRPr="00A7209D" w:rsidR="00A7209D">
        <w:rPr>
          <w:rFonts w:ascii="Times New Roman" w:hAnsi="Times New Roman" w:cs="Calibri"/>
          <w:b/>
          <w:bCs/>
          <w:sz w:val="24"/>
          <w:szCs w:val="24"/>
        </w:rPr>
        <w:t> 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>znení</w:t>
      </w:r>
      <w:r w:rsidRPr="00A7209D" w:rsidR="00A7209D">
        <w:rPr>
          <w:rFonts w:ascii="Times New Roman" w:hAnsi="Times New Roman" w:cs="Calibri"/>
          <w:b/>
          <w:bCs/>
          <w:sz w:val="24"/>
          <w:szCs w:val="24"/>
        </w:rPr>
        <w:t xml:space="preserve"> 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 xml:space="preserve">neskorších predpisov a o zmene a doplnení zákona Národnej rady Slovenskej republiky </w:t>
      </w:r>
      <w:r w:rsidR="006C3AFE">
        <w:rPr>
          <w:rFonts w:ascii="Times New Roman" w:hAnsi="Times New Roman" w:cs="Calibri"/>
          <w:b/>
          <w:bCs/>
          <w:sz w:val="24"/>
          <w:szCs w:val="24"/>
        </w:rPr>
        <w:t>č. 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>220/1996</w:t>
      </w:r>
      <w:r w:rsidR="006C3AFE">
        <w:rPr>
          <w:rFonts w:ascii="Times New Roman" w:hAnsi="Times New Roman" w:cs="Calibri"/>
          <w:b/>
          <w:bCs/>
          <w:sz w:val="24"/>
          <w:szCs w:val="24"/>
        </w:rPr>
        <w:t> Z. z.</w:t>
      </w:r>
      <w:r w:rsidRPr="00A7209D" w:rsidR="00C76B2C">
        <w:rPr>
          <w:rFonts w:ascii="Times New Roman" w:hAnsi="Times New Roman" w:cs="Calibri"/>
          <w:b/>
          <w:bCs/>
          <w:sz w:val="24"/>
          <w:szCs w:val="24"/>
        </w:rPr>
        <w:t xml:space="preserve"> o reklame v znení neskorších predpisov</w:t>
      </w:r>
    </w:p>
    <w:p w:rsidR="00AE38A9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E38A9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E38A9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Národná rada Slovenskej republiky sa uzniesla na tomto zákone:</w:t>
      </w:r>
    </w:p>
    <w:p w:rsidR="00AE38A9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E38A9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E38A9" w:rsidRPr="00A7209D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Čl. I</w:t>
      </w:r>
    </w:p>
    <w:p w:rsidR="00AE38A9" w:rsidRPr="00A7209D" w:rsidP="00A7209D">
      <w:p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</w:rPr>
      </w:pPr>
    </w:p>
    <w:p w:rsidR="00C76B2C" w:rsidRPr="00A7209D" w:rsidP="00A7209D">
      <w:pPr>
        <w:autoSpaceDE/>
        <w:autoSpaceDN/>
        <w:spacing w:after="0" w:line="240" w:lineRule="auto"/>
        <w:ind w:firstLine="708"/>
        <w:jc w:val="both"/>
        <w:rPr>
          <w:rFonts w:ascii="Times New Roman" w:hAnsi="Times New Roman" w:cs="Calibri"/>
          <w:bCs/>
          <w:sz w:val="24"/>
          <w:szCs w:val="24"/>
        </w:rPr>
      </w:pPr>
      <w:r w:rsidRPr="00A7209D">
        <w:rPr>
          <w:rFonts w:ascii="Times New Roman" w:hAnsi="Times New Roman" w:cs="Calibri"/>
          <w:bCs/>
          <w:sz w:val="24"/>
          <w:szCs w:val="24"/>
        </w:rPr>
        <w:t xml:space="preserve">Zákon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140/1998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 o lieko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ch a zdravotníckych pomôckach, o zmene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455/1991 Zb. o živnostenskom podnikaní (živnostenský zákon) v znení neskorších predpisov a o zmene a doplnení zákona Národnej rady Slovenskej republiky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220/1996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 o reklame v znení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104/1999</w:t>
      </w:r>
      <w:r w:rsidR="006C3AFE">
        <w:rPr>
          <w:rFonts w:ascii="Times New Roman" w:hAnsi="Times New Roman" w:cs="Calibri"/>
          <w:bCs/>
          <w:sz w:val="24"/>
          <w:szCs w:val="24"/>
        </w:rPr>
        <w:t> </w:t>
      </w:r>
      <w:r w:rsidR="006C3AFE">
        <w:rPr>
          <w:rFonts w:ascii="Times New Roman" w:hAnsi="Times New Roman" w:cs="Calibri"/>
          <w:bCs/>
          <w:sz w:val="24"/>
          <w:szCs w:val="24"/>
        </w:rPr>
        <w:t>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nálezu Ústavného súdu Slovenskej republiky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122/1999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264/1999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370/1999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119/2000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416/2001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488/2001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553/2001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216/2002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>, zákon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457/2002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256/2003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9/2004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434/2004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578/2004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633/2004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331/2005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342/2005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>, zákona č.342/2006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522/2006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>, záko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270/2007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>, zákona č.661/2007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, 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489/2008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="00A23CDF">
        <w:rPr>
          <w:rFonts w:ascii="Times New Roman" w:hAnsi="Times New Roman" w:cs="Calibri"/>
          <w:bCs/>
          <w:sz w:val="24"/>
          <w:szCs w:val="24"/>
        </w:rPr>
        <w:t xml:space="preserve">, zákona č. 318/2009 Z. z. 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 a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402/2009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 sa mení takto: </w:t>
      </w:r>
    </w:p>
    <w:p w:rsidR="00C76B2C" w:rsidRPr="00A7209D" w:rsidP="00A7209D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C76B2C" w:rsidRPr="00A7209D" w:rsidP="00A7209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/>
        <w:autoSpaceDN/>
        <w:spacing w:after="0" w:line="240" w:lineRule="auto"/>
        <w:ind w:left="566"/>
        <w:rPr>
          <w:rFonts w:ascii="Times New Roman" w:hAnsi="Times New Roman" w:cs="Calibri"/>
          <w:sz w:val="24"/>
          <w:szCs w:val="24"/>
        </w:rPr>
      </w:pPr>
      <w:r w:rsidR="00A23CDF">
        <w:rPr>
          <w:rFonts w:ascii="Times New Roman" w:hAnsi="Times New Roman" w:cs="Calibri"/>
          <w:sz w:val="24"/>
          <w:szCs w:val="24"/>
        </w:rPr>
        <w:t xml:space="preserve"> V  </w:t>
      </w:r>
      <w:r w:rsidRPr="00A7209D">
        <w:rPr>
          <w:rFonts w:ascii="Times New Roman" w:hAnsi="Times New Roman" w:cs="Calibri"/>
          <w:sz w:val="24"/>
          <w:szCs w:val="24"/>
        </w:rPr>
        <w:t>§</w:t>
      </w:r>
      <w:r w:rsidR="00A23CDF">
        <w:rPr>
          <w:rFonts w:ascii="Times New Roman" w:hAnsi="Times New Roman" w:cs="Calibri"/>
          <w:sz w:val="24"/>
          <w:szCs w:val="24"/>
        </w:rPr>
        <w:t xml:space="preserve"> </w:t>
      </w:r>
      <w:r w:rsidRPr="00A7209D">
        <w:rPr>
          <w:rFonts w:ascii="Times New Roman" w:hAnsi="Times New Roman" w:cs="Calibri"/>
          <w:sz w:val="24"/>
          <w:szCs w:val="24"/>
        </w:rPr>
        <w:t>35a ods</w:t>
      </w:r>
      <w:r w:rsidR="00A23CDF">
        <w:rPr>
          <w:rFonts w:ascii="Times New Roman" w:hAnsi="Times New Roman" w:cs="Calibri"/>
          <w:sz w:val="24"/>
          <w:szCs w:val="24"/>
        </w:rPr>
        <w:t>ek</w:t>
      </w:r>
      <w:r w:rsidRPr="00A7209D">
        <w:rPr>
          <w:rFonts w:ascii="Times New Roman" w:hAnsi="Times New Roman" w:cs="Calibri"/>
          <w:sz w:val="24"/>
          <w:szCs w:val="24"/>
        </w:rPr>
        <w:t xml:space="preserve"> 3 znie:</w:t>
      </w:r>
    </w:p>
    <w:p w:rsidR="00C76B2C" w:rsidRPr="00A7209D" w:rsidP="00A7209D">
      <w:pPr>
        <w:autoSpaceDE/>
        <w:autoSpaceDN/>
        <w:spacing w:after="0" w:line="240" w:lineRule="auto"/>
        <w:ind w:left="566"/>
        <w:rPr>
          <w:rFonts w:ascii="Times New Roman" w:hAnsi="Times New Roman" w:cs="Calibri"/>
          <w:sz w:val="24"/>
          <w:szCs w:val="24"/>
        </w:rPr>
      </w:pPr>
      <w:r w:rsidR="00A23CDF">
        <w:rPr>
          <w:rFonts w:ascii="Times New Roman" w:hAnsi="Times New Roman" w:cs="Calibri"/>
          <w:sz w:val="24"/>
          <w:szCs w:val="24"/>
        </w:rPr>
        <w:t>„</w:t>
      </w:r>
      <w:r w:rsidRPr="00A7209D">
        <w:rPr>
          <w:rFonts w:ascii="Times New Roman" w:hAnsi="Times New Roman" w:cs="Calibri"/>
          <w:sz w:val="24"/>
          <w:szCs w:val="24"/>
        </w:rPr>
        <w:t>(3) Zakazuje sa zásielkový výdaj liekov, ktoré sú predpísané na lekárskom predpise.”</w:t>
      </w:r>
      <w:r w:rsidR="00A23CDF">
        <w:rPr>
          <w:rFonts w:ascii="Times New Roman" w:hAnsi="Times New Roman" w:cs="Calibri"/>
          <w:sz w:val="24"/>
          <w:szCs w:val="24"/>
        </w:rPr>
        <w:t>.</w:t>
      </w:r>
    </w:p>
    <w:p w:rsidR="00C76B2C" w:rsidRPr="00A7209D" w:rsidP="00A7209D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C76B2C" w:rsidRPr="00A7209D" w:rsidP="00A7209D">
      <w:pPr>
        <w:autoSpaceDE/>
        <w:autoSpaceDN/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Čl. II</w:t>
      </w:r>
    </w:p>
    <w:p w:rsidR="00A7209D" w:rsidRPr="00A7209D" w:rsidP="00A7209D">
      <w:pPr>
        <w:autoSpaceDE/>
        <w:autoSpaceDN/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autoSpaceDE/>
        <w:autoSpaceDN/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A7209D" w:rsidR="00C76B2C">
        <w:rPr>
          <w:rFonts w:ascii="Times New Roman" w:hAnsi="Times New Roman" w:cs="Calibri"/>
          <w:sz w:val="24"/>
          <w:szCs w:val="24"/>
        </w:rPr>
        <w:t xml:space="preserve">Tento zákon nadobúda účinnosť 1. </w:t>
      </w:r>
      <w:r w:rsidRPr="00A7209D" w:rsidR="00731CAA">
        <w:rPr>
          <w:rFonts w:ascii="Times New Roman" w:hAnsi="Times New Roman" w:cs="Calibri"/>
          <w:sz w:val="24"/>
          <w:szCs w:val="24"/>
        </w:rPr>
        <w:t>júla</w:t>
      </w:r>
      <w:r w:rsidRPr="00A7209D" w:rsidR="00C76B2C">
        <w:rPr>
          <w:rFonts w:ascii="Times New Roman" w:hAnsi="Times New Roman" w:cs="Calibri"/>
          <w:sz w:val="24"/>
          <w:szCs w:val="24"/>
        </w:rPr>
        <w:t xml:space="preserve"> 2010.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br w:type="page"/>
      </w:r>
    </w:p>
    <w:p w:rsidR="00A7209D" w:rsidRPr="00A7209D" w:rsidP="00A7209D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</w:rPr>
      </w:pPr>
      <w:r w:rsidRPr="00A7209D">
        <w:rPr>
          <w:rFonts w:ascii="Times New Roman" w:hAnsi="Times New Roman" w:cs="Calibri"/>
          <w:b/>
          <w:caps/>
          <w:sz w:val="24"/>
          <w:szCs w:val="24"/>
        </w:rPr>
        <w:t>Dôvodová správa</w:t>
      </w:r>
    </w:p>
    <w:p w:rsidR="00A7209D" w:rsidRPr="00A7209D" w:rsidP="00A7209D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Všeobecná časť</w:t>
      </w:r>
    </w:p>
    <w:p w:rsidR="00A7209D" w:rsidRPr="00A7209D" w:rsidP="00A7209D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P="00A7209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 xml:space="preserve">Návrh novely zákona, 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ktorým sa mení zákon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140/1998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 o</w:t>
      </w:r>
      <w:r>
        <w:rPr>
          <w:rFonts w:ascii="Times New Roman" w:hAnsi="Times New Roman" w:cs="Calibri"/>
          <w:bCs/>
          <w:sz w:val="24"/>
          <w:szCs w:val="24"/>
        </w:rPr>
        <w:t> </w:t>
      </w:r>
      <w:r w:rsidRPr="00A7209D">
        <w:rPr>
          <w:rFonts w:ascii="Times New Roman" w:hAnsi="Times New Roman" w:cs="Calibri"/>
          <w:bCs/>
          <w:sz w:val="24"/>
          <w:szCs w:val="24"/>
        </w:rPr>
        <w:t>liekoch</w:t>
      </w:r>
      <w:r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A7209D">
        <w:rPr>
          <w:rFonts w:ascii="Times New Roman" w:hAnsi="Times New Roman" w:cs="Calibri"/>
          <w:bCs/>
          <w:sz w:val="24"/>
          <w:szCs w:val="24"/>
        </w:rPr>
        <w:t>a</w:t>
      </w:r>
      <w:r>
        <w:rPr>
          <w:rFonts w:ascii="Times New Roman" w:hAnsi="Times New Roman" w:cs="Calibri"/>
          <w:bCs/>
          <w:sz w:val="24"/>
          <w:szCs w:val="24"/>
        </w:rPr>
        <w:t> </w:t>
      </w:r>
      <w:r w:rsidRPr="00A7209D">
        <w:rPr>
          <w:rFonts w:ascii="Times New Roman" w:hAnsi="Times New Roman" w:cs="Calibri"/>
          <w:bCs/>
          <w:sz w:val="24"/>
          <w:szCs w:val="24"/>
        </w:rPr>
        <w:t>zdravotníckych</w:t>
      </w:r>
      <w:r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pomôckach, o zmene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455/1991 Zb. o živnostenskom podnikaní (živnostenský 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zákon) v znení neskorších predpisov a o zmene a doplnení zákona Národnej rady Slovenskej republiky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>
        <w:rPr>
          <w:rFonts w:ascii="Times New Roman" w:hAnsi="Times New Roman" w:cs="Calibri"/>
          <w:bCs/>
          <w:sz w:val="24"/>
          <w:szCs w:val="24"/>
        </w:rPr>
        <w:t>220/1996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 o</w:t>
      </w:r>
      <w:r>
        <w:rPr>
          <w:rFonts w:ascii="Times New Roman" w:hAnsi="Times New Roman" w:cs="Calibri"/>
          <w:bCs/>
          <w:sz w:val="24"/>
          <w:szCs w:val="24"/>
        </w:rPr>
        <w:t> </w:t>
      </w:r>
      <w:r w:rsidRPr="00A7209D">
        <w:rPr>
          <w:rFonts w:ascii="Times New Roman" w:hAnsi="Times New Roman" w:cs="Calibri"/>
          <w:bCs/>
          <w:sz w:val="24"/>
          <w:szCs w:val="24"/>
        </w:rPr>
        <w:t>reklame</w:t>
      </w:r>
      <w:r>
        <w:rPr>
          <w:rFonts w:ascii="Times New Roman" w:hAnsi="Times New Roman" w:cs="Calibri"/>
          <w:bCs/>
          <w:sz w:val="24"/>
          <w:szCs w:val="24"/>
        </w:rPr>
        <w:t xml:space="preserve"> v znení neskorších predpisov opravuje dôsledok, ktorý spôsobila poslanecká novela tohto zákona (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>
        <w:rPr>
          <w:rFonts w:ascii="Times New Roman" w:hAnsi="Times New Roman" w:cs="Calibri"/>
          <w:bCs/>
          <w:sz w:val="24"/>
          <w:szCs w:val="24"/>
        </w:rPr>
        <w:t>402/2009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>
        <w:rPr>
          <w:rFonts w:ascii="Times New Roman" w:hAnsi="Times New Roman" w:cs="Calibri"/>
          <w:bCs/>
          <w:sz w:val="24"/>
          <w:szCs w:val="24"/>
        </w:rPr>
        <w:t>) v podobe zákaz</w:t>
      </w:r>
      <w:r>
        <w:rPr>
          <w:rFonts w:ascii="Times New Roman" w:hAnsi="Times New Roman" w:cs="Calibri"/>
          <w:bCs/>
          <w:sz w:val="24"/>
          <w:szCs w:val="24"/>
        </w:rPr>
        <w:t xml:space="preserve">u zásielkového </w:t>
      </w:r>
      <w:r w:rsidR="00D432B9">
        <w:rPr>
          <w:rFonts w:ascii="Times New Roman" w:hAnsi="Times New Roman" w:cs="Calibri"/>
          <w:bCs/>
          <w:sz w:val="24"/>
          <w:szCs w:val="24"/>
        </w:rPr>
        <w:t xml:space="preserve">výdaja </w:t>
      </w:r>
      <w:r>
        <w:rPr>
          <w:rFonts w:ascii="Times New Roman" w:hAnsi="Times New Roman" w:cs="Calibri"/>
          <w:bCs/>
          <w:sz w:val="24"/>
          <w:szCs w:val="24"/>
        </w:rPr>
        <w:t>zdravotníckych pomôcok predpísaných na lekárskom poukaze.</w:t>
      </w:r>
    </w:p>
    <w:p w:rsidR="00A7209D" w:rsidP="00B10F4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Calibri"/>
          <w:bCs/>
          <w:sz w:val="24"/>
          <w:szCs w:val="24"/>
        </w:rPr>
        <w:t xml:space="preserve">Na Slovensku fungoval zásielkový </w:t>
      </w:r>
      <w:r w:rsidR="00D432B9">
        <w:rPr>
          <w:rFonts w:ascii="Times New Roman" w:hAnsi="Times New Roman" w:cs="Calibri"/>
          <w:bCs/>
          <w:sz w:val="24"/>
          <w:szCs w:val="24"/>
        </w:rPr>
        <w:t xml:space="preserve">výdaj </w:t>
      </w:r>
      <w:r>
        <w:rPr>
          <w:rFonts w:ascii="Times New Roman" w:hAnsi="Times New Roman" w:cs="Calibri"/>
          <w:bCs/>
          <w:sz w:val="24"/>
          <w:szCs w:val="24"/>
        </w:rPr>
        <w:t>zdravotnícky</w:t>
      </w:r>
      <w:r w:rsidR="00B10F4F">
        <w:rPr>
          <w:rFonts w:ascii="Times New Roman" w:hAnsi="Times New Roman" w:cs="Calibri"/>
          <w:bCs/>
          <w:sz w:val="24"/>
          <w:szCs w:val="24"/>
        </w:rPr>
        <w:t>c</w:t>
      </w:r>
      <w:r>
        <w:rPr>
          <w:rFonts w:ascii="Times New Roman" w:hAnsi="Times New Roman" w:cs="Calibri"/>
          <w:bCs/>
          <w:sz w:val="24"/>
          <w:szCs w:val="24"/>
        </w:rPr>
        <w:t>h pomôcok predpísaných na lekárskom poukaze až do účinnosti uveden</w:t>
      </w:r>
      <w:r w:rsidR="00B10F4F">
        <w:rPr>
          <w:rFonts w:ascii="Times New Roman" w:hAnsi="Times New Roman" w:cs="Calibri"/>
          <w:bCs/>
          <w:sz w:val="24"/>
          <w:szCs w:val="24"/>
        </w:rPr>
        <w:t xml:space="preserve">ej novely, t.j. do </w:t>
      </w:r>
      <w:r>
        <w:rPr>
          <w:rFonts w:ascii="Times New Roman" w:hAnsi="Times New Roman" w:cs="Calibri"/>
          <w:bCs/>
          <w:sz w:val="24"/>
          <w:szCs w:val="24"/>
        </w:rPr>
        <w:t xml:space="preserve">1. </w:t>
      </w:r>
      <w:r w:rsidR="00B10F4F">
        <w:rPr>
          <w:rFonts w:ascii="Times New Roman" w:hAnsi="Times New Roman" w:cs="Calibri"/>
          <w:bCs/>
          <w:sz w:val="24"/>
          <w:szCs w:val="24"/>
        </w:rPr>
        <w:t>decembra</w:t>
      </w:r>
      <w:r>
        <w:rPr>
          <w:rFonts w:ascii="Times New Roman" w:hAnsi="Times New Roman" w:cs="Calibri"/>
          <w:bCs/>
          <w:sz w:val="24"/>
          <w:szCs w:val="24"/>
        </w:rPr>
        <w:t xml:space="preserve"> 2009. Umožňoval tak ťažko zdravotne postihnutým pacientom využívať spôsob doručovania zdravotníckych pomôcok prostredníctvom služieb Slovenskej pošty,</w:t>
      </w:r>
      <w:r w:rsidR="00B10F4F">
        <w:rPr>
          <w:rFonts w:ascii="Times New Roman" w:hAnsi="Times New Roman" w:cs="Calibri"/>
          <w:bCs/>
          <w:sz w:val="24"/>
          <w:szCs w:val="24"/>
        </w:rPr>
        <w:t xml:space="preserve"> a. s.,</w:t>
      </w:r>
      <w:r>
        <w:rPr>
          <w:rFonts w:ascii="Times New Roman" w:hAnsi="Times New Roman" w:cs="Calibri"/>
          <w:bCs/>
          <w:sz w:val="24"/>
          <w:szCs w:val="24"/>
        </w:rPr>
        <w:t xml:space="preserve"> ktorej sieť pobočiek je podstatne hustejšia než sieť </w:t>
      </w:r>
      <w:r w:rsidR="00B10F4F">
        <w:rPr>
          <w:rFonts w:ascii="Times New Roman" w:hAnsi="Times New Roman" w:cs="Calibri"/>
          <w:bCs/>
          <w:sz w:val="24"/>
          <w:szCs w:val="24"/>
        </w:rPr>
        <w:t xml:space="preserve">výdajní zdravotníckych pomôcok. Zásielkový </w:t>
      </w:r>
      <w:r w:rsidR="00D432B9">
        <w:rPr>
          <w:rFonts w:ascii="Times New Roman" w:hAnsi="Times New Roman" w:cs="Calibri"/>
          <w:bCs/>
          <w:sz w:val="24"/>
          <w:szCs w:val="24"/>
        </w:rPr>
        <w:t>výdaj</w:t>
      </w:r>
      <w:r w:rsidR="00B10F4F">
        <w:rPr>
          <w:rFonts w:ascii="Times New Roman" w:hAnsi="Times New Roman" w:cs="Calibri"/>
          <w:bCs/>
          <w:sz w:val="24"/>
          <w:szCs w:val="24"/>
        </w:rPr>
        <w:t xml:space="preserve"> zdravotníckych pomôcok tak predstavuje zabezpečenie dostupnosti zdravotnej starostlivosti.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 </w:t>
      </w:r>
    </w:p>
    <w:p w:rsidR="00B10F4F" w:rsidP="00B10F4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Calibri"/>
          <w:bCs/>
          <w:sz w:val="24"/>
          <w:szCs w:val="24"/>
        </w:rPr>
        <w:t xml:space="preserve">Táto situácia sa zmenila prijatím spomenutej novely. Prijatiu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>
        <w:rPr>
          <w:rFonts w:ascii="Times New Roman" w:hAnsi="Times New Roman" w:cs="Calibri"/>
          <w:bCs/>
          <w:sz w:val="24"/>
          <w:szCs w:val="24"/>
        </w:rPr>
        <w:t>402/2009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>
        <w:rPr>
          <w:rFonts w:ascii="Times New Roman" w:hAnsi="Times New Roman" w:cs="Calibri"/>
          <w:bCs/>
          <w:sz w:val="24"/>
          <w:szCs w:val="24"/>
        </w:rPr>
        <w:t xml:space="preserve"> nepredchádzala potrebná verejná diskusia. Predmetné ustanovenie, ktoré spôsobilo popisovanú situáciu (§35a ods. 3) bolo predkladané ako pozmeňovací návrh v II. čítaní v NR SR bez dostatočného zváženia negatívnych dôsledkov v aplikačnej praxi.</w:t>
      </w:r>
    </w:p>
    <w:p w:rsidR="006C3AFE" w:rsidP="00B10F4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  <w:r w:rsidR="00B10F4F">
        <w:rPr>
          <w:rFonts w:ascii="Times New Roman" w:hAnsi="Times New Roman" w:cs="Calibri"/>
          <w:bCs/>
          <w:sz w:val="24"/>
          <w:szCs w:val="24"/>
        </w:rPr>
        <w:t xml:space="preserve">Na základe doterajšej praxe nebola zaznamenaná negatívna skúsenosť, ktorá by odôvodňovala takýto zákaz. </w:t>
      </w:r>
      <w:r>
        <w:rPr>
          <w:rFonts w:ascii="Times New Roman" w:hAnsi="Times New Roman" w:cs="Calibri"/>
          <w:bCs/>
          <w:sz w:val="24"/>
          <w:szCs w:val="24"/>
        </w:rPr>
        <w:t xml:space="preserve">Zdravotné poisťovne bez výhrad uhrádzali lekárske poukazy, na ktoré boli pacientom vydávané zdravotnícke pomôcky prostredníctvom zásielkovej služby. </w:t>
      </w:r>
    </w:p>
    <w:p w:rsidR="00B10F4F" w:rsidP="00A7209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  <w:r w:rsidR="006C3AFE">
        <w:rPr>
          <w:rFonts w:ascii="Times New Roman" w:hAnsi="Times New Roman" w:cs="Calibri"/>
          <w:bCs/>
          <w:sz w:val="24"/>
          <w:szCs w:val="24"/>
        </w:rPr>
        <w:t>N</w:t>
      </w:r>
      <w:r>
        <w:rPr>
          <w:rFonts w:ascii="Times New Roman" w:hAnsi="Times New Roman" w:cs="Calibri"/>
          <w:bCs/>
          <w:sz w:val="24"/>
          <w:szCs w:val="24"/>
        </w:rPr>
        <w:t xml:space="preserve">aopak, prijatím zákazu sa podstatne skomplikovala situácia stovkám pacientov, ktorí služby zásielkového </w:t>
      </w:r>
      <w:r w:rsidR="00D432B9">
        <w:rPr>
          <w:rFonts w:ascii="Times New Roman" w:hAnsi="Times New Roman" w:cs="Calibri"/>
          <w:bCs/>
          <w:sz w:val="24"/>
          <w:szCs w:val="24"/>
        </w:rPr>
        <w:t xml:space="preserve">výdaja </w:t>
      </w:r>
      <w:r>
        <w:rPr>
          <w:rFonts w:ascii="Times New Roman" w:hAnsi="Times New Roman" w:cs="Calibri"/>
          <w:bCs/>
          <w:sz w:val="24"/>
          <w:szCs w:val="24"/>
        </w:rPr>
        <w:t>dosiaľ bezproblémovo využívali.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 </w:t>
      </w:r>
      <w:r w:rsidR="00A7209D">
        <w:rPr>
          <w:rFonts w:ascii="Times New Roman" w:hAnsi="Times New Roman" w:cs="Calibri"/>
          <w:bCs/>
          <w:sz w:val="24"/>
          <w:szCs w:val="24"/>
        </w:rPr>
        <w:t xml:space="preserve">Pre zdravotne ťažko postihnutých pacientov je preprava do najbližšej výdajne zdravotníckych pomôcok fyzicky často nezvládnuteľná úloha. </w:t>
      </w:r>
      <w:r>
        <w:rPr>
          <w:rFonts w:ascii="Times New Roman" w:hAnsi="Times New Roman" w:cs="Calibri"/>
          <w:bCs/>
          <w:sz w:val="24"/>
          <w:szCs w:val="24"/>
        </w:rPr>
        <w:t>Pre mobilnejších pacientov predstavuje cestovanie za najbližšou výdajňou zdravotníckych pomôcok finančnú záťaž, ktorá zaťažuje beztak napätý rozpočet ich domácnosti.</w:t>
      </w:r>
    </w:p>
    <w:p w:rsidR="00B10F4F" w:rsidP="00B10F4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  <w:r>
        <w:rPr>
          <w:rFonts w:ascii="Times New Roman" w:hAnsi="Times New Roman" w:cs="Calibri"/>
          <w:bCs/>
          <w:sz w:val="24"/>
          <w:szCs w:val="24"/>
        </w:rPr>
        <w:t>Uvedená novela zhoršila stav sociálno-zdravotnej ochrany občanov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 Slovenskej republiky a sťažila dostupnosť zdravotnej starostlivosti hradenej z verejného zdravotného poistenia. </w:t>
      </w:r>
    </w:p>
    <w:p w:rsidR="008D3790" w:rsidP="00DA79A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  <w:r w:rsidR="00B10F4F">
        <w:rPr>
          <w:rFonts w:ascii="Times New Roman" w:hAnsi="Times New Roman" w:cs="Calibri"/>
          <w:bCs/>
          <w:sz w:val="24"/>
          <w:szCs w:val="24"/>
        </w:rPr>
        <w:t>Na</w:t>
      </w:r>
      <w:r w:rsidR="00B10F4F">
        <w:rPr>
          <w:rFonts w:ascii="Times New Roman" w:hAnsi="Times New Roman" w:cs="Calibri"/>
          <w:bCs/>
          <w:sz w:val="24"/>
          <w:szCs w:val="24"/>
        </w:rPr>
        <w:t>vrhované znenie zákona vracia právny stav v oblasti výdaja zdravotníckych pomôcok pred dátum účinnosti ostatnej novely zákona.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 Vychádza tak v ústrety zdravotne ťažko chorým spoluobčanom a prispieva tak k plneniu základných cieľov solidárneho zdravotného systému: dostupnosti zdravotnej starostlivosti a finančnej ochrane poistencov.</w:t>
      </w:r>
      <w:r>
        <w:rPr>
          <w:rFonts w:ascii="Times New Roman" w:hAnsi="Times New Roman" w:cs="Calibri"/>
          <w:bCs/>
          <w:sz w:val="24"/>
          <w:szCs w:val="24"/>
        </w:rPr>
        <w:t xml:space="preserve"> Zásielkový výdaj zdravotníckych pomôcok sa pritom bude riadiť platnou reguláciou výdaja zdravotníckych pomôcok.</w:t>
      </w:r>
    </w:p>
    <w:p w:rsidR="00A23CDF" w:rsidRPr="00A23CDF" w:rsidP="00A23CDF">
      <w:pPr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A23CDF">
        <w:rPr>
          <w:rFonts w:ascii="Times New Roman" w:hAnsi="Times New Roman" w:cs="Calibri"/>
          <w:sz w:val="24"/>
          <w:szCs w:val="24"/>
        </w:rPr>
        <w:t>Navrhovaná právna úprava je v súlade s Ústavou Slovenskej republiky, s právnym poriadkom Slovenskej republiky a s medzinárodnými zmluvami a inými dokumentmi, ktorými je Slovenská republika viazaná.</w:t>
      </w:r>
    </w:p>
    <w:p w:rsidR="00A23CDF" w:rsidRPr="006C3AFE" w:rsidP="00DA79A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</w:rPr>
      </w:pPr>
    </w:p>
    <w:p w:rsidR="00A7209D" w:rsidRPr="00A7209D" w:rsidP="00A7209D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cs-CZ"/>
        </w:rPr>
      </w:pPr>
      <w:r w:rsidRPr="00A7209D">
        <w:rPr>
          <w:rFonts w:ascii="Times New Roman" w:hAnsi="Times New Roman" w:cs="Calibri"/>
          <w:sz w:val="24"/>
          <w:szCs w:val="24"/>
        </w:rPr>
        <w:br w:type="page"/>
      </w:r>
      <w:r w:rsidRPr="00A7209D">
        <w:rPr>
          <w:rFonts w:ascii="Times New Roman" w:hAnsi="Times New Roman" w:cs="Calibri"/>
          <w:b/>
          <w:caps/>
          <w:sz w:val="24"/>
          <w:szCs w:val="24"/>
          <w:lang w:eastAsia="cs-CZ"/>
        </w:rPr>
        <w:t>Doložka zlučiteľnosti</w:t>
      </w:r>
    </w:p>
    <w:p w:rsidR="00A7209D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cs-CZ"/>
        </w:rPr>
      </w:pPr>
      <w:r w:rsidRPr="00A7209D">
        <w:rPr>
          <w:rFonts w:ascii="Times New Roman" w:hAnsi="Times New Roman" w:cs="Calibri"/>
          <w:b/>
          <w:sz w:val="24"/>
          <w:szCs w:val="24"/>
          <w:lang w:eastAsia="cs-CZ"/>
        </w:rPr>
        <w:t xml:space="preserve">právneho predpisu </w:t>
      </w:r>
    </w:p>
    <w:p w:rsidR="00A7209D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cs-CZ"/>
        </w:rPr>
      </w:pPr>
      <w:r w:rsidRPr="00A7209D">
        <w:rPr>
          <w:rFonts w:ascii="Times New Roman" w:hAnsi="Times New Roman" w:cs="Calibri"/>
          <w:b/>
          <w:sz w:val="24"/>
          <w:szCs w:val="24"/>
          <w:lang w:eastAsia="cs-CZ"/>
        </w:rPr>
        <w:t>s právom Európskych spoločenstiev a Európskej únie</w:t>
      </w:r>
    </w:p>
    <w:p w:rsidR="00A7209D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cs-CZ"/>
        </w:rPr>
      </w:pPr>
    </w:p>
    <w:p w:rsidR="00A7209D" w:rsidRPr="00A7209D" w:rsidP="00A7209D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 xml:space="preserve">1. Predkladateľ právneho predpisu: 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Skupina poslancov Národnej rady Slovenskej republiky.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2. Názov návrhu právneho predpisu: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Cs/>
          <w:kern w:val="28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 xml:space="preserve">Návrh </w:t>
      </w:r>
      <w:r w:rsidRPr="00A7209D">
        <w:rPr>
          <w:rFonts w:ascii="Times New Roman" w:hAnsi="Times New Roman" w:cs="Calibri"/>
          <w:bCs/>
          <w:sz w:val="24"/>
          <w:szCs w:val="24"/>
        </w:rPr>
        <w:t xml:space="preserve">zákona, 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ktorým sa 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 xml:space="preserve">mení zákon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>140/1998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 xml:space="preserve"> o</w:t>
      </w:r>
      <w:r w:rsidR="006C3AFE">
        <w:rPr>
          <w:rFonts w:ascii="Times New Roman" w:hAnsi="Times New Roman" w:cs="Calibri"/>
          <w:bCs/>
          <w:sz w:val="24"/>
          <w:szCs w:val="24"/>
        </w:rPr>
        <w:t> 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>liekoch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>a</w:t>
      </w:r>
      <w:r w:rsidR="006C3AFE">
        <w:rPr>
          <w:rFonts w:ascii="Times New Roman" w:hAnsi="Times New Roman" w:cs="Calibri"/>
          <w:bCs/>
          <w:sz w:val="24"/>
          <w:szCs w:val="24"/>
        </w:rPr>
        <w:t> 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>zdravotníckych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 xml:space="preserve">pomôckach, o zmene zákona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 xml:space="preserve">455/1991 Zb. o živnostenskom podnikaní (živnostenský zákon) v znení neskorších predpisov a o zmene a doplnení zákona Národnej rady Slovenskej republiky </w:t>
      </w:r>
      <w:r w:rsidR="006C3AFE">
        <w:rPr>
          <w:rFonts w:ascii="Times New Roman" w:hAnsi="Times New Roman" w:cs="Calibri"/>
          <w:bCs/>
          <w:sz w:val="24"/>
          <w:szCs w:val="24"/>
        </w:rPr>
        <w:t>č. 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>220/1996</w:t>
      </w:r>
      <w:r w:rsidR="006C3AFE">
        <w:rPr>
          <w:rFonts w:ascii="Times New Roman" w:hAnsi="Times New Roman" w:cs="Calibri"/>
          <w:bCs/>
          <w:sz w:val="24"/>
          <w:szCs w:val="24"/>
        </w:rPr>
        <w:t> Z. z.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 xml:space="preserve"> o</w:t>
      </w:r>
      <w:r w:rsidR="006C3AFE">
        <w:rPr>
          <w:rFonts w:ascii="Times New Roman" w:hAnsi="Times New Roman" w:cs="Calibri"/>
          <w:bCs/>
          <w:sz w:val="24"/>
          <w:szCs w:val="24"/>
        </w:rPr>
        <w:t> </w:t>
      </w:r>
      <w:r w:rsidRPr="00A7209D" w:rsidR="006C3AFE">
        <w:rPr>
          <w:rFonts w:ascii="Times New Roman" w:hAnsi="Times New Roman" w:cs="Calibri"/>
          <w:bCs/>
          <w:sz w:val="24"/>
          <w:szCs w:val="24"/>
        </w:rPr>
        <w:t>reklame</w:t>
      </w:r>
      <w:r w:rsidR="006C3AFE">
        <w:rPr>
          <w:rFonts w:ascii="Times New Roman" w:hAnsi="Times New Roman" w:cs="Calibri"/>
          <w:bCs/>
          <w:sz w:val="24"/>
          <w:szCs w:val="24"/>
        </w:rPr>
        <w:t xml:space="preserve"> v znení neskorších predpisov.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3. Problematika návrhu právneho predpisu: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Nie je upravená v práve Európskych spoločenstiev.</w:t>
      </w:r>
    </w:p>
    <w:p w:rsidR="00A7209D" w:rsidRPr="00A7209D" w:rsidP="00A7209D">
      <w:pPr>
        <w:spacing w:after="0" w:line="240" w:lineRule="auto"/>
        <w:ind w:left="360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pStyle w:val="BodyText"/>
      </w:pPr>
      <w:r w:rsidRPr="00A7209D">
        <w:t>4. Záväzky Slovenskej republiky vo vzťahu k Európskym spoločenstvám a Európskej únii:</w:t>
      </w:r>
    </w:p>
    <w:p w:rsidR="00A7209D" w:rsidRPr="00A7209D" w:rsidP="00A7209D">
      <w:pPr>
        <w:pStyle w:val="BodyText"/>
      </w:pPr>
    </w:p>
    <w:p w:rsidR="00A7209D" w:rsidRPr="00A7209D" w:rsidP="00A7209D">
      <w:pPr>
        <w:spacing w:after="0" w:line="240" w:lineRule="auto"/>
        <w:ind w:left="720" w:hanging="360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a) bezpredmetné,</w:t>
      </w:r>
    </w:p>
    <w:p w:rsidR="00A7209D" w:rsidRPr="00A7209D" w:rsidP="00A7209D">
      <w:pPr>
        <w:spacing w:after="0" w:line="240" w:lineRule="auto"/>
        <w:ind w:left="720" w:hanging="360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b) bezpredmetné,</w:t>
      </w:r>
    </w:p>
    <w:p w:rsidR="00A7209D" w:rsidRPr="00A7209D" w:rsidP="00A7209D">
      <w:pPr>
        <w:spacing w:after="0" w:line="240" w:lineRule="auto"/>
        <w:ind w:left="720" w:hanging="360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c) bezpredmetné.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  <w:lang w:eastAsia="cs-CZ"/>
        </w:rPr>
      </w:pPr>
    </w:p>
    <w:p w:rsidR="00A7209D" w:rsidRPr="00A7209D" w:rsidP="00A7209D">
      <w:pPr>
        <w:spacing w:after="0" w:line="240" w:lineRule="auto"/>
        <w:ind w:left="360" w:hanging="360"/>
        <w:jc w:val="both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5. Stupeň zlučiteľnosti návrhu nariadenia s právom Európskych spoločenstiev a</w:t>
      </w:r>
      <w:r w:rsidR="00E303A4">
        <w:rPr>
          <w:rFonts w:ascii="Times New Roman" w:hAnsi="Times New Roman" w:cs="Calibri"/>
          <w:b/>
          <w:sz w:val="24"/>
          <w:szCs w:val="24"/>
        </w:rPr>
        <w:t> </w:t>
      </w:r>
      <w:r w:rsidRPr="00A7209D">
        <w:rPr>
          <w:rFonts w:ascii="Times New Roman" w:hAnsi="Times New Roman" w:cs="Calibri"/>
          <w:b/>
          <w:sz w:val="24"/>
          <w:szCs w:val="24"/>
        </w:rPr>
        <w:t>právom</w:t>
      </w:r>
      <w:r w:rsidR="00E303A4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A7209D">
        <w:rPr>
          <w:rFonts w:ascii="Times New Roman" w:hAnsi="Times New Roman" w:cs="Calibri"/>
          <w:b/>
          <w:sz w:val="24"/>
          <w:szCs w:val="24"/>
        </w:rPr>
        <w:t>Európskej únie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Bezpredmetné.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6. Gestor (spolupracujúce rezorty):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Bezpredmetné.</w:t>
      </w:r>
    </w:p>
    <w:p w:rsidR="00A7209D" w:rsidRPr="00A7209D" w:rsidP="00A7209D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br w:type="page"/>
      </w:r>
      <w:r w:rsidRPr="00A7209D">
        <w:rPr>
          <w:rFonts w:ascii="Times New Roman" w:hAnsi="Times New Roman" w:cs="Calibri"/>
          <w:b/>
          <w:bCs/>
          <w:caps/>
          <w:sz w:val="24"/>
          <w:szCs w:val="24"/>
        </w:rPr>
        <w:t>Doložka finančných, ekonomických, environmentálnych vplyvov, vplyvov na zamestnanosť a podnikateľské prostredie</w:t>
      </w:r>
    </w:p>
    <w:p w:rsidR="00A7209D" w:rsidRPr="00A7209D" w:rsidP="00A7209D">
      <w:pPr>
        <w:pStyle w:val="BodyText"/>
        <w:jc w:val="center"/>
        <w:rPr>
          <w:b w:val="0"/>
          <w:bCs/>
          <w:caps/>
        </w:rPr>
      </w:pPr>
    </w:p>
    <w:p w:rsidR="00A7209D" w:rsidRPr="00A7209D" w:rsidP="00A7209D">
      <w:pPr>
        <w:pStyle w:val="BodyText"/>
        <w:jc w:val="center"/>
        <w:rPr>
          <w:b w:val="0"/>
          <w:bCs/>
        </w:rPr>
      </w:pPr>
    </w:p>
    <w:p w:rsidR="00A7209D" w:rsidRPr="00A7209D" w:rsidP="00A7209D">
      <w:pPr>
        <w:pStyle w:val="BodyText"/>
        <w:rPr>
          <w:bCs/>
        </w:rPr>
      </w:pPr>
      <w:r w:rsidRPr="00A7209D">
        <w:rPr>
          <w:bCs/>
        </w:rPr>
        <w:t>Odhad vplyvu na verejné financie: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Cs/>
          <w:kern w:val="28"/>
          <w:sz w:val="24"/>
          <w:szCs w:val="24"/>
        </w:rPr>
      </w:pPr>
      <w:r w:rsidR="00E303A4">
        <w:rPr>
          <w:rFonts w:ascii="Times New Roman" w:hAnsi="Times New Roman" w:cs="Calibri"/>
          <w:sz w:val="24"/>
          <w:szCs w:val="24"/>
        </w:rPr>
        <w:t xml:space="preserve">Prijatie návrhu </w:t>
      </w:r>
      <w:r w:rsidRPr="00A7209D" w:rsidR="00E303A4">
        <w:rPr>
          <w:rFonts w:ascii="Times New Roman" w:hAnsi="Times New Roman" w:cs="Calibri"/>
          <w:sz w:val="24"/>
          <w:szCs w:val="24"/>
        </w:rPr>
        <w:t xml:space="preserve">zákona, 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 xml:space="preserve">ktorým sa mení zákon </w:t>
      </w:r>
      <w:r w:rsidR="00E303A4">
        <w:rPr>
          <w:rFonts w:ascii="Times New Roman" w:hAnsi="Times New Roman" w:cs="Calibri"/>
          <w:bCs/>
          <w:sz w:val="24"/>
          <w:szCs w:val="24"/>
        </w:rPr>
        <w:t>č. 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>140/1998</w:t>
      </w:r>
      <w:r w:rsidR="00E303A4">
        <w:rPr>
          <w:rFonts w:ascii="Times New Roman" w:hAnsi="Times New Roman" w:cs="Calibri"/>
          <w:bCs/>
          <w:sz w:val="24"/>
          <w:szCs w:val="24"/>
        </w:rPr>
        <w:t> Z. z.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 xml:space="preserve"> o</w:t>
      </w:r>
      <w:r w:rsidR="00E303A4">
        <w:rPr>
          <w:rFonts w:ascii="Times New Roman" w:hAnsi="Times New Roman" w:cs="Calibri"/>
          <w:bCs/>
          <w:sz w:val="24"/>
          <w:szCs w:val="24"/>
        </w:rPr>
        <w:t> 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>liekoch</w:t>
      </w:r>
      <w:r w:rsidR="00E303A4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>a</w:t>
      </w:r>
      <w:r w:rsidR="00E303A4">
        <w:rPr>
          <w:rFonts w:ascii="Times New Roman" w:hAnsi="Times New Roman" w:cs="Calibri"/>
          <w:bCs/>
          <w:sz w:val="24"/>
          <w:szCs w:val="24"/>
        </w:rPr>
        <w:t> 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>zdravotníckych</w:t>
      </w:r>
      <w:r w:rsidR="00E303A4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 xml:space="preserve">pomôckach, o zmene zákona </w:t>
      </w:r>
      <w:r w:rsidR="00E303A4">
        <w:rPr>
          <w:rFonts w:ascii="Times New Roman" w:hAnsi="Times New Roman" w:cs="Calibri"/>
          <w:bCs/>
          <w:sz w:val="24"/>
          <w:szCs w:val="24"/>
        </w:rPr>
        <w:t>č. 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 xml:space="preserve">455/1991 Zb. o živnostenskom podnikaní (živnostenský zákon) v znení neskorších predpisov a o zmene a doplnení zákona Národnej rady Slovenskej republiky </w:t>
      </w:r>
      <w:r w:rsidR="00E303A4">
        <w:rPr>
          <w:rFonts w:ascii="Times New Roman" w:hAnsi="Times New Roman" w:cs="Calibri"/>
          <w:bCs/>
          <w:sz w:val="24"/>
          <w:szCs w:val="24"/>
        </w:rPr>
        <w:t>č. 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>220/1996</w:t>
      </w:r>
      <w:r w:rsidR="00E303A4">
        <w:rPr>
          <w:rFonts w:ascii="Times New Roman" w:hAnsi="Times New Roman" w:cs="Calibri"/>
          <w:bCs/>
          <w:sz w:val="24"/>
          <w:szCs w:val="24"/>
        </w:rPr>
        <w:t> Z. z.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 xml:space="preserve"> o</w:t>
      </w:r>
      <w:r w:rsidR="00E303A4">
        <w:rPr>
          <w:rFonts w:ascii="Times New Roman" w:hAnsi="Times New Roman" w:cs="Calibri"/>
          <w:bCs/>
          <w:sz w:val="24"/>
          <w:szCs w:val="24"/>
        </w:rPr>
        <w:t> </w:t>
      </w:r>
      <w:r w:rsidRPr="00A7209D" w:rsidR="00E303A4">
        <w:rPr>
          <w:rFonts w:ascii="Times New Roman" w:hAnsi="Times New Roman" w:cs="Calibri"/>
          <w:bCs/>
          <w:sz w:val="24"/>
          <w:szCs w:val="24"/>
        </w:rPr>
        <w:t>reklame</w:t>
      </w:r>
      <w:r w:rsidR="00E303A4">
        <w:rPr>
          <w:rFonts w:ascii="Times New Roman" w:hAnsi="Times New Roman" w:cs="Calibri"/>
          <w:bCs/>
          <w:sz w:val="24"/>
          <w:szCs w:val="24"/>
        </w:rPr>
        <w:t xml:space="preserve"> v znení neskorších predpisov nebude predstavovať </w:t>
      </w:r>
      <w:r w:rsidRPr="00A7209D">
        <w:rPr>
          <w:rFonts w:ascii="Times New Roman" w:hAnsi="Times New Roman" w:cs="Calibri"/>
          <w:sz w:val="24"/>
          <w:szCs w:val="24"/>
        </w:rPr>
        <w:t>zvýšenie výdavkov štátneho rozpočtu. Návrh zákona nezakladá ani zvýšené nároky na rozpočty samosprávnych krajov a rozpočty obcí.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7209D" w:rsidRPr="00A7209D" w:rsidP="00A7209D">
      <w:pPr>
        <w:pStyle w:val="BodyText"/>
      </w:pPr>
      <w:r w:rsidRPr="00A7209D">
        <w:rPr>
          <w:bCs/>
        </w:rPr>
        <w:t xml:space="preserve">Odhad vplyvu na obyvateľov, hospodárenie podnikateľskej sféry a iných právnických osôb: 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 xml:space="preserve">Návrh zákona nemá vplyv na hospodárenie podnikateľskej sféry a iných právnických osôb, s výnimkou </w:t>
      </w:r>
      <w:r w:rsidR="00E303A4">
        <w:rPr>
          <w:rFonts w:ascii="Times New Roman" w:hAnsi="Times New Roman" w:cs="Calibri"/>
          <w:sz w:val="24"/>
          <w:szCs w:val="24"/>
        </w:rPr>
        <w:t>výdajní zdravotníckych pomôcok, ktoré opäť získajú možnosť poskytovať služby zásielkového výdaja zdravotníckych pomôcok svojim klientom</w:t>
      </w:r>
      <w:r w:rsidRPr="00A7209D">
        <w:rPr>
          <w:rFonts w:ascii="Times New Roman" w:hAnsi="Times New Roman" w:cs="Calibri"/>
          <w:sz w:val="24"/>
          <w:szCs w:val="24"/>
        </w:rPr>
        <w:t xml:space="preserve">. Návrh </w:t>
      </w:r>
      <w:r w:rsidR="00E303A4">
        <w:rPr>
          <w:rFonts w:ascii="Times New Roman" w:hAnsi="Times New Roman" w:cs="Calibri"/>
          <w:sz w:val="24"/>
          <w:szCs w:val="24"/>
        </w:rPr>
        <w:t xml:space="preserve">má pozitívny vplyv </w:t>
      </w:r>
      <w:r w:rsidRPr="00A7209D">
        <w:rPr>
          <w:rFonts w:ascii="Times New Roman" w:hAnsi="Times New Roman" w:cs="Calibri"/>
          <w:sz w:val="24"/>
          <w:szCs w:val="24"/>
        </w:rPr>
        <w:t>na obyvateľov,</w:t>
      </w:r>
      <w:r w:rsidR="00E303A4">
        <w:rPr>
          <w:rFonts w:ascii="Times New Roman" w:hAnsi="Times New Roman" w:cs="Calibri"/>
          <w:sz w:val="24"/>
          <w:szCs w:val="24"/>
        </w:rPr>
        <w:t xml:space="preserve"> osobitne zdravotne ťažko postihnutých občanov,</w:t>
      </w:r>
      <w:r w:rsidRPr="00A7209D">
        <w:rPr>
          <w:rFonts w:ascii="Times New Roman" w:hAnsi="Times New Roman" w:cs="Calibri"/>
          <w:sz w:val="24"/>
          <w:szCs w:val="24"/>
        </w:rPr>
        <w:t xml:space="preserve"> </w:t>
      </w:r>
      <w:r w:rsidR="00E303A4">
        <w:rPr>
          <w:rFonts w:ascii="Times New Roman" w:hAnsi="Times New Roman" w:cs="Calibri"/>
          <w:sz w:val="24"/>
          <w:szCs w:val="24"/>
        </w:rPr>
        <w:t>ktorí využitím zásielkového výdaja liekov získajú prístup k</w:t>
      </w:r>
      <w:r w:rsidR="00FB1112">
        <w:rPr>
          <w:rFonts w:ascii="Times New Roman" w:hAnsi="Times New Roman" w:cs="Calibri"/>
          <w:sz w:val="24"/>
          <w:szCs w:val="24"/>
        </w:rPr>
        <w:t xml:space="preserve"> fyzicky i finančne </w:t>
      </w:r>
      <w:r w:rsidR="00E303A4">
        <w:rPr>
          <w:rFonts w:ascii="Times New Roman" w:hAnsi="Times New Roman" w:cs="Calibri"/>
          <w:sz w:val="24"/>
          <w:szCs w:val="24"/>
        </w:rPr>
        <w:t xml:space="preserve">dostupnej </w:t>
      </w:r>
      <w:r w:rsidR="00FB1112">
        <w:rPr>
          <w:rFonts w:ascii="Times New Roman" w:hAnsi="Times New Roman" w:cs="Calibri"/>
          <w:sz w:val="24"/>
          <w:szCs w:val="24"/>
        </w:rPr>
        <w:t>zdravotnej starostlivosti.</w:t>
      </w:r>
    </w:p>
    <w:p w:rsidR="00A7209D" w:rsidRPr="00A7209D" w:rsidP="00A7209D">
      <w:pPr>
        <w:pStyle w:val="BodyText"/>
      </w:pP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  <w:r w:rsidRPr="00A7209D">
        <w:rPr>
          <w:rFonts w:ascii="Times New Roman" w:hAnsi="Times New Roman" w:cs="Calibri"/>
          <w:b/>
          <w:bCs/>
          <w:sz w:val="24"/>
          <w:szCs w:val="24"/>
        </w:rPr>
        <w:t>Odhad vplyvov na zamestnanosť: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Návrh zákona má pozitívny vplyv na zamestnanosť, tým že nebude odrádzať zahraničných investorov od investovania na území Slovenskej republiky.</w:t>
      </w:r>
    </w:p>
    <w:p w:rsidR="00A7209D" w:rsidRPr="00A7209D" w:rsidP="00A7209D">
      <w:pPr>
        <w:pStyle w:val="BodyText"/>
        <w:rPr>
          <w:bCs/>
        </w:rPr>
      </w:pPr>
    </w:p>
    <w:p w:rsidR="00A7209D" w:rsidRPr="00A7209D" w:rsidP="00A7209D">
      <w:pPr>
        <w:pStyle w:val="BodyText"/>
        <w:rPr>
          <w:bCs/>
        </w:rPr>
      </w:pPr>
      <w:r w:rsidRPr="00A7209D">
        <w:rPr>
          <w:bCs/>
        </w:rPr>
        <w:t>Odhad vplyvu na životné prostredie:</w:t>
      </w:r>
    </w:p>
    <w:p w:rsidR="00A7209D" w:rsidRPr="00A7209D" w:rsidP="00A7209D">
      <w:pPr>
        <w:pStyle w:val="BodyText"/>
        <w:rPr>
          <w:b w:val="0"/>
        </w:rPr>
      </w:pPr>
      <w:r w:rsidRPr="00A7209D">
        <w:rPr>
          <w:b w:val="0"/>
        </w:rPr>
        <w:t>Navrhovaná právna úprava nebude mať vplyv na životné prostredie.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 xml:space="preserve"> 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b/>
          <w:bCs/>
          <w:sz w:val="24"/>
          <w:szCs w:val="24"/>
        </w:rPr>
        <w:t>Odhad vplyvu na podnikateľské prostredie: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Navrhovaná právna úprava nebude mať vplyv na podnikateľské prostredie.</w:t>
      </w:r>
    </w:p>
    <w:p w:rsidR="00A7209D" w:rsidRPr="00A7209D" w:rsidP="00A7209D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 xml:space="preserve"> 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  <w:r w:rsidRPr="00A7209D">
        <w:rPr>
          <w:rFonts w:ascii="Times New Roman" w:hAnsi="Times New Roman" w:cs="Calibri"/>
          <w:b/>
          <w:bCs/>
          <w:sz w:val="24"/>
          <w:szCs w:val="24"/>
        </w:rPr>
        <w:t xml:space="preserve">Odhad vplyvov na informatizáciu spoločnosti: 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>Návrh zákona nemá vplyv na informatizáciu spoločnosti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br w:type="page"/>
        <w:t>II. Osobitná časť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Čl. I</w:t>
      </w:r>
    </w:p>
    <w:p w:rsidR="00A7209D" w:rsidRPr="00A7209D" w:rsidP="00A7209D">
      <w:pPr>
        <w:tabs>
          <w:tab w:val="center" w:pos="4536"/>
          <w:tab w:val="left" w:pos="6405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sz w:val="24"/>
          <w:szCs w:val="24"/>
        </w:rPr>
        <w:t xml:space="preserve">Navrhuje sa </w:t>
      </w:r>
      <w:r w:rsidR="00DA79A5">
        <w:rPr>
          <w:rFonts w:ascii="Times New Roman" w:hAnsi="Times New Roman" w:cs="Calibri"/>
          <w:sz w:val="24"/>
          <w:szCs w:val="24"/>
        </w:rPr>
        <w:t>upravené znenie § 35a ods. 3, v ktorej sa v</w:t>
      </w:r>
      <w:r w:rsidR="00532062">
        <w:rPr>
          <w:rFonts w:ascii="Times New Roman" w:hAnsi="Times New Roman" w:cs="Calibri"/>
          <w:sz w:val="24"/>
          <w:szCs w:val="24"/>
        </w:rPr>
        <w:t>y</w:t>
      </w:r>
      <w:r w:rsidR="00DA79A5">
        <w:rPr>
          <w:rFonts w:ascii="Times New Roman" w:hAnsi="Times New Roman" w:cs="Calibri"/>
          <w:sz w:val="24"/>
          <w:szCs w:val="24"/>
        </w:rPr>
        <w:t>púšťa tá časť</w:t>
      </w:r>
      <w:r w:rsidR="006C3AFE">
        <w:rPr>
          <w:rFonts w:ascii="Times New Roman" w:hAnsi="Times New Roman" w:cs="Calibri"/>
          <w:sz w:val="24"/>
          <w:szCs w:val="24"/>
        </w:rPr>
        <w:t xml:space="preserve"> ustanovenia</w:t>
      </w:r>
      <w:r w:rsidR="00DA79A5">
        <w:rPr>
          <w:rFonts w:ascii="Times New Roman" w:hAnsi="Times New Roman" w:cs="Calibri"/>
          <w:sz w:val="24"/>
          <w:szCs w:val="24"/>
        </w:rPr>
        <w:t>, ktorá</w:t>
      </w:r>
      <w:r w:rsidR="006C3AFE">
        <w:rPr>
          <w:rFonts w:ascii="Times New Roman" w:hAnsi="Times New Roman" w:cs="Calibri"/>
          <w:sz w:val="24"/>
          <w:szCs w:val="24"/>
        </w:rPr>
        <w:t xml:space="preserve"> explicitne zakazuje </w:t>
      </w:r>
      <w:r w:rsidRPr="00A7209D" w:rsidR="006C3AFE">
        <w:rPr>
          <w:rFonts w:ascii="Times New Roman" w:hAnsi="Times New Roman" w:cs="Calibri"/>
          <w:sz w:val="24"/>
          <w:szCs w:val="24"/>
        </w:rPr>
        <w:t xml:space="preserve">zásielkový výdaj </w:t>
      </w:r>
      <w:r w:rsidR="006C3AFE">
        <w:rPr>
          <w:rFonts w:ascii="Times New Roman" w:hAnsi="Times New Roman" w:cs="Calibri"/>
          <w:sz w:val="24"/>
          <w:szCs w:val="24"/>
        </w:rPr>
        <w:t xml:space="preserve">zdravotníckych pomôcok predpísaných na lekárskom poukaze. Právny stav v oblasti výdaja týchto lekárskych pomôcok sa tak vracia do stavu pred účinnosťou </w:t>
      </w:r>
      <w:r w:rsidR="00E303A4">
        <w:rPr>
          <w:rFonts w:ascii="Times New Roman" w:hAnsi="Times New Roman" w:cs="Calibri"/>
          <w:sz w:val="24"/>
          <w:szCs w:val="24"/>
        </w:rPr>
        <w:t>zákona č. </w:t>
      </w:r>
      <w:r w:rsidR="006C3AFE">
        <w:rPr>
          <w:rFonts w:ascii="Times New Roman" w:hAnsi="Times New Roman" w:cs="Calibri"/>
          <w:sz w:val="24"/>
          <w:szCs w:val="24"/>
        </w:rPr>
        <w:t>402/2009</w:t>
      </w:r>
      <w:r w:rsidR="00E303A4">
        <w:rPr>
          <w:rFonts w:ascii="Times New Roman" w:hAnsi="Times New Roman" w:cs="Calibri"/>
          <w:sz w:val="24"/>
          <w:szCs w:val="24"/>
        </w:rPr>
        <w:t> </w:t>
      </w:r>
      <w:r w:rsidR="006C3AFE">
        <w:rPr>
          <w:rFonts w:ascii="Times New Roman" w:hAnsi="Times New Roman" w:cs="Calibri"/>
          <w:sz w:val="24"/>
          <w:szCs w:val="24"/>
        </w:rPr>
        <w:t>Z.</w:t>
      </w:r>
      <w:r w:rsidR="00E303A4">
        <w:rPr>
          <w:rFonts w:ascii="Times New Roman" w:hAnsi="Times New Roman" w:cs="Calibri"/>
          <w:sz w:val="24"/>
          <w:szCs w:val="24"/>
        </w:rPr>
        <w:t> </w:t>
      </w:r>
      <w:r w:rsidR="006C3AFE">
        <w:rPr>
          <w:rFonts w:ascii="Times New Roman" w:hAnsi="Times New Roman" w:cs="Calibri"/>
          <w:sz w:val="24"/>
          <w:szCs w:val="24"/>
        </w:rPr>
        <w:t>z.</w:t>
      </w:r>
      <w:r w:rsidR="00E303A4">
        <w:rPr>
          <w:rFonts w:ascii="Times New Roman" w:hAnsi="Times New Roman" w:cs="Calibri"/>
          <w:sz w:val="24"/>
          <w:szCs w:val="24"/>
        </w:rPr>
        <w:t xml:space="preserve"> Ustanovenie o zákaze zásielkového výdaja liekov predpísaných na lekárskom predpise zostáva navrhovanou úpravou nezmenené.</w:t>
      </w: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A7209D" w:rsidRPr="00A7209D" w:rsidP="00A7209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>
        <w:rPr>
          <w:rFonts w:ascii="Times New Roman" w:hAnsi="Times New Roman" w:cs="Calibri"/>
          <w:b/>
          <w:sz w:val="24"/>
          <w:szCs w:val="24"/>
        </w:rPr>
        <w:t>Čl. I</w:t>
      </w:r>
      <w:r w:rsidR="006C3AFE">
        <w:rPr>
          <w:rFonts w:ascii="Times New Roman" w:hAnsi="Times New Roman" w:cs="Calibri"/>
          <w:b/>
          <w:sz w:val="24"/>
          <w:szCs w:val="24"/>
        </w:rPr>
        <w:t>I</w:t>
      </w:r>
    </w:p>
    <w:p w:rsidR="00C76B2C" w:rsidRPr="00A7209D" w:rsidP="00E303A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A7209D" w:rsidR="00A7209D">
        <w:rPr>
          <w:rFonts w:ascii="Times New Roman" w:hAnsi="Times New Roman" w:cs="Calibri"/>
          <w:sz w:val="24"/>
          <w:szCs w:val="24"/>
        </w:rPr>
        <w:t>Navrhuje sa účinnosť 1. júla 2010 vzhľadom na dĺžku legislatívneho procesu.</w:t>
      </w:r>
    </w:p>
    <w:sectPr>
      <w:pgSz w:w="11900" w:h="16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A33"/>
    <w:multiLevelType w:val="hybridMultilevel"/>
    <w:tmpl w:val="C86A18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2B6F0D"/>
    <w:multiLevelType w:val="hybridMultilevel"/>
    <w:tmpl w:val="6388F636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08"/>
  <w:hyphenationZone w:val="425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32062"/>
    <w:rsid w:val="006C3AFE"/>
    <w:rsid w:val="00731CAA"/>
    <w:rsid w:val="008D3790"/>
    <w:rsid w:val="00A23CDF"/>
    <w:rsid w:val="00A7209D"/>
    <w:rsid w:val="00AE38A9"/>
    <w:rsid w:val="00B10F4F"/>
    <w:rsid w:val="00C76B2C"/>
    <w:rsid w:val="00D432B9"/>
    <w:rsid w:val="00DA79A5"/>
    <w:rsid w:val="00E303A4"/>
    <w:rsid w:val="00FB11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BodyText">
    <w:name w:val="Body Text"/>
    <w:basedOn w:val="Normal"/>
    <w:link w:val="ZkladntextChar"/>
    <w:rsid w:val="00A7209D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ZkladntextChar">
    <w:name w:val="Základní text Char"/>
    <w:basedOn w:val="DefaultParagraphFont"/>
    <w:link w:val="BodyText"/>
    <w:rsid w:val="00A7209D"/>
    <w:rPr>
      <w:rFonts w:ascii="Times New Roman" w:hAnsi="Times New Roman" w:cs="Times New Roman"/>
      <w:b/>
      <w:sz w:val="24"/>
      <w:szCs w:val="24"/>
      <w:rtl w:val="0"/>
    </w:rPr>
  </w:style>
  <w:style w:type="paragraph" w:styleId="BalloonText">
    <w:name w:val="Balloon Text"/>
    <w:basedOn w:val="Normal"/>
    <w:semiHidden/>
    <w:rsid w:val="00A23CD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1134</Words>
  <Characters>6470</Characters>
  <Application>Microsoft Office Word</Application>
  <DocSecurity>0</DocSecurity>
  <Lines>0</Lines>
  <Paragraphs>0</Paragraphs>
  <ScaleCrop>false</ScaleCrop>
  <Company>TOSHIBA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vnovotny</dc:creator>
  <cp:lastModifiedBy>Jaroslav Vacek</cp:lastModifiedBy>
  <cp:revision>2</cp:revision>
  <dcterms:created xsi:type="dcterms:W3CDTF">2010-02-11T08:54:00Z</dcterms:created>
  <dcterms:modified xsi:type="dcterms:W3CDTF">2010-02-11T08:54:00Z</dcterms:modified>
</cp:coreProperties>
</file>