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</w:rPr>
      </w:pPr>
      <w:r w:rsidRPr="00B31A10">
        <w:rPr>
          <w:rFonts w:ascii="Times New Roman" w:hAnsi="Times New Roman" w:cs="Calibri"/>
          <w:b/>
          <w:caps/>
          <w:sz w:val="24"/>
          <w:szCs w:val="24"/>
        </w:rPr>
        <w:t>národná rada slovenskej republiky</w:t>
      </w:r>
    </w:p>
    <w:p w:rsidR="00731CAA" w:rsidRPr="00B31A10" w:rsidP="00A7209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IV. volebné obdobie</w:t>
      </w: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(Návrh)</w:t>
      </w: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731CAA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ZÁKON</w:t>
      </w:r>
    </w:p>
    <w:p w:rsidR="00731CAA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z ...........2010,</w:t>
      </w:r>
    </w:p>
    <w:p w:rsidR="00C76B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:rsidR="00AE38A9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B31A10" w:rsidR="00C76B2C">
        <w:rPr>
          <w:rFonts w:ascii="Times New Roman" w:hAnsi="Times New Roman" w:cs="Calibri"/>
          <w:b/>
          <w:bCs/>
          <w:sz w:val="24"/>
          <w:szCs w:val="24"/>
        </w:rPr>
        <w:t>ktorým sa mení a dopĺňa zákon</w:t>
      </w:r>
      <w:r w:rsidRPr="00B31A10" w:rsidR="0034232C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B31A10" w:rsidR="00B0025E">
        <w:rPr>
          <w:rFonts w:ascii="Times New Roman" w:hAnsi="Times New Roman" w:cs="Calibri"/>
          <w:b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b/>
          <w:sz w:val="24"/>
          <w:szCs w:val="24"/>
        </w:rPr>
        <w:t>577/2004</w:t>
      </w:r>
      <w:r w:rsidRPr="00B31A10" w:rsidR="00B0025E">
        <w:rPr>
          <w:rFonts w:ascii="Times New Roman" w:hAnsi="Times New Roman" w:cs="Calibri"/>
          <w:b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b/>
          <w:sz w:val="24"/>
          <w:szCs w:val="24"/>
        </w:rPr>
        <w:t xml:space="preserve"> o rozsahu zdravotnej starostlivosti uhrádzanej na základe verejného zdravotného poistenia a o úhradách za služby s</w:t>
      </w:r>
      <w:r w:rsidRPr="00B31A10" w:rsidR="0034232C">
        <w:rPr>
          <w:rFonts w:ascii="Times New Roman" w:hAnsi="Times New Roman" w:cs="Calibri"/>
          <w:b/>
          <w:sz w:val="24"/>
          <w:szCs w:val="24"/>
        </w:rPr>
        <w:t xml:space="preserve">úvisiace s poskytovaním zdravotnej starostlivosti </w:t>
      </w:r>
      <w:r w:rsidRPr="00B31A10" w:rsidR="00C76B2C">
        <w:rPr>
          <w:rFonts w:ascii="Times New Roman" w:hAnsi="Times New Roman" w:cs="Calibri"/>
          <w:b/>
          <w:bCs/>
          <w:sz w:val="24"/>
          <w:szCs w:val="24"/>
        </w:rPr>
        <w:t>v znení neskorších predpisov</w:t>
      </w:r>
      <w:r w:rsidRPr="00B31A10" w:rsidR="002008F9">
        <w:rPr>
          <w:rFonts w:ascii="Times New Roman" w:hAnsi="Times New Roman" w:cs="Calibri"/>
          <w:b/>
          <w:bCs/>
          <w:sz w:val="24"/>
          <w:szCs w:val="24"/>
        </w:rPr>
        <w:t xml:space="preserve"> a o zmene a doplnení zákona č. 581/2004 Z. z. </w:t>
      </w:r>
      <w:r w:rsidRPr="00B31A10" w:rsidR="002008F9">
        <w:rPr>
          <w:rFonts w:ascii="Times New Roman" w:hAnsi="Times New Roman" w:cs="Calibri"/>
          <w:b/>
          <w:sz w:val="24"/>
          <w:szCs w:val="24"/>
        </w:rPr>
        <w:t>o zdravotných poisťovniach, dohľade nad zdravotnou starostlivosťou a o zmene a doplnení niektorých zákonov v znení neskorších predp</w:t>
      </w:r>
      <w:r w:rsidRPr="00B31A10" w:rsidR="002008F9">
        <w:rPr>
          <w:rFonts w:ascii="Times New Roman" w:hAnsi="Times New Roman" w:cs="Calibri"/>
          <w:b/>
          <w:sz w:val="24"/>
          <w:szCs w:val="24"/>
        </w:rPr>
        <w:t>isov</w:t>
      </w:r>
    </w:p>
    <w:p w:rsidR="00AE38A9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E38A9" w:rsidRPr="00B31A10" w:rsidP="007709A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E38A9" w:rsidRPr="00B31A10" w:rsidP="007709A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Národná rada Slovenskej republiky sa uzniesla na tomto zákone:</w:t>
      </w:r>
    </w:p>
    <w:p w:rsidR="00AE38A9" w:rsidRPr="00B31A10" w:rsidP="007709A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E38A9" w:rsidRPr="00B31A10" w:rsidP="007709A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E38A9" w:rsidRPr="00B31A10" w:rsidP="007709A1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Čl. I</w:t>
      </w:r>
    </w:p>
    <w:p w:rsidR="007709A1" w:rsidRPr="00B31A10" w:rsidP="007709A1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AE38A9" w:rsidRPr="00B31A10" w:rsidP="00E46967">
      <w:pPr>
        <w:spacing w:after="0" w:line="240" w:lineRule="auto"/>
        <w:ind w:firstLine="708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 w:rsidR="0034232C">
        <w:rPr>
          <w:rFonts w:ascii="Times New Roman" w:hAnsi="Times New Roman" w:cs="Calibri"/>
          <w:sz w:val="24"/>
          <w:szCs w:val="24"/>
        </w:rPr>
        <w:t xml:space="preserve">Zákon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577/2004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o rozsahu zdravotnej starostlivosti uhrádzanej na základe verejného zdravotného poistenia a o úhradách za služby súvisiace s poskytovaním zdravotnej star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ostlivosti v znení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720/2004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347/2005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538/2005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660/2005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342/2006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522/2006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661/2007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81/2009 Z.z a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402/2009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sa mení a dopĺňa takto:</w:t>
      </w:r>
    </w:p>
    <w:p w:rsidR="00C76B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7709A1" w:rsidRPr="00B31A10" w:rsidP="00E46967">
      <w:pPr>
        <w:autoSpaceDE/>
        <w:autoSpaceDN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Za § </w:t>
      </w:r>
      <w:r w:rsidRPr="00B31A10" w:rsidR="00B31A10">
        <w:rPr>
          <w:rFonts w:ascii="Times New Roman" w:hAnsi="Times New Roman" w:cs="Calibri"/>
          <w:sz w:val="24"/>
          <w:szCs w:val="24"/>
        </w:rPr>
        <w:t xml:space="preserve">42 </w:t>
      </w:r>
      <w:r w:rsidRPr="00B31A10">
        <w:rPr>
          <w:rFonts w:ascii="Times New Roman" w:hAnsi="Times New Roman" w:cs="Calibri"/>
          <w:sz w:val="24"/>
          <w:szCs w:val="24"/>
        </w:rPr>
        <w:t xml:space="preserve">sa vkladá § </w:t>
      </w:r>
      <w:r w:rsidRPr="00B31A10" w:rsidR="00B31A10">
        <w:rPr>
          <w:rFonts w:ascii="Times New Roman" w:hAnsi="Times New Roman" w:cs="Calibri"/>
          <w:sz w:val="24"/>
          <w:szCs w:val="24"/>
        </w:rPr>
        <w:t>42a</w:t>
      </w:r>
      <w:r w:rsidRPr="00B31A10">
        <w:rPr>
          <w:rFonts w:ascii="Times New Roman" w:hAnsi="Times New Roman" w:cs="Calibri"/>
          <w:sz w:val="24"/>
          <w:szCs w:val="24"/>
        </w:rPr>
        <w:t>, ktorý</w:t>
      </w:r>
      <w:r w:rsidRPr="00B31A10" w:rsidR="002008F9">
        <w:rPr>
          <w:rFonts w:ascii="Times New Roman" w:hAnsi="Times New Roman" w:cs="Calibri"/>
          <w:sz w:val="24"/>
          <w:szCs w:val="24"/>
        </w:rPr>
        <w:t xml:space="preserve"> vrátane nadpisu</w:t>
      </w:r>
      <w:r w:rsidRPr="00B31A10">
        <w:rPr>
          <w:rFonts w:ascii="Times New Roman" w:hAnsi="Times New Roman" w:cs="Calibri"/>
          <w:sz w:val="24"/>
          <w:szCs w:val="24"/>
        </w:rPr>
        <w:t xml:space="preserve"> znie:</w:t>
      </w:r>
    </w:p>
    <w:p w:rsidR="007709A1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 w:rsidR="00E46967">
        <w:rPr>
          <w:rFonts w:ascii="Times New Roman" w:hAnsi="Times New Roman" w:cs="Calibri"/>
          <w:sz w:val="24"/>
          <w:szCs w:val="24"/>
        </w:rPr>
        <w:t>„</w:t>
      </w:r>
      <w:r w:rsidRPr="00B31A10">
        <w:rPr>
          <w:rFonts w:ascii="Times New Roman" w:hAnsi="Times New Roman" w:cs="Calibri"/>
          <w:sz w:val="24"/>
          <w:szCs w:val="24"/>
        </w:rPr>
        <w:t xml:space="preserve">§ </w:t>
      </w:r>
      <w:r w:rsidRPr="00B31A10" w:rsidR="00B31A10">
        <w:rPr>
          <w:rFonts w:ascii="Times New Roman" w:hAnsi="Times New Roman" w:cs="Calibri"/>
          <w:sz w:val="24"/>
          <w:szCs w:val="24"/>
        </w:rPr>
        <w:t>42a</w:t>
      </w:r>
    </w:p>
    <w:p w:rsidR="003423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Limit spoluúčasti</w:t>
      </w:r>
    </w:p>
    <w:p w:rsidR="003423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(1) Ak úhrnná výška úhrad poistenca </w:t>
      </w:r>
      <w:r w:rsidRPr="00B31A10" w:rsidR="008E6511">
        <w:rPr>
          <w:rFonts w:ascii="Times New Roman" w:hAnsi="Times New Roman" w:cs="Calibri"/>
          <w:sz w:val="24"/>
          <w:szCs w:val="24"/>
        </w:rPr>
        <w:t xml:space="preserve">na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doplatky za lieky čiastočne uhrádzané </w:t>
      </w:r>
      <w:r w:rsidRPr="00B31A10" w:rsidR="00D1621B">
        <w:rPr>
          <w:rFonts w:ascii="Times New Roman" w:hAnsi="Times New Roman" w:cs="Calibri"/>
          <w:sz w:val="24"/>
          <w:szCs w:val="24"/>
        </w:rPr>
        <w:t xml:space="preserve"> na základe 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verejného zdravotného poistenia </w:t>
      </w:r>
      <w:r w:rsidRPr="00B31A10">
        <w:rPr>
          <w:rFonts w:ascii="Times New Roman" w:hAnsi="Times New Roman" w:cs="Calibri"/>
          <w:sz w:val="24"/>
          <w:szCs w:val="24"/>
        </w:rPr>
        <w:t>a za služby súvisiace s</w:t>
      </w:r>
      <w:r w:rsidRPr="00B31A10" w:rsidR="00876D1C">
        <w:rPr>
          <w:rFonts w:ascii="Times New Roman" w:hAnsi="Times New Roman" w:cs="Calibri"/>
          <w:sz w:val="24"/>
          <w:szCs w:val="24"/>
        </w:rPr>
        <w:t> </w:t>
      </w:r>
      <w:r w:rsidRPr="00B31A10">
        <w:rPr>
          <w:rFonts w:ascii="Times New Roman" w:hAnsi="Times New Roman" w:cs="Calibri"/>
          <w:sz w:val="24"/>
          <w:szCs w:val="24"/>
        </w:rPr>
        <w:t>poskytovaní</w:t>
      </w:r>
      <w:r w:rsidRPr="00B31A10">
        <w:rPr>
          <w:rFonts w:ascii="Times New Roman" w:hAnsi="Times New Roman" w:cs="Calibri"/>
          <w:sz w:val="24"/>
          <w:szCs w:val="24"/>
        </w:rPr>
        <w:t>m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 xml:space="preserve">zdravotnej starostlivosti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plne alebo čiastočne uhrádzanej </w:t>
      </w:r>
      <w:r w:rsidRPr="00B31A10" w:rsidR="00D1621B">
        <w:rPr>
          <w:rFonts w:ascii="Times New Roman" w:hAnsi="Times New Roman" w:cs="Calibri"/>
          <w:sz w:val="24"/>
          <w:szCs w:val="24"/>
        </w:rPr>
        <w:t xml:space="preserve"> na základe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verejného zdravotného poistenia </w:t>
      </w:r>
      <w:r w:rsidRPr="00B31A10">
        <w:rPr>
          <w:rFonts w:ascii="Times New Roman" w:hAnsi="Times New Roman" w:cs="Calibri"/>
          <w:sz w:val="24"/>
          <w:szCs w:val="24"/>
        </w:rPr>
        <w:t xml:space="preserve">prekročí v kalendárnom roku limit vo výške 120 eur (ďalej </w:t>
      </w:r>
      <w:r w:rsidRPr="00B31A10" w:rsidR="009212F6">
        <w:rPr>
          <w:rFonts w:ascii="Times New Roman" w:hAnsi="Times New Roman" w:cs="Calibri"/>
          <w:sz w:val="24"/>
          <w:szCs w:val="24"/>
        </w:rPr>
        <w:t>„</w:t>
      </w:r>
      <w:r w:rsidRPr="00B31A10">
        <w:rPr>
          <w:rFonts w:ascii="Times New Roman" w:hAnsi="Times New Roman" w:cs="Calibri"/>
          <w:sz w:val="24"/>
          <w:szCs w:val="24"/>
        </w:rPr>
        <w:t>limit spoluúčasti</w:t>
      </w:r>
      <w:r w:rsidRPr="00B31A10" w:rsidR="009212F6">
        <w:rPr>
          <w:rFonts w:ascii="Times New Roman" w:hAnsi="Times New Roman" w:cs="Calibri"/>
          <w:sz w:val="24"/>
          <w:szCs w:val="24"/>
        </w:rPr>
        <w:t>“</w:t>
      </w:r>
      <w:r w:rsidRPr="00B31A10">
        <w:rPr>
          <w:rFonts w:ascii="Times New Roman" w:hAnsi="Times New Roman" w:cs="Calibri"/>
          <w:sz w:val="24"/>
          <w:szCs w:val="24"/>
        </w:rPr>
        <w:t>), je zdravotná poisťovňa povinná poistencovi uhradiť čiastku, o</w:t>
      </w:r>
      <w:r w:rsidRPr="00B31A10" w:rsidR="00876D1C">
        <w:rPr>
          <w:rFonts w:ascii="Times New Roman" w:hAnsi="Times New Roman" w:cs="Calibri"/>
          <w:sz w:val="24"/>
          <w:szCs w:val="24"/>
        </w:rPr>
        <w:t> </w:t>
      </w:r>
      <w:r w:rsidRPr="00B31A10">
        <w:rPr>
          <w:rFonts w:ascii="Times New Roman" w:hAnsi="Times New Roman" w:cs="Calibri"/>
          <w:sz w:val="24"/>
          <w:szCs w:val="24"/>
        </w:rPr>
        <w:t>ktorú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>je limit spoluúčasti prekročený.</w:t>
      </w: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(2) Do limitu spoluúčasti sa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započítavajú </w:t>
      </w:r>
      <w:r w:rsidRPr="00B31A10">
        <w:rPr>
          <w:rFonts w:ascii="Times New Roman" w:hAnsi="Times New Roman" w:cs="Calibri"/>
          <w:sz w:val="24"/>
          <w:szCs w:val="24"/>
        </w:rPr>
        <w:t xml:space="preserve">doplatky za lieky čiastočne uhrádzané </w:t>
      </w:r>
      <w:r w:rsidRPr="00B31A10" w:rsidR="00D1621B">
        <w:rPr>
          <w:rFonts w:ascii="Times New Roman" w:hAnsi="Times New Roman" w:cs="Calibri"/>
          <w:sz w:val="24"/>
          <w:szCs w:val="24"/>
        </w:rPr>
        <w:t>na základe</w:t>
      </w:r>
      <w:r w:rsidRPr="00B31A10">
        <w:rPr>
          <w:rFonts w:ascii="Times New Roman" w:hAnsi="Times New Roman" w:cs="Calibri"/>
          <w:sz w:val="24"/>
          <w:szCs w:val="24"/>
        </w:rPr>
        <w:t xml:space="preserve"> verejného zdravotného poistenia len vo výške doplatku </w:t>
      </w:r>
      <w:r w:rsidRPr="00B31A10" w:rsidR="00876D1C">
        <w:rPr>
          <w:rFonts w:ascii="Times New Roman" w:hAnsi="Times New Roman" w:cs="Calibri"/>
          <w:sz w:val="24"/>
          <w:szCs w:val="24"/>
        </w:rPr>
        <w:t>z</w:t>
      </w:r>
      <w:r w:rsidRPr="00B31A10">
        <w:rPr>
          <w:rFonts w:ascii="Times New Roman" w:hAnsi="Times New Roman" w:cs="Calibri"/>
          <w:sz w:val="24"/>
          <w:szCs w:val="24"/>
        </w:rPr>
        <w:t xml:space="preserve">a najlacnejšie lieky s obsahom rovnakého liečiva, s rovnakou cestou podania liečiva, s rovnakou liekovou formou liečiva, s rovnakým množstvom liečiva v liekovej forme a rovnakého dávkovania liečiva. To neplatí, ak predpisujúci lekár na lekárskom predpise vyznačil, že predpísaný liek nie je možné nahradiť náhradným generickým </w:t>
      </w:r>
      <w:r w:rsidRPr="00B31A10" w:rsidR="00B31A10">
        <w:rPr>
          <w:rFonts w:ascii="Times New Roman" w:hAnsi="Times New Roman" w:cs="Calibri"/>
          <w:sz w:val="24"/>
          <w:szCs w:val="24"/>
        </w:rPr>
        <w:t>liekom</w:t>
      </w:r>
      <w:r w:rsidRPr="00B31A10" w:rsidR="00B31A10">
        <w:rPr>
          <w:rFonts w:ascii="Times New Roman" w:hAnsi="Times New Roman" w:cs="Calibri"/>
          <w:sz w:val="24"/>
          <w:szCs w:val="24"/>
          <w:vertAlign w:val="superscript"/>
        </w:rPr>
        <w:t>34a</w:t>
      </w:r>
      <w:r w:rsidRPr="00B31A10" w:rsidR="00876D1C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B31A10">
        <w:rPr>
          <w:rFonts w:ascii="Times New Roman" w:hAnsi="Times New Roman" w:cs="Calibri"/>
          <w:sz w:val="24"/>
          <w:szCs w:val="24"/>
        </w:rPr>
        <w:t xml:space="preserve">. V takom prípade sa do limitu spoluúčasti započítava doplatok v plnej výške. </w:t>
      </w: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(3) Do limitu spoluúčasti sa nezapočítavajú doplatky za lieky čiastočne uhrádzané </w:t>
      </w:r>
      <w:r w:rsidRPr="00B31A10" w:rsidR="00D1621B">
        <w:rPr>
          <w:rFonts w:ascii="Times New Roman" w:hAnsi="Times New Roman" w:cs="Calibri"/>
          <w:sz w:val="24"/>
          <w:szCs w:val="24"/>
        </w:rPr>
        <w:t> na základe  </w:t>
      </w:r>
      <w:r w:rsidRPr="00B31A10">
        <w:rPr>
          <w:rFonts w:ascii="Times New Roman" w:hAnsi="Times New Roman" w:cs="Calibri"/>
          <w:sz w:val="24"/>
          <w:szCs w:val="24"/>
        </w:rPr>
        <w:t>verejného</w:t>
      </w:r>
      <w:r w:rsidRPr="00B31A10" w:rsidR="007709A1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 xml:space="preserve">zdravotného poistenia, ktorých úhrada </w:t>
      </w:r>
      <w:r w:rsidRPr="00B31A10" w:rsidR="008E6511">
        <w:rPr>
          <w:rFonts w:ascii="Times New Roman" w:hAnsi="Times New Roman" w:cs="Calibri"/>
          <w:sz w:val="24"/>
          <w:szCs w:val="24"/>
        </w:rPr>
        <w:t>z verejného zdravotného poisteni</w:t>
      </w:r>
      <w:r w:rsidRPr="00B31A10" w:rsidR="008E6511">
        <w:rPr>
          <w:rFonts w:ascii="Times New Roman" w:hAnsi="Times New Roman" w:cs="Calibri"/>
          <w:sz w:val="24"/>
          <w:szCs w:val="24"/>
        </w:rPr>
        <w:t xml:space="preserve">a </w:t>
      </w:r>
      <w:r w:rsidRPr="00B31A10">
        <w:rPr>
          <w:rFonts w:ascii="Times New Roman" w:hAnsi="Times New Roman" w:cs="Calibri"/>
          <w:sz w:val="24"/>
          <w:szCs w:val="24"/>
        </w:rPr>
        <w:t xml:space="preserve">je stanovená na menej než </w:t>
      </w:r>
      <w:r w:rsidRPr="00B31A10" w:rsidR="007709A1">
        <w:rPr>
          <w:rFonts w:ascii="Times New Roman" w:hAnsi="Times New Roman" w:cs="Calibri"/>
          <w:sz w:val="24"/>
          <w:szCs w:val="24"/>
        </w:rPr>
        <w:t>3</w:t>
      </w:r>
      <w:r w:rsidRPr="00B31A10" w:rsidR="00E46967">
        <w:rPr>
          <w:rFonts w:ascii="Times New Roman" w:hAnsi="Times New Roman" w:cs="Calibri"/>
          <w:sz w:val="24"/>
          <w:szCs w:val="24"/>
        </w:rPr>
        <w:t>0 % maximálnej ceny.“</w:t>
      </w:r>
      <w:r w:rsidRPr="00B31A10" w:rsidR="002008F9">
        <w:rPr>
          <w:rFonts w:ascii="Times New Roman" w:hAnsi="Times New Roman" w:cs="Calibri"/>
          <w:sz w:val="24"/>
          <w:szCs w:val="24"/>
        </w:rPr>
        <w:t>.</w:t>
      </w: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7709A1">
        <w:rPr>
          <w:rFonts w:ascii="Times New Roman" w:hAnsi="Times New Roman" w:cs="Calibri"/>
          <w:sz w:val="24"/>
          <w:szCs w:val="24"/>
        </w:rPr>
        <w:t xml:space="preserve">Poznámka pod čiarou 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k odkazu </w:t>
      </w:r>
      <w:r w:rsidRPr="00B31A10" w:rsidR="00B31A10">
        <w:rPr>
          <w:rFonts w:ascii="Times New Roman" w:hAnsi="Times New Roman" w:cs="Calibri"/>
          <w:sz w:val="24"/>
          <w:szCs w:val="24"/>
        </w:rPr>
        <w:t>34a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7709A1">
        <w:rPr>
          <w:rFonts w:ascii="Times New Roman" w:hAnsi="Times New Roman" w:cs="Calibri"/>
          <w:sz w:val="24"/>
          <w:szCs w:val="24"/>
        </w:rPr>
        <w:t>znie</w:t>
      </w:r>
      <w:r w:rsidRPr="00B31A10" w:rsidR="00876D1C">
        <w:rPr>
          <w:rFonts w:ascii="Times New Roman" w:hAnsi="Times New Roman" w:cs="Calibri"/>
          <w:sz w:val="24"/>
          <w:szCs w:val="24"/>
        </w:rPr>
        <w:t>:</w:t>
      </w:r>
    </w:p>
    <w:p w:rsidR="007709A1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876D1C">
        <w:rPr>
          <w:rFonts w:ascii="Times New Roman" w:hAnsi="Times New Roman" w:cs="Calibri"/>
          <w:sz w:val="24"/>
          <w:szCs w:val="24"/>
        </w:rPr>
        <w:t>„</w:t>
      </w:r>
      <w:r w:rsidRPr="00B31A10" w:rsidR="00B31A10">
        <w:rPr>
          <w:rFonts w:ascii="Times New Roman" w:hAnsi="Times New Roman" w:cs="Calibri"/>
          <w:sz w:val="24"/>
          <w:szCs w:val="24"/>
        </w:rPr>
        <w:t>34a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) </w:t>
      </w:r>
      <w:r w:rsidRPr="00B31A10">
        <w:rPr>
          <w:rFonts w:ascii="Times New Roman" w:hAnsi="Times New Roman" w:cs="Calibri"/>
          <w:sz w:val="24"/>
          <w:szCs w:val="24"/>
        </w:rPr>
        <w:t>§</w:t>
      </w:r>
      <w:r w:rsidRPr="00B31A10" w:rsidR="00D1621B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 xml:space="preserve">38b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140/1998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 w:rsidR="00876D1C">
        <w:rPr>
          <w:rFonts w:ascii="Times New Roman" w:hAnsi="Times New Roman" w:cs="Calibri"/>
          <w:sz w:val="24"/>
          <w:szCs w:val="24"/>
        </w:rPr>
        <w:t xml:space="preserve"> v znení neskorších predpisov.“</w:t>
      </w:r>
      <w:r w:rsidRPr="00B31A10" w:rsidR="002008F9">
        <w:rPr>
          <w:rFonts w:ascii="Times New Roman" w:hAnsi="Times New Roman" w:cs="Calibri"/>
          <w:sz w:val="24"/>
          <w:szCs w:val="24"/>
        </w:rPr>
        <w:t>.</w:t>
      </w:r>
    </w:p>
    <w:p w:rsidR="007709A1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Čl. II</w:t>
      </w:r>
    </w:p>
    <w:p w:rsidR="003423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Zákon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581/2004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 o zdravotných poisťovniach, dohľade nad zdravotnou starostlivosťou a o zmene a doplnení niektorých zákonov v znení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719/2004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353/2005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538/2005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660/2005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25/2006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282/2006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522/2006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12/2007</w:t>
      </w:r>
      <w:r w:rsidRPr="00B31A10" w:rsidR="00B0025E">
        <w:rPr>
          <w:rFonts w:ascii="Times New Roman" w:hAnsi="Times New Roman" w:cs="Calibri"/>
          <w:sz w:val="24"/>
          <w:szCs w:val="24"/>
        </w:rPr>
        <w:t> Z. </w:t>
      </w:r>
      <w:r w:rsidRPr="00B31A10" w:rsidR="00B0025E">
        <w:rPr>
          <w:rFonts w:ascii="Times New Roman" w:hAnsi="Times New Roman" w:cs="Calibri"/>
          <w:sz w:val="24"/>
          <w:szCs w:val="24"/>
        </w:rPr>
        <w:t>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215/2007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309/2007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330/2007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358/2007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530/2007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594/2007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232/2008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297/2008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461/2008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 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581/2008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, 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192/2009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 a 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533/2009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 sa mení </w:t>
      </w:r>
      <w:r w:rsidRPr="00B31A10" w:rsidR="007709A1">
        <w:rPr>
          <w:rFonts w:ascii="Times New Roman" w:hAnsi="Times New Roman" w:cs="Calibri"/>
          <w:sz w:val="24"/>
          <w:szCs w:val="24"/>
        </w:rPr>
        <w:t xml:space="preserve">a dopĺňa </w:t>
      </w:r>
      <w:r w:rsidRPr="00B31A10">
        <w:rPr>
          <w:rFonts w:ascii="Times New Roman" w:hAnsi="Times New Roman" w:cs="Calibri"/>
          <w:sz w:val="24"/>
          <w:szCs w:val="24"/>
        </w:rPr>
        <w:t>takto:</w:t>
      </w: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46967" w:rsidRPr="00B31A10" w:rsidP="00CA72F4">
      <w:pPr>
        <w:numPr>
          <w:ilvl w:val="0"/>
          <w:numId w:val="5"/>
        </w:numPr>
        <w:autoSpaceDE/>
        <w:autoSpaceDN/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 w:rsidR="0034232C">
        <w:rPr>
          <w:rFonts w:ascii="Times New Roman" w:hAnsi="Times New Roman" w:cs="Calibri"/>
          <w:sz w:val="24"/>
          <w:szCs w:val="24"/>
        </w:rPr>
        <w:t>§</w:t>
      </w:r>
      <w:r w:rsidRPr="00B31A10" w:rsidR="006C16AC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34232C">
        <w:rPr>
          <w:rFonts w:ascii="Times New Roman" w:hAnsi="Times New Roman" w:cs="Calibri"/>
          <w:sz w:val="24"/>
          <w:szCs w:val="24"/>
        </w:rPr>
        <w:t>6</w:t>
      </w:r>
      <w:r w:rsidRPr="00B31A10">
        <w:rPr>
          <w:rFonts w:ascii="Times New Roman" w:hAnsi="Times New Roman" w:cs="Calibri"/>
          <w:sz w:val="24"/>
          <w:szCs w:val="24"/>
        </w:rPr>
        <w:t xml:space="preserve"> sa </w:t>
      </w:r>
      <w:r w:rsidRPr="00B31A10" w:rsidR="006C16AC">
        <w:rPr>
          <w:rFonts w:ascii="Times New Roman" w:hAnsi="Times New Roman" w:cs="Calibri"/>
          <w:sz w:val="24"/>
          <w:szCs w:val="24"/>
        </w:rPr>
        <w:t xml:space="preserve">dopĺňa </w:t>
      </w:r>
      <w:r w:rsidRPr="00B31A10">
        <w:rPr>
          <w:rFonts w:ascii="Times New Roman" w:hAnsi="Times New Roman" w:cs="Calibri"/>
          <w:sz w:val="24"/>
          <w:szCs w:val="24"/>
        </w:rPr>
        <w:t>odsek</w:t>
      </w:r>
      <w:r w:rsidRPr="00B31A10" w:rsidR="006C16AC">
        <w:rPr>
          <w:rFonts w:ascii="Times New Roman" w:hAnsi="Times New Roman" w:cs="Calibri"/>
          <w:sz w:val="24"/>
          <w:szCs w:val="24"/>
        </w:rPr>
        <w:t>om</w:t>
      </w:r>
      <w:r w:rsidRPr="00B31A10" w:rsidR="00CA72F4">
        <w:rPr>
          <w:rFonts w:ascii="Times New Roman" w:hAnsi="Times New Roman" w:cs="Calibri"/>
          <w:sz w:val="24"/>
          <w:szCs w:val="24"/>
        </w:rPr>
        <w:t xml:space="preserve"> 17, ktorý znie:</w:t>
      </w:r>
    </w:p>
    <w:p w:rsidR="00CA72F4" w:rsidRPr="00B31A10" w:rsidP="00CA72F4">
      <w:pPr>
        <w:autoSpaceDE/>
        <w:autoSpaceDN/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E46967" w:rsidRPr="00B31A10" w:rsidP="00E46967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CA72F4">
        <w:rPr>
          <w:rFonts w:ascii="Times New Roman" w:hAnsi="Times New Roman" w:cs="Calibri"/>
          <w:sz w:val="24"/>
          <w:szCs w:val="24"/>
        </w:rPr>
        <w:t xml:space="preserve">„(17) 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Zdravotná poisťovňa uhrádza poistencovi </w:t>
      </w:r>
      <w:r w:rsidRPr="00B31A10" w:rsidR="00B31A10">
        <w:rPr>
          <w:rFonts w:ascii="Times New Roman" w:hAnsi="Times New Roman" w:cs="Calibri"/>
          <w:sz w:val="24"/>
          <w:szCs w:val="24"/>
        </w:rPr>
        <w:t xml:space="preserve">na základe jeho písomnej žiadosti </w:t>
      </w:r>
      <w:r w:rsidRPr="00B31A10" w:rsidR="0034232C">
        <w:rPr>
          <w:rFonts w:ascii="Times New Roman" w:hAnsi="Times New Roman" w:cs="Calibri"/>
          <w:sz w:val="24"/>
          <w:szCs w:val="24"/>
        </w:rPr>
        <w:t>čiastku, o ktorú jeho úhrady</w:t>
      </w:r>
      <w:r w:rsidRPr="00B31A10" w:rsidR="008E6511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za kalendárny rok prekročili limit spoluúčasti podľa osobitného predpisu</w:t>
      </w:r>
      <w:r w:rsidRPr="00B31A10">
        <w:rPr>
          <w:rFonts w:ascii="Times New Roman" w:hAnsi="Times New Roman" w:cs="Calibri"/>
          <w:sz w:val="24"/>
          <w:szCs w:val="24"/>
        </w:rPr>
        <w:t>.</w:t>
      </w:r>
      <w:r w:rsidRPr="00B31A10">
        <w:rPr>
          <w:rFonts w:ascii="Times New Roman" w:hAnsi="Times New Roman" w:cs="Calibri"/>
          <w:sz w:val="24"/>
          <w:szCs w:val="24"/>
          <w:vertAlign w:val="superscript"/>
        </w:rPr>
        <w:t>3</w:t>
      </w:r>
      <w:r w:rsidRPr="00B31A10" w:rsidR="00D1621B">
        <w:rPr>
          <w:rFonts w:ascii="Times New Roman" w:hAnsi="Times New Roman" w:cs="Calibri"/>
          <w:sz w:val="24"/>
          <w:szCs w:val="24"/>
          <w:vertAlign w:val="superscript"/>
        </w:rPr>
        <w:t>5ac</w:t>
      </w:r>
      <w:r w:rsidRPr="00B31A10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Zdravotná poisťovňa je povinná uhradiť poistencovi túto čiastku do 90 kalendárnych dní po skončení príslušného kalendárneho roka.</w:t>
      </w:r>
      <w:r w:rsidRPr="00B31A10" w:rsidR="00CA72F4">
        <w:rPr>
          <w:rFonts w:ascii="Times New Roman" w:hAnsi="Times New Roman" w:cs="Calibri"/>
          <w:sz w:val="24"/>
          <w:szCs w:val="24"/>
        </w:rPr>
        <w:t>“</w:t>
      </w:r>
      <w:r w:rsidRPr="00B31A10" w:rsidR="00D1621B">
        <w:rPr>
          <w:rFonts w:ascii="Times New Roman" w:hAnsi="Times New Roman" w:cs="Calibri"/>
          <w:sz w:val="24"/>
          <w:szCs w:val="24"/>
        </w:rPr>
        <w:t>.</w:t>
      </w: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876D1C" w:rsidRPr="00B31A10" w:rsidP="00876D1C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Poznámka pod čiarou k odkazu </w:t>
      </w:r>
      <w:r w:rsidRPr="00B31A10" w:rsidR="00E46967">
        <w:rPr>
          <w:rFonts w:ascii="Times New Roman" w:hAnsi="Times New Roman" w:cs="Calibri"/>
          <w:sz w:val="24"/>
          <w:szCs w:val="24"/>
        </w:rPr>
        <w:t>3</w:t>
      </w:r>
      <w:r w:rsidRPr="00B31A10" w:rsidR="00D1621B">
        <w:rPr>
          <w:rFonts w:ascii="Times New Roman" w:hAnsi="Times New Roman" w:cs="Calibri"/>
          <w:sz w:val="24"/>
          <w:szCs w:val="24"/>
        </w:rPr>
        <w:t>5ac</w:t>
      </w:r>
      <w:r w:rsidRPr="00B31A10" w:rsidR="00E46967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>znie:</w:t>
      </w:r>
    </w:p>
    <w:p w:rsidR="00876D1C" w:rsidRPr="00B31A10" w:rsidP="00876D1C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„</w:t>
      </w:r>
      <w:r w:rsidRPr="00B31A10" w:rsidR="00E46967">
        <w:rPr>
          <w:rFonts w:ascii="Times New Roman" w:hAnsi="Times New Roman" w:cs="Calibri"/>
          <w:sz w:val="24"/>
          <w:szCs w:val="24"/>
        </w:rPr>
        <w:t>3</w:t>
      </w:r>
      <w:r w:rsidRPr="00B31A10" w:rsidR="00D1621B">
        <w:rPr>
          <w:rFonts w:ascii="Times New Roman" w:hAnsi="Times New Roman" w:cs="Calibri"/>
          <w:sz w:val="24"/>
          <w:szCs w:val="24"/>
        </w:rPr>
        <w:t>5</w:t>
      </w:r>
      <w:r w:rsidRPr="00B31A10" w:rsidR="00E46967">
        <w:rPr>
          <w:rFonts w:ascii="Times New Roman" w:hAnsi="Times New Roman" w:cs="Calibri"/>
          <w:sz w:val="24"/>
          <w:szCs w:val="24"/>
        </w:rPr>
        <w:t>a</w:t>
      </w:r>
      <w:r w:rsidRPr="00B31A10" w:rsidR="00D1621B">
        <w:rPr>
          <w:rFonts w:ascii="Times New Roman" w:hAnsi="Times New Roman" w:cs="Calibri"/>
          <w:sz w:val="24"/>
          <w:szCs w:val="24"/>
        </w:rPr>
        <w:t>c</w:t>
      </w:r>
      <w:r w:rsidRPr="00B31A10" w:rsidR="00E46967">
        <w:rPr>
          <w:rFonts w:ascii="Times New Roman" w:hAnsi="Times New Roman" w:cs="Calibri"/>
          <w:sz w:val="24"/>
          <w:szCs w:val="24"/>
        </w:rPr>
        <w:t>)</w:t>
      </w:r>
      <w:r w:rsidRPr="00B31A10">
        <w:rPr>
          <w:rFonts w:ascii="Times New Roman" w:hAnsi="Times New Roman" w:cs="Calibri"/>
          <w:sz w:val="24"/>
          <w:szCs w:val="24"/>
        </w:rPr>
        <w:t xml:space="preserve"> §</w:t>
      </w:r>
      <w:r w:rsidRPr="00B31A10" w:rsidR="00D1621B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B31A10">
        <w:rPr>
          <w:rFonts w:ascii="Times New Roman" w:hAnsi="Times New Roman" w:cs="Calibri"/>
          <w:sz w:val="24"/>
          <w:szCs w:val="24"/>
        </w:rPr>
        <w:t xml:space="preserve">42a </w:t>
      </w:r>
      <w:r w:rsidRPr="00B31A10">
        <w:rPr>
          <w:rFonts w:ascii="Times New Roman" w:hAnsi="Times New Roman" w:cs="Calibri"/>
          <w:sz w:val="24"/>
          <w:szCs w:val="24"/>
        </w:rPr>
        <w:t xml:space="preserve">zákona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577</w:t>
      </w:r>
      <w:r w:rsidRPr="00B31A10">
        <w:rPr>
          <w:rFonts w:ascii="Times New Roman" w:hAnsi="Times New Roman" w:cs="Calibri"/>
          <w:sz w:val="24"/>
          <w:szCs w:val="24"/>
        </w:rPr>
        <w:t>/2004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>
        <w:rPr>
          <w:rFonts w:ascii="Times New Roman" w:hAnsi="Times New Roman" w:cs="Calibri"/>
          <w:sz w:val="24"/>
          <w:szCs w:val="24"/>
        </w:rPr>
        <w:t xml:space="preserve"> v znení neskorších predpisov.</w:t>
      </w:r>
    </w:p>
    <w:p w:rsidR="00876D1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CA72F4">
      <w:pPr>
        <w:numPr>
          <w:ilvl w:val="0"/>
          <w:numId w:val="5"/>
        </w:numPr>
        <w:autoSpaceDE/>
        <w:autoSpaceDN/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 w:rsidR="00CA72F4">
        <w:rPr>
          <w:rFonts w:ascii="Times New Roman" w:hAnsi="Times New Roman" w:cs="Calibri"/>
          <w:sz w:val="24"/>
          <w:szCs w:val="24"/>
        </w:rPr>
        <w:t xml:space="preserve">V </w:t>
      </w:r>
      <w:r w:rsidRPr="00B31A10">
        <w:rPr>
          <w:rFonts w:ascii="Times New Roman" w:hAnsi="Times New Roman" w:cs="Calibri"/>
          <w:sz w:val="24"/>
          <w:szCs w:val="24"/>
        </w:rPr>
        <w:t>§16 ods</w:t>
      </w:r>
      <w:r w:rsidRPr="00B31A10" w:rsidR="00D1621B">
        <w:rPr>
          <w:rFonts w:ascii="Times New Roman" w:hAnsi="Times New Roman" w:cs="Calibri"/>
          <w:sz w:val="24"/>
          <w:szCs w:val="24"/>
        </w:rPr>
        <w:t>.</w:t>
      </w:r>
      <w:r w:rsidRPr="00B31A10">
        <w:rPr>
          <w:rFonts w:ascii="Times New Roman" w:hAnsi="Times New Roman" w:cs="Calibri"/>
          <w:sz w:val="24"/>
          <w:szCs w:val="24"/>
        </w:rPr>
        <w:t xml:space="preserve"> 2 sa</w:t>
      </w:r>
      <w:r w:rsidRPr="00B31A10" w:rsidR="00D1621B">
        <w:rPr>
          <w:rFonts w:ascii="Times New Roman" w:hAnsi="Times New Roman" w:cs="Calibri"/>
          <w:sz w:val="24"/>
          <w:szCs w:val="24"/>
        </w:rPr>
        <w:t xml:space="preserve"> za písmeno d)</w:t>
      </w:r>
      <w:r w:rsidRPr="00B31A10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114F34">
        <w:rPr>
          <w:rFonts w:ascii="Times New Roman" w:hAnsi="Times New Roman" w:cs="Calibri"/>
          <w:sz w:val="24"/>
          <w:szCs w:val="24"/>
        </w:rPr>
        <w:t xml:space="preserve">vkladá nové </w:t>
      </w:r>
      <w:r w:rsidRPr="00B31A10">
        <w:rPr>
          <w:rFonts w:ascii="Times New Roman" w:hAnsi="Times New Roman" w:cs="Calibri"/>
          <w:sz w:val="24"/>
          <w:szCs w:val="24"/>
        </w:rPr>
        <w:t xml:space="preserve">písmeno </w:t>
      </w:r>
      <w:r w:rsidRPr="00B31A10" w:rsidR="00114F34">
        <w:rPr>
          <w:rFonts w:ascii="Times New Roman" w:hAnsi="Times New Roman" w:cs="Calibri"/>
          <w:sz w:val="24"/>
          <w:szCs w:val="24"/>
        </w:rPr>
        <w:t>e</w:t>
      </w:r>
      <w:r w:rsidRPr="00B31A10">
        <w:rPr>
          <w:rFonts w:ascii="Times New Roman" w:hAnsi="Times New Roman" w:cs="Calibri"/>
          <w:sz w:val="24"/>
          <w:szCs w:val="24"/>
        </w:rPr>
        <w:t>), ktoré znie:</w:t>
      </w:r>
    </w:p>
    <w:p w:rsidR="00CA72F4" w:rsidRPr="00B31A10" w:rsidP="00CA72F4">
      <w:pPr>
        <w:autoSpaceDE/>
        <w:autoSpaceDN/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34232C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CA72F4">
        <w:rPr>
          <w:rFonts w:ascii="Times New Roman" w:hAnsi="Times New Roman" w:cs="Calibri"/>
          <w:sz w:val="24"/>
          <w:szCs w:val="24"/>
        </w:rPr>
        <w:t>„</w:t>
      </w:r>
      <w:r w:rsidRPr="00B31A10" w:rsidR="00114F34">
        <w:rPr>
          <w:rFonts w:ascii="Times New Roman" w:hAnsi="Times New Roman" w:cs="Calibri"/>
          <w:sz w:val="24"/>
          <w:szCs w:val="24"/>
        </w:rPr>
        <w:t>e</w:t>
      </w:r>
      <w:r w:rsidRPr="00B31A10">
        <w:rPr>
          <w:rFonts w:ascii="Times New Roman" w:hAnsi="Times New Roman" w:cs="Calibri"/>
          <w:sz w:val="24"/>
          <w:szCs w:val="24"/>
        </w:rPr>
        <w:t>) údaje o výške úhrady poistenca za doplatky na lieky čiastočne uhrádzané z vere</w:t>
      </w:r>
      <w:r w:rsidRPr="00B31A10" w:rsidR="00CA72F4">
        <w:rPr>
          <w:rFonts w:ascii="Times New Roman" w:hAnsi="Times New Roman" w:cs="Calibri"/>
          <w:sz w:val="24"/>
          <w:szCs w:val="24"/>
        </w:rPr>
        <w:t>jného zdravotného poistenia</w:t>
      </w:r>
      <w:r w:rsidRPr="00B31A10" w:rsidR="00114F34">
        <w:rPr>
          <w:rFonts w:ascii="Times New Roman" w:hAnsi="Times New Roman" w:cs="Calibri"/>
          <w:sz w:val="24"/>
          <w:szCs w:val="24"/>
        </w:rPr>
        <w:t xml:space="preserve"> a za služby súvisiace so zdravotnou starostlivosťou</w:t>
      </w:r>
      <w:r w:rsidRPr="00B31A10" w:rsidR="00CA72F4">
        <w:rPr>
          <w:rFonts w:ascii="Times New Roman" w:hAnsi="Times New Roman" w:cs="Calibri"/>
          <w:sz w:val="24"/>
          <w:szCs w:val="24"/>
        </w:rPr>
        <w:t>.“</w:t>
      </w:r>
    </w:p>
    <w:p w:rsidR="007709A1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114F34" w:rsidRPr="00B31A10" w:rsidP="00114F34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Doterajšie písmená e) až m) sa označujú ako písmená f) až n).</w:t>
      </w:r>
    </w:p>
    <w:p w:rsidR="00114F34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B31A10" w:rsidP="007709A1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C76B2C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Čl. II</w:t>
      </w:r>
      <w:r w:rsidRPr="00B31A10" w:rsidR="0034232C">
        <w:rPr>
          <w:rFonts w:ascii="Times New Roman" w:hAnsi="Times New Roman" w:cs="Calibri"/>
          <w:sz w:val="24"/>
          <w:szCs w:val="24"/>
        </w:rPr>
        <w:t>I</w:t>
      </w:r>
    </w:p>
    <w:p w:rsidR="00A7209D" w:rsidRPr="00B31A10" w:rsidP="007709A1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A7209D" w:rsidRPr="00B31A10" w:rsidP="007709A1">
      <w:pPr>
        <w:autoSpaceDE/>
        <w:autoSpaceDN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B31A10" w:rsidR="00C76B2C">
        <w:rPr>
          <w:rFonts w:ascii="Times New Roman" w:hAnsi="Times New Roman" w:cs="Calibri"/>
          <w:sz w:val="24"/>
          <w:szCs w:val="24"/>
        </w:rPr>
        <w:t xml:space="preserve">Tento zákon nadobúda účinnosť 1. </w:t>
      </w:r>
      <w:r w:rsidRPr="00B31A10" w:rsidR="0026306E">
        <w:rPr>
          <w:rFonts w:ascii="Times New Roman" w:hAnsi="Times New Roman" w:cs="Calibri"/>
          <w:sz w:val="24"/>
          <w:szCs w:val="24"/>
        </w:rPr>
        <w:t>januára 2011.</w:t>
      </w:r>
    </w:p>
    <w:p w:rsidR="00A7209D" w:rsidRPr="00B31A10" w:rsidP="007924B1">
      <w:pPr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br w:type="page"/>
      </w:r>
      <w:r w:rsidRPr="00B31A10">
        <w:rPr>
          <w:rFonts w:ascii="Times New Roman" w:hAnsi="Times New Roman" w:cs="Calibri"/>
          <w:b/>
          <w:caps/>
          <w:sz w:val="24"/>
          <w:szCs w:val="24"/>
        </w:rPr>
        <w:t>Dôvodová správa</w:t>
      </w:r>
    </w:p>
    <w:p w:rsidR="00A7209D" w:rsidRPr="00B31A10" w:rsidP="00A7209D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Všeobecná časť</w:t>
      </w:r>
    </w:p>
    <w:p w:rsidR="00A7209D" w:rsidRPr="00B31A10" w:rsidP="00A7209D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 w:rsidR="00A7209D">
        <w:rPr>
          <w:rFonts w:ascii="Times New Roman" w:hAnsi="Times New Roman" w:cs="Calibri"/>
          <w:sz w:val="24"/>
          <w:szCs w:val="24"/>
        </w:rPr>
        <w:t xml:space="preserve">Návrh novely zákona, </w:t>
      </w:r>
      <w:r w:rsidRPr="00B31A10" w:rsidR="00A7209D">
        <w:rPr>
          <w:rFonts w:ascii="Times New Roman" w:hAnsi="Times New Roman" w:cs="Calibri"/>
          <w:bCs/>
          <w:sz w:val="24"/>
          <w:szCs w:val="24"/>
        </w:rPr>
        <w:t xml:space="preserve">ktorým sa mení </w:t>
      </w:r>
      <w:r w:rsidRPr="00B31A10">
        <w:rPr>
          <w:rFonts w:ascii="Times New Roman" w:hAnsi="Times New Roman" w:cs="Calibri"/>
          <w:bCs/>
          <w:sz w:val="24"/>
          <w:szCs w:val="24"/>
        </w:rPr>
        <w:t>zákon</w:t>
      </w:r>
      <w:r w:rsidRPr="00B31A10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>
        <w:rPr>
          <w:rFonts w:ascii="Times New Roman" w:hAnsi="Times New Roman" w:cs="Calibri"/>
          <w:sz w:val="24"/>
          <w:szCs w:val="24"/>
        </w:rPr>
        <w:t>577/2004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>
        <w:rPr>
          <w:rFonts w:ascii="Times New Roman" w:hAnsi="Times New Roman" w:cs="Calibri"/>
          <w:sz w:val="24"/>
          <w:szCs w:val="24"/>
        </w:rPr>
        <w:t xml:space="preserve"> o rozsahu zdravotnej starostlivosti uhrádzanej na základe verejného zdravotného poistenia a o úhradách za služby súvisiace s poskytovaním zdravotnej starostlivosti </w:t>
      </w:r>
      <w:r w:rsidRPr="00B31A10">
        <w:rPr>
          <w:rFonts w:ascii="Times New Roman" w:hAnsi="Times New Roman" w:cs="Calibri"/>
          <w:bCs/>
          <w:sz w:val="24"/>
          <w:szCs w:val="24"/>
        </w:rPr>
        <w:t>v znení neskorších predpisov</w:t>
      </w:r>
      <w:r w:rsidRPr="00B31A10" w:rsidR="009035ED">
        <w:rPr>
          <w:rFonts w:ascii="Times New Roman" w:hAnsi="Times New Roman" w:cs="Calibri"/>
          <w:bCs/>
          <w:sz w:val="24"/>
          <w:szCs w:val="24"/>
        </w:rPr>
        <w:t xml:space="preserve"> má za cieľ ochranu poistencov pred negatívnymi finančnými dopadmi spoluúčasti za zdravotnú starostlivosť.</w:t>
      </w:r>
    </w:p>
    <w:p w:rsidR="009035ED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>
        <w:rPr>
          <w:rFonts w:ascii="Times New Roman" w:hAnsi="Times New Roman" w:cs="Calibri"/>
          <w:bCs/>
          <w:sz w:val="24"/>
          <w:szCs w:val="24"/>
        </w:rPr>
        <w:t>Rozsah zdravotnej starostlivosti uhrádzanej z verejného zdravotného poistenia nie je neobmedzený. V prípade zdravotnej starostlivosti čiastočne uhrádzanej zdravotnými poisťovňami nesie bremeno úhrady spoluúčasti poistenec – pacient. T</w:t>
      </w:r>
      <w:r w:rsidRPr="00B31A10" w:rsidR="009E5E7F">
        <w:rPr>
          <w:rFonts w:ascii="Times New Roman" w:hAnsi="Times New Roman" w:cs="Calibri"/>
          <w:bCs/>
          <w:sz w:val="24"/>
          <w:szCs w:val="24"/>
        </w:rPr>
        <w:t>o</w:t>
      </w:r>
      <w:r w:rsidRPr="00B31A10">
        <w:rPr>
          <w:rFonts w:ascii="Times New Roman" w:hAnsi="Times New Roman" w:cs="Calibri"/>
          <w:bCs/>
          <w:sz w:val="24"/>
          <w:szCs w:val="24"/>
        </w:rPr>
        <w:t>t</w:t>
      </w:r>
      <w:r w:rsidRPr="00B31A10">
        <w:rPr>
          <w:rFonts w:ascii="Times New Roman" w:hAnsi="Times New Roman" w:cs="Calibri"/>
          <w:bCs/>
          <w:sz w:val="24"/>
          <w:szCs w:val="24"/>
        </w:rPr>
        <w:t>o</w:t>
      </w:r>
      <w:r w:rsidRPr="00B31A10" w:rsidR="009E5E7F">
        <w:rPr>
          <w:rFonts w:ascii="Times New Roman" w:hAnsi="Times New Roman" w:cs="Calibri"/>
          <w:bCs/>
          <w:sz w:val="24"/>
          <w:szCs w:val="24"/>
        </w:rPr>
        <w:t xml:space="preserve"> konštatovanie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podčiarkuje skutočnosť, že slovenské zdravotníctvo nie je bezplatné a na jeho financovaní sa </w:t>
      </w:r>
      <w:r w:rsidRPr="00B31A10" w:rsidR="007924B1">
        <w:rPr>
          <w:rFonts w:ascii="Times New Roman" w:hAnsi="Times New Roman" w:cs="Calibri"/>
          <w:bCs/>
          <w:sz w:val="24"/>
          <w:szCs w:val="24"/>
        </w:rPr>
        <w:t xml:space="preserve">okrem zdravotných poisťovní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významnou mierou podieľajú </w:t>
      </w:r>
      <w:r w:rsidRPr="00B31A10" w:rsidR="007924B1">
        <w:rPr>
          <w:rFonts w:ascii="Times New Roman" w:hAnsi="Times New Roman" w:cs="Calibri"/>
          <w:bCs/>
          <w:sz w:val="24"/>
          <w:szCs w:val="24"/>
        </w:rPr>
        <w:t xml:space="preserve">samotní </w:t>
      </w:r>
      <w:r w:rsidRPr="00B31A10">
        <w:rPr>
          <w:rFonts w:ascii="Times New Roman" w:hAnsi="Times New Roman" w:cs="Calibri"/>
          <w:bCs/>
          <w:sz w:val="24"/>
          <w:szCs w:val="24"/>
        </w:rPr>
        <w:t>pacienti.</w:t>
      </w:r>
    </w:p>
    <w:p w:rsidR="009035ED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>
        <w:rPr>
          <w:rFonts w:ascii="Times New Roman" w:hAnsi="Times New Roman" w:cs="Calibri"/>
          <w:bCs/>
          <w:sz w:val="24"/>
          <w:szCs w:val="24"/>
        </w:rPr>
        <w:t>Podľa údajov Ministerstva financií Slovenskej republiky sa priame platby obyvateľov v zdravotníctve zvýšili medzi rokmi 2005 a 2009 o 72 % z 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>20</w:t>
      </w:r>
      <w:r w:rsidRPr="00B31A10">
        <w:rPr>
          <w:rFonts w:ascii="Times New Roman" w:hAnsi="Times New Roman" w:cs="Calibri"/>
          <w:bCs/>
          <w:sz w:val="24"/>
          <w:szCs w:val="24"/>
        </w:rPr>
        <w:t>,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>4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mld. Sk na 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>35,1 mld. Sk (1,166 mld. eur). Znamená to nárast z 3 700 Sk na 6 500 Sk per capita.</w:t>
      </w:r>
    </w:p>
    <w:p w:rsidR="009E5E7F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>
        <w:rPr>
          <w:rFonts w:ascii="Times New Roman" w:hAnsi="Times New Roman" w:cs="Calibri"/>
          <w:bCs/>
          <w:sz w:val="24"/>
          <w:szCs w:val="24"/>
        </w:rPr>
        <w:t xml:space="preserve">Tento dopad je pritom distribuovaný nerovnomerne, pretože spoluúčasť znášajú primárne osoby čerpajúce zdravotnú starostlivosť,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a to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najmä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starší,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ťažko a chronicky chorí pacienti.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Tí sú z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vyčajne odkázaní na príjmy zo sociálneho systému, keďže ich zárobková schopnosť je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zo zdravotných dôvodov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výrazne znížená alebo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priamo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nemožná. V takom prípade má pre nich aj relatívne nízka spoluúčasť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katastrofické finančné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dôsledky</w:t>
      </w:r>
      <w:r w:rsidRPr="00B31A10">
        <w:rPr>
          <w:rFonts w:ascii="Times New Roman" w:hAnsi="Times New Roman" w:cs="Calibri"/>
          <w:bCs/>
          <w:sz w:val="24"/>
          <w:szCs w:val="24"/>
        </w:rPr>
        <w:t>.</w:t>
      </w:r>
    </w:p>
    <w:p w:rsidR="009E5E7F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 w:rsidR="00BC3290">
        <w:rPr>
          <w:rFonts w:ascii="Times New Roman" w:hAnsi="Times New Roman" w:cs="Calibri"/>
          <w:bCs/>
          <w:sz w:val="24"/>
          <w:szCs w:val="24"/>
        </w:rPr>
        <w:t>K spoluúčasti v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ýznamnou mierou prispievajú doplatky za lieky. U polymorbídnych </w:t>
      </w:r>
      <w:r w:rsidRPr="00B31A10" w:rsidR="008E6511">
        <w:rPr>
          <w:rFonts w:ascii="Times New Roman" w:hAnsi="Times New Roman" w:cs="Calibri"/>
          <w:bCs/>
          <w:sz w:val="24"/>
          <w:szCs w:val="24"/>
        </w:rPr>
        <w:t>chronických pacientov, ktorí uží</w:t>
      </w:r>
      <w:r w:rsidRPr="00B31A10">
        <w:rPr>
          <w:rFonts w:ascii="Times New Roman" w:hAnsi="Times New Roman" w:cs="Calibri"/>
          <w:bCs/>
          <w:sz w:val="24"/>
          <w:szCs w:val="24"/>
        </w:rPr>
        <w:t>vajú pravidelne väčšie množstvo liekov, spoluúčasť za lieky čiastočne hradené z verejného zdravotného poistenia nezriedka prekračuje 30 eur mesačne.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 Sociálne slabší p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 xml:space="preserve">acienti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reagujú na tento stav tým, že 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>si napríklad nevyberajú všetky potrebné predpísané lieky, pretože si nemôžu dovoliť za ne zaplatiť potrebný doplatok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 – t</w:t>
      </w:r>
      <w:r w:rsidRPr="00B31A10">
        <w:rPr>
          <w:rFonts w:ascii="Times New Roman" w:hAnsi="Times New Roman" w:cs="Calibri"/>
          <w:bCs/>
          <w:sz w:val="24"/>
          <w:szCs w:val="24"/>
        </w:rPr>
        <w:t>o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má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však za následok zhoršovanie ich zdravotného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stav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u</w:t>
      </w:r>
      <w:r w:rsidRPr="00B31A10" w:rsidR="007047FE">
        <w:rPr>
          <w:rFonts w:ascii="Times New Roman" w:hAnsi="Times New Roman" w:cs="Calibri"/>
          <w:bCs/>
          <w:sz w:val="24"/>
          <w:szCs w:val="24"/>
        </w:rPr>
        <w:t>.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Problémom pritom nie je 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výška doplatkov za konkrétne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liek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>y</w:t>
      </w:r>
      <w:r w:rsidRPr="00B31A10">
        <w:rPr>
          <w:rFonts w:ascii="Times New Roman" w:hAnsi="Times New Roman" w:cs="Calibri"/>
          <w:bCs/>
          <w:sz w:val="24"/>
          <w:szCs w:val="24"/>
        </w:rPr>
        <w:t>, ale ich kumulovaná výška</w:t>
      </w:r>
      <w:r w:rsidRPr="00B31A10" w:rsidR="00BC3290">
        <w:rPr>
          <w:rFonts w:ascii="Times New Roman" w:hAnsi="Times New Roman" w:cs="Calibri"/>
          <w:bCs/>
          <w:sz w:val="24"/>
          <w:szCs w:val="24"/>
        </w:rPr>
        <w:t xml:space="preserve"> v prípade užívania viacerých liekov naraz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. </w:t>
      </w:r>
    </w:p>
    <w:p w:rsidR="007047FE" w:rsidRPr="00B31A10" w:rsidP="009E5E7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 w:rsidR="009E5E7F">
        <w:rPr>
          <w:rFonts w:ascii="Times New Roman" w:hAnsi="Times New Roman" w:cs="Calibri"/>
          <w:bCs/>
          <w:sz w:val="24"/>
          <w:szCs w:val="24"/>
        </w:rPr>
        <w:t xml:space="preserve">Práve neobmedzenosť kumulovanej spoluúčasti predstavuje prekážku dostupnosti zdravotnej starostlivosti a rovnosti pri jej poskytovaní.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Návrh zákona </w:t>
      </w:r>
      <w:r w:rsidRPr="00B31A10" w:rsidR="009E5E7F">
        <w:rPr>
          <w:rFonts w:ascii="Times New Roman" w:hAnsi="Times New Roman" w:cs="Calibri"/>
          <w:bCs/>
          <w:sz w:val="24"/>
          <w:szCs w:val="24"/>
        </w:rPr>
        <w:t xml:space="preserve">tento problém rieši tak, že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bremeno vyššej spoluúčasti prenáša na zdravotné poisťovne. Ak poistencova úhrnná spoluúčasť na liekoch a platbách za služby súvisiace so zdravotnou starostlivosťou prekročí za rok limit 120 eur, </w:t>
      </w:r>
      <w:r w:rsidRPr="00B31A10" w:rsidR="009E5E7F">
        <w:rPr>
          <w:rFonts w:ascii="Times New Roman" w:hAnsi="Times New Roman" w:cs="Calibri"/>
          <w:bCs/>
          <w:sz w:val="24"/>
          <w:szCs w:val="24"/>
        </w:rPr>
        <w:t>ďalšie náklady na spoluúčasť znáša jeho zdravotná poisťovňa tým, že mu ich refunduje.</w:t>
      </w:r>
    </w:p>
    <w:p w:rsidR="00AC36DF" w:rsidRPr="00B31A10" w:rsidP="00AC36DF">
      <w:pPr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>
        <w:rPr>
          <w:rFonts w:ascii="Times New Roman" w:hAnsi="Times New Roman" w:cs="Calibri"/>
          <w:bCs/>
          <w:sz w:val="24"/>
          <w:szCs w:val="24"/>
        </w:rPr>
        <w:t>Regulácia výšky spoluúčasti je štandardným nástrojom solidárnych zdravotných</w:t>
      </w:r>
      <w:r w:rsidRPr="00B31A10" w:rsidR="008E6511">
        <w:rPr>
          <w:rFonts w:ascii="Times New Roman" w:hAnsi="Times New Roman" w:cs="Calibri"/>
          <w:bCs/>
          <w:sz w:val="24"/>
          <w:szCs w:val="24"/>
        </w:rPr>
        <w:t xml:space="preserve"> systémov.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 Podobný prístup k regulácii spoluúčasti používa od roku 2008 napríklad i susedná Česká republika.</w:t>
      </w:r>
    </w:p>
    <w:p w:rsidR="008D3790" w:rsidRPr="00B31A10" w:rsidP="009E5E7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</w:rPr>
      </w:pPr>
      <w:r w:rsidRPr="00B31A10" w:rsidR="009E5E7F">
        <w:rPr>
          <w:rFonts w:ascii="Times New Roman" w:hAnsi="Times New Roman" w:cs="Calibri"/>
          <w:bCs/>
          <w:sz w:val="24"/>
          <w:szCs w:val="24"/>
        </w:rPr>
        <w:t>Návrh zákona zachováva solidárny charakter zdravotného systému a chráni jeho najzraniteľnejších účastníkov pred katastrofickými dopadmi finančnej spoluúčasti.</w:t>
      </w:r>
    </w:p>
    <w:p w:rsidR="00460D01" w:rsidRPr="00B31A10" w:rsidP="00460D01">
      <w:pPr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Navrhovaná právna úprava je v súlade s Ústavou Slovenskej republiky, s právnym poriadkom Slovenskej republiky a s medzinárodnými zmluvami a inými dokumentmi, ktorými je Slovenská republika viazaná.</w:t>
      </w:r>
    </w:p>
    <w:p w:rsidR="00A7209D" w:rsidRPr="00B31A10" w:rsidP="00460D01">
      <w:pPr>
        <w:spacing w:after="0" w:line="240" w:lineRule="auto"/>
        <w:ind w:firstLine="708"/>
        <w:jc w:val="center"/>
        <w:rPr>
          <w:rFonts w:ascii="Times New Roman" w:hAnsi="Times New Roman" w:cs="Calibri"/>
          <w:sz w:val="24"/>
          <w:szCs w:val="24"/>
          <w:lang w:eastAsia="cs-CZ"/>
        </w:rPr>
      </w:pPr>
      <w:r w:rsidRPr="00B31A10">
        <w:rPr>
          <w:rFonts w:ascii="Times New Roman" w:hAnsi="Times New Roman" w:cs="Calibri"/>
          <w:sz w:val="24"/>
          <w:szCs w:val="24"/>
        </w:rPr>
        <w:br w:type="page"/>
      </w:r>
      <w:r w:rsidRPr="00B31A10">
        <w:rPr>
          <w:rFonts w:ascii="Times New Roman" w:hAnsi="Times New Roman" w:cs="Calibri"/>
          <w:b/>
          <w:caps/>
          <w:sz w:val="24"/>
          <w:szCs w:val="24"/>
          <w:lang w:eastAsia="cs-CZ"/>
        </w:rPr>
        <w:t>Doložka zlučiteľnosti</w:t>
      </w:r>
    </w:p>
    <w:p w:rsidR="00A7209D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  <w:r w:rsidRPr="00B31A10">
        <w:rPr>
          <w:rFonts w:ascii="Times New Roman" w:hAnsi="Times New Roman" w:cs="Calibri"/>
          <w:b/>
          <w:sz w:val="24"/>
          <w:szCs w:val="24"/>
          <w:lang w:eastAsia="cs-CZ"/>
        </w:rPr>
        <w:t xml:space="preserve">právneho predpisu </w:t>
      </w:r>
    </w:p>
    <w:p w:rsidR="00A7209D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  <w:r w:rsidRPr="00B31A10">
        <w:rPr>
          <w:rFonts w:ascii="Times New Roman" w:hAnsi="Times New Roman" w:cs="Calibri"/>
          <w:b/>
          <w:sz w:val="24"/>
          <w:szCs w:val="24"/>
          <w:lang w:eastAsia="cs-CZ"/>
        </w:rPr>
        <w:t>s právom Európskych spoločenstiev a Európskej únie</w:t>
      </w:r>
    </w:p>
    <w:p w:rsidR="00A7209D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</w:p>
    <w:p w:rsidR="00A7209D" w:rsidRPr="00B31A10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 xml:space="preserve">1. Predkladateľ právneho predpisu: 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Skupina poslancov Národnej rady Slovenskej republiky.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2. Názov návrhu právneho predpisu: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Cs/>
          <w:kern w:val="28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Návrh </w:t>
      </w:r>
      <w:r w:rsidRPr="00B31A10">
        <w:rPr>
          <w:rFonts w:ascii="Times New Roman" w:hAnsi="Times New Roman" w:cs="Calibri"/>
          <w:bCs/>
          <w:sz w:val="24"/>
          <w:szCs w:val="24"/>
        </w:rPr>
        <w:t xml:space="preserve">zákona, </w:t>
      </w:r>
      <w:r w:rsidRPr="00B31A10" w:rsidR="006C3AFE">
        <w:rPr>
          <w:rFonts w:ascii="Times New Roman" w:hAnsi="Times New Roman" w:cs="Calibri"/>
          <w:bCs/>
          <w:sz w:val="24"/>
          <w:szCs w:val="24"/>
        </w:rPr>
        <w:t xml:space="preserve">ktorým sa mení </w:t>
      </w:r>
      <w:r w:rsidRPr="00B31A10" w:rsidR="0034232C">
        <w:rPr>
          <w:rFonts w:ascii="Times New Roman" w:hAnsi="Times New Roman" w:cs="Calibri"/>
          <w:bCs/>
          <w:sz w:val="24"/>
          <w:szCs w:val="24"/>
        </w:rPr>
        <w:t>zákon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577/2004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o rozsahu zdravotnej starostlivosti uhrádzanej na základe verejného zdravotného poistenia a o úhradách za služby súvisiace s poskytovaním zdravotnej starostlivosti </w:t>
      </w:r>
      <w:r w:rsidRPr="00B31A10" w:rsidR="0034232C">
        <w:rPr>
          <w:rFonts w:ascii="Times New Roman" w:hAnsi="Times New Roman" w:cs="Calibri"/>
          <w:bCs/>
          <w:sz w:val="24"/>
          <w:szCs w:val="24"/>
        </w:rPr>
        <w:t>v znení neskorších predpisov</w:t>
      </w:r>
      <w:r w:rsidRPr="00B31A10" w:rsidR="007709A1">
        <w:rPr>
          <w:rFonts w:ascii="Times New Roman" w:hAnsi="Times New Roman" w:cs="Calibri"/>
          <w:bCs/>
          <w:sz w:val="24"/>
          <w:szCs w:val="24"/>
        </w:rPr>
        <w:t>.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3. Problematika návrhu právneho predpisu: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Nie je upravená v práve Európskych spoločenstiev.</w:t>
      </w:r>
    </w:p>
    <w:p w:rsidR="00A7209D" w:rsidRPr="00B31A10" w:rsidP="00A7209D">
      <w:pPr>
        <w:spacing w:after="0" w:line="240" w:lineRule="auto"/>
        <w:ind w:left="360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pStyle w:val="BodyText"/>
      </w:pPr>
      <w:r w:rsidRPr="00B31A10">
        <w:t>4. Záväzky Slovenskej republiky vo vzťahu k Európskym spoločenstvám a Európskej únii:</w:t>
      </w:r>
    </w:p>
    <w:p w:rsidR="00A7209D" w:rsidRPr="00B31A10" w:rsidP="00A7209D">
      <w:pPr>
        <w:pStyle w:val="BodyText"/>
      </w:pPr>
    </w:p>
    <w:p w:rsidR="00A7209D" w:rsidRPr="00B31A10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a) bezpredmetné,</w:t>
      </w:r>
    </w:p>
    <w:p w:rsidR="00A7209D" w:rsidRPr="00B31A10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b) bezpredmetné,</w:t>
      </w:r>
    </w:p>
    <w:p w:rsidR="00A7209D" w:rsidRPr="00B31A10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c) bezpredmetné.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  <w:lang w:eastAsia="cs-CZ"/>
        </w:rPr>
      </w:pPr>
    </w:p>
    <w:p w:rsidR="00A7209D" w:rsidRPr="00B31A10" w:rsidP="00A7209D">
      <w:pPr>
        <w:spacing w:after="0" w:line="240" w:lineRule="auto"/>
        <w:ind w:left="360" w:hanging="360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5. Stupeň zlučiteľnosti návrhu nariadenia s právom Európskych spoločenstiev a</w:t>
      </w:r>
      <w:r w:rsidRPr="00B31A10" w:rsidR="00E303A4">
        <w:rPr>
          <w:rFonts w:ascii="Times New Roman" w:hAnsi="Times New Roman" w:cs="Calibri"/>
          <w:b/>
          <w:sz w:val="24"/>
          <w:szCs w:val="24"/>
        </w:rPr>
        <w:t> </w:t>
      </w:r>
      <w:r w:rsidRPr="00B31A10">
        <w:rPr>
          <w:rFonts w:ascii="Times New Roman" w:hAnsi="Times New Roman" w:cs="Calibri"/>
          <w:b/>
          <w:sz w:val="24"/>
          <w:szCs w:val="24"/>
        </w:rPr>
        <w:t>právom</w:t>
      </w:r>
      <w:r w:rsidRPr="00B31A10" w:rsidR="00E303A4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b/>
          <w:sz w:val="24"/>
          <w:szCs w:val="24"/>
        </w:rPr>
        <w:t>Európskej únie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Bezpredmetné.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6. Gestor (spolupracujúce rezorty):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Bezpredmetné.</w:t>
      </w:r>
    </w:p>
    <w:p w:rsidR="00A7209D" w:rsidRPr="00B31A10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br w:type="page"/>
      </w:r>
      <w:r w:rsidRPr="00B31A10">
        <w:rPr>
          <w:rFonts w:ascii="Times New Roman" w:hAnsi="Times New Roman" w:cs="Calibri"/>
          <w:b/>
          <w:bCs/>
          <w:caps/>
          <w:sz w:val="24"/>
          <w:szCs w:val="24"/>
        </w:rPr>
        <w:t>Doložka finančných, ekonomických, environmentálnych vplyvov, vplyvov na zamestnanosť a podnikateľské prostredie</w:t>
      </w:r>
    </w:p>
    <w:p w:rsidR="00A7209D" w:rsidRPr="00B31A10" w:rsidP="00A7209D">
      <w:pPr>
        <w:pStyle w:val="BodyText"/>
        <w:jc w:val="center"/>
        <w:rPr>
          <w:b w:val="0"/>
          <w:bCs/>
          <w:caps/>
        </w:rPr>
      </w:pPr>
    </w:p>
    <w:p w:rsidR="00A7209D" w:rsidRPr="00B31A10" w:rsidP="00A7209D">
      <w:pPr>
        <w:pStyle w:val="BodyText"/>
        <w:jc w:val="center"/>
        <w:rPr>
          <w:b w:val="0"/>
          <w:bCs/>
        </w:rPr>
      </w:pPr>
    </w:p>
    <w:p w:rsidR="00A7209D" w:rsidRPr="00B31A10" w:rsidP="00A7209D">
      <w:pPr>
        <w:pStyle w:val="BodyText"/>
        <w:rPr>
          <w:bCs/>
        </w:rPr>
      </w:pPr>
      <w:r w:rsidRPr="00B31A10">
        <w:rPr>
          <w:bCs/>
        </w:rPr>
        <w:t>Odhad vplyvu na verejné financie:</w:t>
      </w:r>
    </w:p>
    <w:p w:rsidR="00AC36DF" w:rsidRPr="00B31A10" w:rsidP="00AC36D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E303A4">
        <w:rPr>
          <w:rFonts w:ascii="Times New Roman" w:hAnsi="Times New Roman" w:cs="Calibri"/>
          <w:sz w:val="24"/>
          <w:szCs w:val="24"/>
        </w:rPr>
        <w:t xml:space="preserve">Prijatie návrhu zákona, </w:t>
      </w:r>
      <w:r w:rsidRPr="00B31A10" w:rsidR="00E303A4">
        <w:rPr>
          <w:rFonts w:ascii="Times New Roman" w:hAnsi="Times New Roman" w:cs="Calibri"/>
          <w:bCs/>
          <w:sz w:val="24"/>
          <w:szCs w:val="24"/>
        </w:rPr>
        <w:t xml:space="preserve">ktorým sa mení </w:t>
      </w:r>
      <w:r w:rsidRPr="00B31A10" w:rsidR="0034232C">
        <w:rPr>
          <w:rFonts w:ascii="Times New Roman" w:hAnsi="Times New Roman" w:cs="Calibri"/>
          <w:bCs/>
          <w:sz w:val="24"/>
          <w:szCs w:val="24"/>
        </w:rPr>
        <w:t>zákon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B0025E">
        <w:rPr>
          <w:rFonts w:ascii="Times New Roman" w:hAnsi="Times New Roman" w:cs="Calibri"/>
          <w:sz w:val="24"/>
          <w:szCs w:val="24"/>
        </w:rPr>
        <w:t>č. </w:t>
      </w:r>
      <w:r w:rsidRPr="00B31A10" w:rsidR="0034232C">
        <w:rPr>
          <w:rFonts w:ascii="Times New Roman" w:hAnsi="Times New Roman" w:cs="Calibri"/>
          <w:sz w:val="24"/>
          <w:szCs w:val="24"/>
        </w:rPr>
        <w:t>577/2004</w:t>
      </w:r>
      <w:r w:rsidRPr="00B31A10" w:rsidR="00B0025E">
        <w:rPr>
          <w:rFonts w:ascii="Times New Roman" w:hAnsi="Times New Roman" w:cs="Calibri"/>
          <w:sz w:val="24"/>
          <w:szCs w:val="24"/>
        </w:rPr>
        <w:t> Z. z.</w:t>
      </w:r>
      <w:r w:rsidRPr="00B31A10" w:rsidR="0034232C">
        <w:rPr>
          <w:rFonts w:ascii="Times New Roman" w:hAnsi="Times New Roman" w:cs="Calibri"/>
          <w:sz w:val="24"/>
          <w:szCs w:val="24"/>
        </w:rPr>
        <w:t xml:space="preserve"> o rozsahu zdravotnej starostlivosti uhrádzanej na základe verejného zdravotného poistenia a o úhradách za služby súvisiace s poskytovaním zdravotnej starostlivosti </w:t>
      </w:r>
      <w:r w:rsidRPr="00B31A10" w:rsidR="0034232C">
        <w:rPr>
          <w:rFonts w:ascii="Times New Roman" w:hAnsi="Times New Roman" w:cs="Calibri"/>
          <w:bCs/>
          <w:sz w:val="24"/>
          <w:szCs w:val="24"/>
        </w:rPr>
        <w:t>v znení neskorších predpisov</w:t>
      </w:r>
      <w:r w:rsidRPr="00B31A10" w:rsidR="00B0025E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B31A10" w:rsidR="00A7209D">
        <w:rPr>
          <w:rFonts w:ascii="Times New Roman" w:hAnsi="Times New Roman" w:cs="Calibri"/>
          <w:sz w:val="24"/>
          <w:szCs w:val="24"/>
        </w:rPr>
        <w:t xml:space="preserve">nezakladá zvýšené nároky na </w:t>
      </w:r>
      <w:r w:rsidRPr="00B31A10">
        <w:rPr>
          <w:rFonts w:ascii="Times New Roman" w:hAnsi="Times New Roman" w:cs="Calibri"/>
          <w:sz w:val="24"/>
          <w:szCs w:val="24"/>
        </w:rPr>
        <w:t xml:space="preserve">štátny rozpočet, </w:t>
      </w:r>
      <w:r w:rsidRPr="00B31A10" w:rsidR="00A7209D">
        <w:rPr>
          <w:rFonts w:ascii="Times New Roman" w:hAnsi="Times New Roman" w:cs="Calibri"/>
          <w:sz w:val="24"/>
          <w:szCs w:val="24"/>
        </w:rPr>
        <w:t>rozpočty samosprávnych krajov a rozpočty obcí.</w:t>
      </w:r>
      <w:r w:rsidRPr="00B31A10" w:rsidR="00B0025E">
        <w:rPr>
          <w:rFonts w:ascii="Times New Roman" w:hAnsi="Times New Roman" w:cs="Calibri"/>
          <w:sz w:val="24"/>
          <w:szCs w:val="24"/>
        </w:rPr>
        <w:t xml:space="preserve"> </w:t>
      </w:r>
      <w:r w:rsidRPr="00B31A10">
        <w:rPr>
          <w:rFonts w:ascii="Times New Roman" w:hAnsi="Times New Roman" w:cs="Calibri"/>
          <w:sz w:val="24"/>
          <w:szCs w:val="24"/>
        </w:rPr>
        <w:t xml:space="preserve">Návrh zákona zaťaží rozpočty zdravotných poisťovní, pri konzervatívnom odhade vo výške nanajvýš 5 % z celkovej výšky spoluúčasti poistencov na liekoch hradených z verejného zdravotného poistenia, t.j. </w:t>
      </w:r>
      <w:r w:rsidRPr="00B31A10" w:rsidR="009212F6">
        <w:rPr>
          <w:rFonts w:ascii="Times New Roman" w:hAnsi="Times New Roman" w:cs="Calibri"/>
          <w:sz w:val="24"/>
          <w:szCs w:val="24"/>
        </w:rPr>
        <w:t xml:space="preserve">maximálne </w:t>
      </w:r>
      <w:r w:rsidRPr="00B31A10">
        <w:rPr>
          <w:rFonts w:ascii="Times New Roman" w:hAnsi="Times New Roman" w:cs="Calibri"/>
          <w:sz w:val="24"/>
          <w:szCs w:val="24"/>
        </w:rPr>
        <w:t>6 mil. eur ročne.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pStyle w:val="BodyText"/>
      </w:pPr>
      <w:r w:rsidRPr="00B31A10">
        <w:rPr>
          <w:bCs/>
        </w:rPr>
        <w:t xml:space="preserve">Odhad vplyvu na obyvateľov, hospodárenie podnikateľskej sféry a iných právnických osôb: 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Návrh zákona nemá vplyv na hospodárenie podnikateľskej sféry a iných právnických osôb, </w:t>
      </w:r>
      <w:r w:rsidRPr="00B31A10" w:rsidR="009212F6">
        <w:rPr>
          <w:rFonts w:ascii="Times New Roman" w:hAnsi="Times New Roman" w:cs="Calibri"/>
          <w:sz w:val="24"/>
          <w:szCs w:val="24"/>
        </w:rPr>
        <w:t xml:space="preserve">okrem zdravotných poisťovní (viď vyššie). </w:t>
      </w:r>
      <w:r w:rsidRPr="00B31A10">
        <w:rPr>
          <w:rFonts w:ascii="Times New Roman" w:hAnsi="Times New Roman" w:cs="Calibri"/>
          <w:sz w:val="24"/>
          <w:szCs w:val="24"/>
        </w:rPr>
        <w:t xml:space="preserve">Návrh </w:t>
      </w:r>
      <w:r w:rsidRPr="00B31A10" w:rsidR="00E303A4">
        <w:rPr>
          <w:rFonts w:ascii="Times New Roman" w:hAnsi="Times New Roman" w:cs="Calibri"/>
          <w:sz w:val="24"/>
          <w:szCs w:val="24"/>
        </w:rPr>
        <w:t xml:space="preserve">má pozitívny vplyv </w:t>
      </w:r>
      <w:r w:rsidRPr="00B31A10">
        <w:rPr>
          <w:rFonts w:ascii="Times New Roman" w:hAnsi="Times New Roman" w:cs="Calibri"/>
          <w:sz w:val="24"/>
          <w:szCs w:val="24"/>
        </w:rPr>
        <w:t>na obyvateľov,</w:t>
      </w:r>
      <w:r w:rsidRPr="00B31A10" w:rsidR="00E303A4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B0025E">
        <w:rPr>
          <w:rFonts w:ascii="Times New Roman" w:hAnsi="Times New Roman" w:cs="Calibri"/>
          <w:sz w:val="24"/>
          <w:szCs w:val="24"/>
        </w:rPr>
        <w:t>ktorých ochráni pred finančnými dôsledkami vysokej spoluúčasti na lieky a služby súvisiace s poskytovaním zdravotnej starostlivosti.</w:t>
      </w:r>
    </w:p>
    <w:p w:rsidR="00A7209D" w:rsidRPr="00B31A10" w:rsidP="00A7209D">
      <w:pPr>
        <w:pStyle w:val="BodyText"/>
      </w:pP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B31A10">
        <w:rPr>
          <w:rFonts w:ascii="Times New Roman" w:hAnsi="Times New Roman" w:cs="Calibri"/>
          <w:b/>
          <w:bCs/>
          <w:sz w:val="24"/>
          <w:szCs w:val="24"/>
        </w:rPr>
        <w:t>Odhad vplyvov na zamestnanosť: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Návrh zákona má pozitívny vplyv na zamestnanosť, tým že nebude odrádzať zahraničných investorov od investovania na území Slovenskej republiky.</w:t>
      </w:r>
    </w:p>
    <w:p w:rsidR="00A7209D" w:rsidRPr="00B31A10" w:rsidP="00A7209D">
      <w:pPr>
        <w:pStyle w:val="BodyText"/>
        <w:rPr>
          <w:bCs/>
        </w:rPr>
      </w:pPr>
    </w:p>
    <w:p w:rsidR="00A7209D" w:rsidRPr="00B31A10" w:rsidP="00A7209D">
      <w:pPr>
        <w:pStyle w:val="BodyText"/>
        <w:rPr>
          <w:bCs/>
        </w:rPr>
      </w:pPr>
      <w:r w:rsidRPr="00B31A10">
        <w:rPr>
          <w:bCs/>
        </w:rPr>
        <w:t>Odhad vplyvu na životné prostredie:</w:t>
      </w:r>
    </w:p>
    <w:p w:rsidR="00A7209D" w:rsidRPr="00B31A10" w:rsidP="00A7209D">
      <w:pPr>
        <w:pStyle w:val="BodyText"/>
        <w:rPr>
          <w:b w:val="0"/>
        </w:rPr>
      </w:pPr>
      <w:r w:rsidRPr="00B31A10">
        <w:rPr>
          <w:b w:val="0"/>
        </w:rPr>
        <w:t>Navrhovaná právna úprava nebude mať vplyv na životné prostredie.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 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b/>
          <w:bCs/>
          <w:sz w:val="24"/>
          <w:szCs w:val="24"/>
        </w:rPr>
        <w:t>Odhad vplyvu na podnikateľské prostredie: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Navrhovaná právna úprava nebude mať vplyv na podnikateľské prostredie.</w:t>
      </w:r>
    </w:p>
    <w:p w:rsidR="00A7209D" w:rsidRPr="00B31A10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 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B31A10">
        <w:rPr>
          <w:rFonts w:ascii="Times New Roman" w:hAnsi="Times New Roman" w:cs="Calibri"/>
          <w:b/>
          <w:bCs/>
          <w:sz w:val="24"/>
          <w:szCs w:val="24"/>
        </w:rPr>
        <w:t xml:space="preserve">Odhad vplyvov na informatizáciu spoločnosti: 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Návrh zákona nemá vplyv na informatizáciu spoločnosti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br w:type="page"/>
        <w:t>II. Osobitná časť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Čl. I</w:t>
      </w: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9212F6">
        <w:rPr>
          <w:rFonts w:ascii="Times New Roman" w:hAnsi="Times New Roman" w:cs="Calibri"/>
          <w:sz w:val="24"/>
          <w:szCs w:val="24"/>
        </w:rPr>
        <w:t>Navrhuje sa doplniť ustanovenie, definujúce limit spoluúčasti poistenca na liekoch a službách súvisiacich s poskytovaním zdravotnej starostlivosti plne alebo čiastočne uhrádzanej z verejného zdravotného poistenia.</w:t>
      </w:r>
      <w:r w:rsidRPr="00B31A10" w:rsidR="00836483">
        <w:rPr>
          <w:rFonts w:ascii="Times New Roman" w:hAnsi="Times New Roman" w:cs="Calibri"/>
          <w:sz w:val="24"/>
          <w:szCs w:val="24"/>
        </w:rPr>
        <w:t xml:space="preserve"> 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k ods. (1)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Výška limitu spoluúčasti sa stanovuje na 120 eur ročne, 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k ods. (2)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Ustanovenie zahŕňa do úhrnu úhrad výšku doplatku za najlacnejší generický liek, aby sa zabránilo zneužitiu limitu spoluúčasti na prestavenie pacientov z lacnejšej na drahšiu farmakoterapiu pri použití rovnakých účinných látok (liečiv). Generická substitúcia je na Slovensku nástrojom na úsporu </w:t>
      </w:r>
      <w:r w:rsidRPr="00B31A10" w:rsidR="00111554">
        <w:rPr>
          <w:rFonts w:ascii="Times New Roman" w:hAnsi="Times New Roman" w:cs="Calibri"/>
          <w:sz w:val="24"/>
          <w:szCs w:val="24"/>
        </w:rPr>
        <w:t>spoluúčasti</w:t>
      </w:r>
      <w:r w:rsidRPr="00B31A10">
        <w:rPr>
          <w:rFonts w:ascii="Times New Roman" w:hAnsi="Times New Roman" w:cs="Calibri"/>
          <w:sz w:val="24"/>
          <w:szCs w:val="24"/>
        </w:rPr>
        <w:t xml:space="preserve"> poistenca, avšak v prípade, ak by vďaka prekročeniu limitu spoluúčasti </w:t>
      </w:r>
      <w:r w:rsidRPr="00B31A10" w:rsidR="00111554">
        <w:rPr>
          <w:rFonts w:ascii="Times New Roman" w:hAnsi="Times New Roman" w:cs="Calibri"/>
          <w:sz w:val="24"/>
          <w:szCs w:val="24"/>
        </w:rPr>
        <w:t>ďalšie doplatky za lieky uhrádzala v plnej výške zdravotná poisťovňa, vznik</w:t>
      </w:r>
      <w:r w:rsidRPr="00B31A10" w:rsidR="00C63FA0">
        <w:rPr>
          <w:rFonts w:ascii="Times New Roman" w:hAnsi="Times New Roman" w:cs="Calibri"/>
          <w:sz w:val="24"/>
          <w:szCs w:val="24"/>
        </w:rPr>
        <w:t>ol by priestor pre opačnú</w:t>
      </w:r>
      <w:r w:rsidRPr="00B31A10" w:rsidR="00111554">
        <w:rPr>
          <w:rFonts w:ascii="Times New Roman" w:hAnsi="Times New Roman" w:cs="Calibri"/>
          <w:sz w:val="24"/>
          <w:szCs w:val="24"/>
        </w:rPr>
        <w:t xml:space="preserve"> </w:t>
      </w:r>
      <w:r w:rsidRPr="00B31A10" w:rsidR="00C63FA0">
        <w:rPr>
          <w:rFonts w:ascii="Times New Roman" w:hAnsi="Times New Roman" w:cs="Calibri"/>
          <w:sz w:val="24"/>
          <w:szCs w:val="24"/>
        </w:rPr>
        <w:t>motiváciu</w:t>
      </w:r>
      <w:r w:rsidRPr="00B31A10" w:rsidR="00111554">
        <w:rPr>
          <w:rFonts w:ascii="Times New Roman" w:hAnsi="Times New Roman" w:cs="Calibri"/>
          <w:sz w:val="24"/>
          <w:szCs w:val="24"/>
        </w:rPr>
        <w:t xml:space="preserve"> pri preskripcii. V tých prípadoch, </w:t>
      </w:r>
      <w:r w:rsidRPr="00B31A10" w:rsidR="00C63FA0">
        <w:rPr>
          <w:rFonts w:ascii="Times New Roman" w:hAnsi="Times New Roman" w:cs="Calibri"/>
          <w:sz w:val="24"/>
          <w:szCs w:val="24"/>
        </w:rPr>
        <w:t xml:space="preserve">keď </w:t>
      </w:r>
      <w:r w:rsidRPr="00B31A10" w:rsidR="00111554">
        <w:rPr>
          <w:rFonts w:ascii="Times New Roman" w:hAnsi="Times New Roman" w:cs="Calibri"/>
          <w:sz w:val="24"/>
          <w:szCs w:val="24"/>
        </w:rPr>
        <w:t>je zo zdravotných dôvodov generická</w:t>
      </w:r>
      <w:r w:rsidRPr="00B31A10">
        <w:rPr>
          <w:rFonts w:ascii="Times New Roman" w:hAnsi="Times New Roman" w:cs="Calibri"/>
          <w:sz w:val="24"/>
          <w:szCs w:val="24"/>
        </w:rPr>
        <w:t xml:space="preserve"> substitúci</w:t>
      </w:r>
      <w:r w:rsidRPr="00B31A10" w:rsidR="00111554">
        <w:rPr>
          <w:rFonts w:ascii="Times New Roman" w:hAnsi="Times New Roman" w:cs="Calibri"/>
          <w:sz w:val="24"/>
          <w:szCs w:val="24"/>
        </w:rPr>
        <w:t xml:space="preserve">a nevhodná a lekár ju pri preskripcii zakáže, do limitu spoluúčasti sa zahŕňa doplatok za skutočne predpísaný liek. Ide totiž o situáciu, ktorej poistenec nevie čeliť výberom </w:t>
      </w:r>
      <w:r w:rsidRPr="00B31A10" w:rsidR="00C63FA0">
        <w:rPr>
          <w:rFonts w:ascii="Times New Roman" w:hAnsi="Times New Roman" w:cs="Calibri"/>
          <w:sz w:val="24"/>
          <w:szCs w:val="24"/>
        </w:rPr>
        <w:t xml:space="preserve">generického </w:t>
      </w:r>
      <w:r w:rsidRPr="00B31A10" w:rsidR="00111554">
        <w:rPr>
          <w:rFonts w:ascii="Times New Roman" w:hAnsi="Times New Roman" w:cs="Calibri"/>
          <w:sz w:val="24"/>
          <w:szCs w:val="24"/>
        </w:rPr>
        <w:t>lieku s nižšou spoluúčasťou.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k ods. (3)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Ustanovenie vyníma z limitu spoluúčasti doplatky za lieky s nízkou mierou úhrady </w:t>
      </w:r>
      <w:r w:rsidRPr="00B31A10" w:rsidR="008E6511">
        <w:rPr>
          <w:rFonts w:ascii="Times New Roman" w:hAnsi="Times New Roman" w:cs="Calibri"/>
          <w:sz w:val="24"/>
          <w:szCs w:val="24"/>
        </w:rPr>
        <w:t xml:space="preserve">zo strany zdravotnej poisťovne </w:t>
      </w:r>
      <w:r w:rsidRPr="00B31A10">
        <w:rPr>
          <w:rFonts w:ascii="Times New Roman" w:hAnsi="Times New Roman" w:cs="Calibri"/>
          <w:sz w:val="24"/>
          <w:szCs w:val="24"/>
        </w:rPr>
        <w:t>(menej ako 30 % z maximálnej ceny). Takáto výška spoluúčasti je nastavená pri liekoch, ktoré neslúžia ako lieky prvej voľby, sú doplnkovou terapiou, nemajú jednoznačne preukázaný nákladovo-efektívny účinok prípadne nepredstavujú prioritu z hľadiska spoločenskej hodnoty. Spoluúčasť má v takýchto prípadoch opodstatnené funkciu regulácie spotreby a nie je žiaduce tento režim meniť.</w:t>
      </w:r>
    </w:p>
    <w:p w:rsidR="00836483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34232C" w:rsidRPr="00B31A10" w:rsidP="0034232C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Čl. II</w:t>
      </w:r>
    </w:p>
    <w:p w:rsidR="0034232C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111554" w:rsidRPr="00B31A10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k bodu 1</w:t>
      </w:r>
    </w:p>
    <w:p w:rsidR="00111554" w:rsidRPr="00B31A10" w:rsidP="00111554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 xml:space="preserve">Ustanovuje sa povinnosť zdravotnej poisťovne </w:t>
      </w:r>
      <w:r w:rsidRPr="00B31A10" w:rsidR="00AA4CFA">
        <w:rPr>
          <w:rFonts w:ascii="Times New Roman" w:hAnsi="Times New Roman" w:cs="Calibri"/>
          <w:sz w:val="24"/>
          <w:szCs w:val="24"/>
        </w:rPr>
        <w:t>refundovať poistencovi tú časť spoluúčasti, o ktorú prekročil za kalendárny rok limit spoluúčasti, a to do 90 dní po skončení roka</w:t>
      </w:r>
      <w:r w:rsidRPr="00B31A10" w:rsidR="00B31A10">
        <w:rPr>
          <w:rFonts w:ascii="Times New Roman" w:hAnsi="Times New Roman" w:cs="Calibri"/>
          <w:sz w:val="24"/>
          <w:szCs w:val="24"/>
        </w:rPr>
        <w:t xml:space="preserve"> na základe písomnej žiadosti poistenca</w:t>
      </w:r>
      <w:r w:rsidRPr="00B31A10" w:rsidR="00AA4CFA">
        <w:rPr>
          <w:rFonts w:ascii="Times New Roman" w:hAnsi="Times New Roman" w:cs="Calibri"/>
          <w:sz w:val="24"/>
          <w:szCs w:val="24"/>
        </w:rPr>
        <w:t>.</w:t>
      </w:r>
    </w:p>
    <w:p w:rsidR="00111554" w:rsidRPr="00B31A10" w:rsidP="00111554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111554" w:rsidRPr="00B31A10" w:rsidP="00111554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k bodu 2</w:t>
      </w:r>
    </w:p>
    <w:p w:rsidR="00111554" w:rsidRPr="00B31A10" w:rsidP="00111554">
      <w:pPr>
        <w:autoSpaceDE/>
        <w:autoSpaceDN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B31A10">
        <w:rPr>
          <w:rFonts w:ascii="Times New Roman" w:hAnsi="Times New Roman" w:cs="Calibri"/>
          <w:sz w:val="24"/>
          <w:szCs w:val="24"/>
        </w:rPr>
        <w:t>Zdravotnej poisťovni sa ukladá evidovať v dokumentácii informácie o spoluúčasti poistenca. Tieto informácie sú nevyhnutným predpokladom na to, aby zdravotná poisťovňa vedela vyhodnotiť, či jej poistenec prekročil limit spoluúčasti a v akej výške má nárok na refundáciu uhradenej spoluúčasti.</w:t>
      </w:r>
    </w:p>
    <w:p w:rsidR="0034232C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111554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B31A10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>
        <w:rPr>
          <w:rFonts w:ascii="Times New Roman" w:hAnsi="Times New Roman" w:cs="Calibri"/>
          <w:b/>
          <w:sz w:val="24"/>
          <w:szCs w:val="24"/>
        </w:rPr>
        <w:t>Čl. I</w:t>
      </w:r>
      <w:r w:rsidRPr="00B31A10" w:rsidR="0034232C">
        <w:rPr>
          <w:rFonts w:ascii="Times New Roman" w:hAnsi="Times New Roman" w:cs="Calibri"/>
          <w:b/>
          <w:sz w:val="24"/>
          <w:szCs w:val="24"/>
        </w:rPr>
        <w:t>I</w:t>
      </w:r>
      <w:r w:rsidRPr="00B31A10" w:rsidR="006C3AFE">
        <w:rPr>
          <w:rFonts w:ascii="Times New Roman" w:hAnsi="Times New Roman" w:cs="Calibri"/>
          <w:b/>
          <w:sz w:val="24"/>
          <w:szCs w:val="24"/>
        </w:rPr>
        <w:t>I</w:t>
      </w:r>
    </w:p>
    <w:p w:rsidR="00C76B2C" w:rsidRPr="00B31A10" w:rsidP="00E303A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B31A10" w:rsidR="00A7209D">
        <w:rPr>
          <w:rFonts w:ascii="Times New Roman" w:hAnsi="Times New Roman" w:cs="Calibri"/>
          <w:sz w:val="24"/>
          <w:szCs w:val="24"/>
        </w:rPr>
        <w:t xml:space="preserve">Navrhuje sa účinnosť 1. </w:t>
      </w:r>
      <w:r w:rsidRPr="00B31A10" w:rsidR="0026306E">
        <w:rPr>
          <w:rFonts w:ascii="Times New Roman" w:hAnsi="Times New Roman" w:cs="Calibri"/>
          <w:sz w:val="24"/>
          <w:szCs w:val="24"/>
        </w:rPr>
        <w:t xml:space="preserve">januára </w:t>
      </w:r>
      <w:r w:rsidRPr="00B31A10" w:rsidR="00A7209D">
        <w:rPr>
          <w:rFonts w:ascii="Times New Roman" w:hAnsi="Times New Roman" w:cs="Calibri"/>
          <w:sz w:val="24"/>
          <w:szCs w:val="24"/>
        </w:rPr>
        <w:t>201</w:t>
      </w:r>
      <w:r w:rsidRPr="00B31A10" w:rsidR="0026306E">
        <w:rPr>
          <w:rFonts w:ascii="Times New Roman" w:hAnsi="Times New Roman" w:cs="Calibri"/>
          <w:sz w:val="24"/>
          <w:szCs w:val="24"/>
        </w:rPr>
        <w:t>1. Keďže limit spoluúčasti sa vypočítava za kalendárny rok, je účelné, aby boli ustanovenia účinné od začiatku kalendárneho roka</w:t>
      </w:r>
      <w:r w:rsidRPr="00B31A10" w:rsidR="00A7209D">
        <w:rPr>
          <w:rFonts w:ascii="Times New Roman" w:hAnsi="Times New Roman" w:cs="Calibri"/>
          <w:sz w:val="24"/>
          <w:szCs w:val="24"/>
        </w:rPr>
        <w:t>.</w:t>
      </w:r>
    </w:p>
    <w:sectPr>
      <w:pgSz w:w="11900" w:h="16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33"/>
    <w:multiLevelType w:val="hybridMultilevel"/>
    <w:tmpl w:val="C86A18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46628"/>
    <w:multiLevelType w:val="hybridMultilevel"/>
    <w:tmpl w:val="9312A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abstractNum w:abstractNumId="2">
    <w:nsid w:val="341D7290"/>
    <w:multiLevelType w:val="hybridMultilevel"/>
    <w:tmpl w:val="8AB84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abstractNum w:abstractNumId="3">
    <w:nsid w:val="442B6F0D"/>
    <w:multiLevelType w:val="hybridMultilevel"/>
    <w:tmpl w:val="6388F636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  <w:rtl w:val="0"/>
      </w:rPr>
    </w:lvl>
  </w:abstractNum>
  <w:abstractNum w:abstractNumId="4">
    <w:nsid w:val="56B77B59"/>
    <w:multiLevelType w:val="hybridMultilevel"/>
    <w:tmpl w:val="76786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064B8"/>
    <w:multiLevelType w:val="hybridMultilevel"/>
    <w:tmpl w:val="EFEC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E4CE6"/>
    <w:multiLevelType w:val="hybridMultilevel"/>
    <w:tmpl w:val="76786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1554"/>
    <w:rsid w:val="00114F34"/>
    <w:rsid w:val="002008F9"/>
    <w:rsid w:val="0026306E"/>
    <w:rsid w:val="0034232C"/>
    <w:rsid w:val="00460D01"/>
    <w:rsid w:val="006C16AC"/>
    <w:rsid w:val="006C3AFE"/>
    <w:rsid w:val="007047FE"/>
    <w:rsid w:val="00731CAA"/>
    <w:rsid w:val="007709A1"/>
    <w:rsid w:val="007924B1"/>
    <w:rsid w:val="00836483"/>
    <w:rsid w:val="00876D1C"/>
    <w:rsid w:val="008D3790"/>
    <w:rsid w:val="008E6511"/>
    <w:rsid w:val="009035ED"/>
    <w:rsid w:val="009212F6"/>
    <w:rsid w:val="009E5E7F"/>
    <w:rsid w:val="00A7209D"/>
    <w:rsid w:val="00AA4CFA"/>
    <w:rsid w:val="00AC36DF"/>
    <w:rsid w:val="00AE38A9"/>
    <w:rsid w:val="00B0025E"/>
    <w:rsid w:val="00B31A10"/>
    <w:rsid w:val="00BC3290"/>
    <w:rsid w:val="00C63FA0"/>
    <w:rsid w:val="00C76B2C"/>
    <w:rsid w:val="00CA72F4"/>
    <w:rsid w:val="00D1621B"/>
    <w:rsid w:val="00E303A4"/>
    <w:rsid w:val="00E469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ZkladntextChar"/>
    <w:rsid w:val="00A7209D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ZkladntextChar">
    <w:name w:val="Základní text Char"/>
    <w:basedOn w:val="DefaultParagraphFont"/>
    <w:link w:val="BodyText"/>
    <w:rsid w:val="00A7209D"/>
    <w:rPr>
      <w:rFonts w:ascii="Times New Roman" w:hAnsi="Times New Roman" w:cs="Times New Roman"/>
      <w:b/>
      <w:sz w:val="24"/>
      <w:szCs w:val="24"/>
      <w:rtl w:val="0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114F34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114F34"/>
    <w:rPr>
      <w:sz w:val="22"/>
      <w:szCs w:val="22"/>
      <w:rtl w:val="0"/>
    </w:rPr>
  </w:style>
  <w:style w:type="paragraph" w:styleId="BalloonText">
    <w:name w:val="Balloon Text"/>
    <w:basedOn w:val="Normal"/>
    <w:semiHidden/>
    <w:rsid w:val="006C16AC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008F9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2008F9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08F9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1773</Words>
  <Characters>10108</Characters>
  <Application>Microsoft Office Word</Application>
  <DocSecurity>0</DocSecurity>
  <Lines>0</Lines>
  <Paragraphs>0</Paragraphs>
  <ScaleCrop>false</ScaleCrop>
  <Company>TOSHIBA</Company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vnovotny</dc:creator>
  <cp:lastModifiedBy>Jaroslav Vacek</cp:lastModifiedBy>
  <cp:revision>2</cp:revision>
  <dcterms:created xsi:type="dcterms:W3CDTF">2010-02-11T08:42:00Z</dcterms:created>
  <dcterms:modified xsi:type="dcterms:W3CDTF">2010-02-11T08:42:00Z</dcterms:modified>
</cp:coreProperties>
</file>